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28"/>
          <w:szCs w:val="28"/>
        </w:rPr>
        <w:t xml:space="preserve">Methods</w:t>
      </w:r>
    </w:p>
    <w:p>
      <w:pPr>
        <w:pStyle w:val="Heading2"/>
      </w:pPr>
      <w:r>
        <w:rPr>
          <w:rFonts w:ascii="Arial" w:cs="Arial" w:eastAsia="Arial" w:hAnsi="Arial"/>
          <w:b/>
          <w:bCs/>
          <w:sz w:val="24"/>
          <w:szCs w:val="24"/>
        </w:rPr>
        <w:t xml:space="preserve">Single-cell RNA-sequencing data acquisition</w:t>
      </w:r>
    </w:p>
    <w:p>
      <w:pPr>
        <w:spacing w:after="180"/>
        <w:jc w:val="both"/>
      </w:pPr>
      <w:r>
        <w:rPr>
          <w:rFonts w:ascii="Arial" w:cs="Arial" w:eastAsia="Arial" w:hAnsi="Arial"/>
          <w:sz w:val="24"/>
          <w:szCs w:val="24"/>
        </w:rPr>
        <w:t xml:space="preserve">Human kidney single-cell RNA-sequencing (scRNA-seq) data were obtained from the CZ CELLxGENE Discover Census</w:t>
      </w:r>
      <w:r>
        <w:rPr>
          <w:sz w:val="20"/>
          <w:szCs w:val="20"/>
          <w:vertAlign w:val="superscript"/>
        </w:rPr>
        <w:t xml:space="preserve">[CITE CELLxGENE]</w:t>
      </w:r>
      <w:r>
        <w:rPr>
          <w:rFonts w:ascii="Arial" w:cs="Arial" w:eastAsia="Arial" w:hAnsi="Arial"/>
          <w:sz w:val="24"/>
          <w:szCs w:val="24"/>
        </w:rPr>
        <w:t xml:space="preserve"> (census version: latest at time of access). The dataset corresponding to accession identifier </w:t>
      </w:r>
      <w:r>
        <w:rPr>
          <w:rFonts w:ascii="Arial" w:cs="Arial" w:eastAsia="Arial" w:hAnsi="Arial"/>
          <w:i/>
          <w:iCs/>
          <w:sz w:val="24"/>
          <w:szCs w:val="24"/>
        </w:rPr>
        <w:t xml:space="preserve">f337b525-c8f7-4c96-8cfe-f258a9f5ca48</w:t>
      </w:r>
      <w:r>
        <w:rPr>
          <w:rFonts w:ascii="Arial" w:cs="Arial" w:eastAsia="Arial" w:hAnsi="Arial"/>
          <w:sz w:val="24"/>
          <w:szCs w:val="24"/>
        </w:rPr>
        <w:t xml:space="preserve"> was manually downloaded from the CELLxGENE web interface and loaded as an AnnData HDF5-backed object (</w:t>
      </w:r>
      <w:r>
        <w:rPr>
          <w:rFonts w:ascii="Arial" w:cs="Arial" w:eastAsia="Arial" w:hAnsi="Arial"/>
          <w:i/>
          <w:iCs/>
          <w:sz w:val="24"/>
          <w:szCs w:val="24"/>
        </w:rPr>
        <w:t xml:space="preserve">.h5ad</w:t>
      </w:r>
      <w:r>
        <w:rPr>
          <w:rFonts w:ascii="Arial" w:cs="Arial" w:eastAsia="Arial" w:hAnsi="Arial"/>
          <w:sz w:val="24"/>
          <w:szCs w:val="24"/>
        </w:rPr>
        <w:t xml:space="preserve">) using Scanpy</w:t>
      </w:r>
      <w:r>
        <w:rPr>
          <w:sz w:val="20"/>
          <w:szCs w:val="20"/>
          <w:vertAlign w:val="superscript"/>
        </w:rPr>
        <w:t xml:space="preserve">[CITE scanpy]</w:t>
      </w:r>
      <w:r>
        <w:rPr>
          <w:rFonts w:ascii="Arial" w:cs="Arial" w:eastAsia="Arial" w:hAnsi="Arial"/>
          <w:sz w:val="24"/>
          <w:szCs w:val="24"/>
        </w:rPr>
        <w:t xml:space="preserve">. The dataset comprised cells from donors spanning three disease states: normal kidney, chronic kidney disease (CKD), and acute kidney failure (AKI). Cells were annotated across eight hierarchical annotation layers: </w:t>
      </w:r>
      <w:r>
        <w:rPr>
          <w:rFonts w:ascii="Arial" w:cs="Arial" w:eastAsia="Arial" w:hAnsi="Arial"/>
          <w:i/>
          <w:iCs/>
          <w:sz w:val="24"/>
          <w:szCs w:val="24"/>
        </w:rPr>
        <w:t xml:space="preserve">Class</w:t>
      </w:r>
      <w:r>
        <w:rPr>
          <w:rFonts w:ascii="Arial" w:cs="Arial" w:eastAsia="Arial" w:hAnsi="Arial"/>
          <w:sz w:val="24"/>
          <w:szCs w:val="24"/>
        </w:rPr>
        <w:t xml:space="preserve">, </w:t>
      </w:r>
      <w:r>
        <w:rPr>
          <w:rFonts w:ascii="Arial" w:cs="Arial" w:eastAsia="Arial" w:hAnsi="Arial"/>
          <w:i/>
          <w:iCs/>
          <w:sz w:val="24"/>
          <w:szCs w:val="24"/>
        </w:rPr>
        <w:t xml:space="preserve">SubclassLevel1</w:t>
      </w:r>
      <w:r>
        <w:rPr>
          <w:rFonts w:ascii="Arial" w:cs="Arial" w:eastAsia="Arial" w:hAnsi="Arial"/>
          <w:sz w:val="24"/>
          <w:szCs w:val="24"/>
        </w:rPr>
        <w:t xml:space="preserve"> through </w:t>
      </w:r>
      <w:r>
        <w:rPr>
          <w:rFonts w:ascii="Arial" w:cs="Arial" w:eastAsia="Arial" w:hAnsi="Arial"/>
          <w:i/>
          <w:iCs/>
          <w:sz w:val="24"/>
          <w:szCs w:val="24"/>
        </w:rPr>
        <w:t xml:space="preserve">SubclassLevel3</w:t>
      </w:r>
      <w:r>
        <w:rPr>
          <w:rFonts w:ascii="Arial" w:cs="Arial" w:eastAsia="Arial" w:hAnsi="Arial"/>
          <w:sz w:val="24"/>
          <w:szCs w:val="24"/>
        </w:rPr>
        <w:t xml:space="preserve">, </w:t>
      </w:r>
      <w:r>
        <w:rPr>
          <w:rFonts w:ascii="Arial" w:cs="Arial" w:eastAsia="Arial" w:hAnsi="Arial"/>
          <w:i/>
          <w:iCs/>
          <w:sz w:val="24"/>
          <w:szCs w:val="24"/>
        </w:rPr>
        <w:t xml:space="preserve">cell_type</w:t>
      </w:r>
      <w:r>
        <w:rPr>
          <w:rFonts w:ascii="Arial" w:cs="Arial" w:eastAsia="Arial" w:hAnsi="Arial"/>
          <w:sz w:val="24"/>
          <w:szCs w:val="24"/>
        </w:rPr>
        <w:t xml:space="preserve">, </w:t>
      </w:r>
      <w:r>
        <w:rPr>
          <w:rFonts w:ascii="Arial" w:cs="Arial" w:eastAsia="Arial" w:hAnsi="Arial"/>
          <w:i/>
          <w:iCs/>
          <w:sz w:val="24"/>
          <w:szCs w:val="24"/>
        </w:rPr>
        <w:t xml:space="preserve">CellStateLevel1</w:t>
      </w:r>
      <w:r>
        <w:rPr>
          <w:rFonts w:ascii="Arial" w:cs="Arial" w:eastAsia="Arial" w:hAnsi="Arial"/>
          <w:sz w:val="24"/>
          <w:szCs w:val="24"/>
        </w:rPr>
        <w:t xml:space="preserve">, and </w:t>
      </w:r>
      <w:r>
        <w:rPr>
          <w:rFonts w:ascii="Arial" w:cs="Arial" w:eastAsia="Arial" w:hAnsi="Arial"/>
          <w:i/>
          <w:iCs/>
          <w:sz w:val="24"/>
          <w:szCs w:val="24"/>
        </w:rPr>
        <w:t xml:space="preserve">CellStateLevel2</w:t>
      </w:r>
      <w:r>
        <w:rPr>
          <w:rFonts w:ascii="Arial" w:cs="Arial" w:eastAsia="Arial" w:hAnsi="Arial"/>
          <w:sz w:val="24"/>
          <w:szCs w:val="24"/>
        </w:rPr>
        <w:t xml:space="preserve">. Raw count matrices were accessed via </w:t>
      </w:r>
      <w:r>
        <w:rPr>
          <w:rFonts w:ascii="Arial" w:cs="Arial" w:eastAsia="Arial" w:hAnsi="Arial"/>
          <w:i/>
          <w:iCs/>
          <w:sz w:val="24"/>
          <w:szCs w:val="24"/>
        </w:rPr>
        <w:t xml:space="preserve">adata.raw</w:t>
      </w:r>
      <w:r>
        <w:rPr>
          <w:rFonts w:ascii="Arial" w:cs="Arial" w:eastAsia="Arial" w:hAnsi="Arial"/>
          <w:sz w:val="24"/>
          <w:szCs w:val="24"/>
        </w:rPr>
        <w:t xml:space="preserve"> for all downstream scoring.</w:t>
      </w:r>
    </w:p>
    <w:p>
      <w:pPr>
        <w:pStyle w:val="Heading2"/>
      </w:pPr>
      <w:r>
        <w:rPr>
          <w:rFonts w:ascii="Arial" w:cs="Arial" w:eastAsia="Arial" w:hAnsi="Arial"/>
          <w:b/>
          <w:bCs/>
          <w:sz w:val="24"/>
          <w:szCs w:val="24"/>
        </w:rPr>
        <w:t xml:space="preserve">Highly variable gene selection and batch correction with scVI</w:t>
      </w:r>
    </w:p>
    <w:p>
      <w:pPr>
        <w:spacing w:after="180"/>
        <w:jc w:val="both"/>
      </w:pPr>
      <w:r>
        <w:rPr>
          <w:rFonts w:ascii="Arial" w:cs="Arial" w:eastAsia="Arial" w:hAnsi="Arial"/>
          <w:sz w:val="24"/>
          <w:szCs w:val="24"/>
        </w:rPr>
        <w:t xml:space="preserve">Highly variable genes (HVGs) were identified using Poisson-based gene selection as implemented in scvi-tools</w:t>
      </w:r>
      <w:r>
        <w:rPr>
          <w:sz w:val="20"/>
          <w:szCs w:val="20"/>
          <w:vertAlign w:val="superscript"/>
        </w:rPr>
        <w:t xml:space="preserve">[CITE scvi-tools / poisson gene selection]</w:t>
      </w:r>
      <w:r>
        <w:rPr>
          <w:rFonts w:ascii="Arial" w:cs="Arial" w:eastAsia="Arial" w:hAnsi="Arial"/>
          <w:sz w:val="24"/>
          <w:szCs w:val="24"/>
        </w:rPr>
        <w:t xml:space="preserve">, which accounts for the discrete, count-valued nature of scRNA-seq data. The count matrix was subset to HVGs and stored in </w:t>
      </w:r>
      <w:r>
        <w:rPr>
          <w:rFonts w:ascii="Arial" w:cs="Arial" w:eastAsia="Arial" w:hAnsi="Arial"/>
          <w:i/>
          <w:iCs/>
          <w:sz w:val="24"/>
          <w:szCs w:val="24"/>
        </w:rPr>
        <w:t xml:space="preserve">adata.layers['counts']</w:t>
      </w:r>
      <w:r>
        <w:rPr>
          <w:rFonts w:ascii="Arial" w:cs="Arial" w:eastAsia="Arial" w:hAnsi="Arial"/>
          <w:sz w:val="24"/>
          <w:szCs w:val="24"/>
        </w:rPr>
        <w:t xml:space="preserve"> as a compressed sparse row matrix to preserve integer counts for probabilistic modelling.</w:t>
      </w:r>
    </w:p>
    <w:p>
      <w:pPr>
        <w:spacing w:after="180"/>
        <w:jc w:val="both"/>
      </w:pPr>
      <w:r>
        <w:rPr>
          <w:rFonts w:ascii="Arial" w:cs="Arial" w:eastAsia="Arial" w:hAnsi="Arial"/>
          <w:sz w:val="24"/>
          <w:szCs w:val="24"/>
        </w:rPr>
        <w:t xml:space="preserve">A batch covariate was constructed by concatenating each cell's donor identifier (</w:t>
      </w:r>
      <w:r>
        <w:rPr>
          <w:rFonts w:ascii="Arial" w:cs="Arial" w:eastAsia="Arial" w:hAnsi="Arial"/>
          <w:i/>
          <w:iCs/>
          <w:sz w:val="24"/>
          <w:szCs w:val="24"/>
        </w:rPr>
        <w:t xml:space="preserve">donor_id</w:t>
      </w:r>
      <w:r>
        <w:rPr>
          <w:rFonts w:ascii="Arial" w:cs="Arial" w:eastAsia="Arial" w:hAnsi="Arial"/>
          <w:sz w:val="24"/>
          <w:szCs w:val="24"/>
        </w:rPr>
        <w:t xml:space="preserve">) and library identifier (</w:t>
      </w:r>
      <w:r>
        <w:rPr>
          <w:rFonts w:ascii="Arial" w:cs="Arial" w:eastAsia="Arial" w:hAnsi="Arial"/>
          <w:i/>
          <w:iCs/>
          <w:sz w:val="24"/>
          <w:szCs w:val="24"/>
        </w:rPr>
        <w:t xml:space="preserve">library</w:t>
      </w:r>
      <w:r>
        <w:rPr>
          <w:rFonts w:ascii="Arial" w:cs="Arial" w:eastAsia="Arial" w:hAnsi="Arial"/>
          <w:sz w:val="24"/>
          <w:szCs w:val="24"/>
        </w:rPr>
        <w:t xml:space="preserve">), capturing both inter-individual and inter-run technical variation. Latent representation learning and batch integration were performed with scVI</w:t>
      </w:r>
      <w:r>
        <w:rPr>
          <w:sz w:val="20"/>
          <w:szCs w:val="20"/>
          <w:vertAlign w:val="superscript"/>
        </w:rPr>
        <w:t xml:space="preserve">[CITE Lopez et al. 2018 Nat Methods]</w:t>
      </w:r>
      <w:r>
        <w:rPr>
          <w:rFonts w:ascii="Arial" w:cs="Arial" w:eastAsia="Arial" w:hAnsi="Arial"/>
          <w:sz w:val="24"/>
          <w:szCs w:val="24"/>
        </w:rPr>
        <w:t xml:space="preserve">, a deep generative model based on a variational autoencoder with a negative binomial observation model</w:t>
      </w:r>
      <w:r>
        <w:rPr>
          <w:sz w:val="20"/>
          <w:szCs w:val="20"/>
          <w:vertAlign w:val="superscript"/>
        </w:rPr>
        <w:t xml:space="preserve">[CITE Boyeau et al. 2023]</w:t>
      </w:r>
      <w:r>
        <w:rPr>
          <w:rFonts w:ascii="Arial" w:cs="Arial" w:eastAsia="Arial" w:hAnsi="Arial"/>
          <w:sz w:val="24"/>
          <w:szCs w:val="24"/>
        </w:rPr>
        <w:t xml:space="preserve">. The model was configured with two encoder/decoder layers, 256 hidden units, a 30-dimensional latent space, and a dropout rate of 0.1. Training used a maximum of 300 epochs with a learning rate of 1 × 10</w:t>
      </w:r>
      <w:r>
        <w:rPr>
          <w:rFonts w:ascii="Arial" w:cs="Arial" w:eastAsia="Arial" w:hAnsi="Arial"/>
          <w:sz w:val="24"/>
          <w:szCs w:val="24"/>
          <w:vertAlign w:val="superscript"/>
        </w:rPr>
        <w:t xml:space="preserve">−3</w:t>
      </w:r>
      <w:r>
        <w:rPr>
          <w:rFonts w:ascii="Arial" w:cs="Arial" w:eastAsia="Arial" w:hAnsi="Arial"/>
          <w:sz w:val="24"/>
          <w:szCs w:val="24"/>
        </w:rPr>
        <w:t xml:space="preserve">, a mini-batch size of 2,048 cells, and early stopping (patience = 20 epochs) monitored on the evidence lower bound (ELBO) computed on a held-out validation set. Model convergence was confirmed by visual inspection of training and validation ELBO curves, excluding the first ten epochs.</w:t>
      </w:r>
    </w:p>
    <w:p>
      <w:pPr>
        <w:spacing w:after="180"/>
        <w:jc w:val="both"/>
      </w:pPr>
      <w:r>
        <w:rPr>
          <w:rFonts w:ascii="Arial" w:cs="Arial" w:eastAsia="Arial" w:hAnsi="Arial"/>
          <w:sz w:val="24"/>
          <w:szCs w:val="24"/>
        </w:rPr>
        <w:t xml:space="preserve">The 30-dimensional scVI latent embedding (</w:t>
      </w:r>
      <w:r>
        <w:rPr>
          <w:rFonts w:ascii="Arial" w:cs="Arial" w:eastAsia="Arial" w:hAnsi="Arial"/>
          <w:i/>
          <w:iCs/>
          <w:sz w:val="24"/>
          <w:szCs w:val="24"/>
        </w:rPr>
        <w:t xml:space="preserve">X_scVI</w:t>
      </w:r>
      <w:r>
        <w:rPr>
          <w:rFonts w:ascii="Arial" w:cs="Arial" w:eastAsia="Arial" w:hAnsi="Arial"/>
          <w:sz w:val="24"/>
          <w:szCs w:val="24"/>
        </w:rPr>
        <w:t xml:space="preserve">) was used for all neighbourhood graph computations. A k-nearest-neighbour graph was constructed with k = 15 neighbours using the scVI representation, and two-dimensional UMAP</w:t>
      </w:r>
      <w:r>
        <w:rPr>
          <w:sz w:val="20"/>
          <w:szCs w:val="20"/>
          <w:vertAlign w:val="superscript"/>
        </w:rPr>
        <w:t xml:space="preserve">[CITE McInnes et al. 2018 UMAP]</w:t>
      </w:r>
      <w:r>
        <w:rPr>
          <w:rFonts w:ascii="Arial" w:cs="Arial" w:eastAsia="Arial" w:hAnsi="Arial"/>
          <w:sz w:val="24"/>
          <w:szCs w:val="24"/>
        </w:rPr>
        <w:t xml:space="preserve"> coordinates were computed with a minimum distance of 0.3 for visualisation.</w:t>
      </w:r>
    </w:p>
    <w:p>
      <w:pPr>
        <w:pStyle w:val="Heading2"/>
      </w:pPr>
      <w:r>
        <w:rPr>
          <w:rFonts w:ascii="Arial" w:cs="Arial" w:eastAsia="Arial" w:hAnsi="Arial"/>
          <w:b/>
          <w:bCs/>
          <w:sz w:val="24"/>
          <w:szCs w:val="24"/>
        </w:rPr>
        <w:t xml:space="preserve">eGFR severity encoding</w:t>
      </w:r>
    </w:p>
    <w:p>
      <w:pPr>
        <w:spacing w:after="180"/>
        <w:jc w:val="both"/>
      </w:pPr>
      <w:r>
        <w:rPr>
          <w:rFonts w:ascii="Arial" w:cs="Arial" w:eastAsia="Arial" w:hAnsi="Arial"/>
          <w:sz w:val="24"/>
          <w:szCs w:val="24"/>
        </w:rPr>
        <w:t xml:space="preserve">Baseline estimated glomerular filtration rate (eGFR) values were provided as categorical bins (ml/min/1.73 m²). Each bin was converted to a numeric midpoint by taking the arithmetic mean of the lower and upper bounds; bins reported as “&gt;60” were assigned a midpoint of 65.0 ml/min/1.73 m². A continuous kidney severity score was derived as:</w:t>
      </w:r>
    </w:p>
    <w:p>
      <w:pPr>
        <w:spacing w:after="120" w:before="120"/>
        <w:jc w:val="center"/>
      </w:pPr>
      <w:r>
        <w:rPr>
          <w:rFonts w:ascii="Arial" w:cs="Arial" w:eastAsia="Arial" w:hAnsi="Arial"/>
          <w:i w:val="false"/>
          <w:iCs w:val="false"/>
          <w:sz w:val="24"/>
          <w:szCs w:val="24"/>
        </w:rPr>
        <w:t xml:space="preserve">kidney_severity = max(0, (130 − eGFR</w:t>
      </w:r>
      <w:r>
        <w:rPr>
          <w:rFonts w:ascii="Arial" w:cs="Arial" w:eastAsia="Arial" w:hAnsi="Arial"/>
          <w:i/>
          <w:iCs/>
          <w:sz w:val="24"/>
          <w:szCs w:val="24"/>
        </w:rPr>
        <w:t xml:space="preserve">midpoint</w:t>
      </w:r>
      <w:r>
        <w:rPr>
          <w:rFonts w:ascii="Arial" w:cs="Arial" w:eastAsia="Arial" w:hAnsi="Arial"/>
          <w:sz w:val="24"/>
          <w:szCs w:val="24"/>
        </w:rPr>
        <w:t xml:space="preserve">) / 10)</w:t>
      </w:r>
    </w:p>
    <w:p>
      <w:pPr>
        <w:spacing w:after="180"/>
        <w:jc w:val="both"/>
      </w:pPr>
      <w:r>
        <w:rPr>
          <w:rFonts w:ascii="Arial" w:cs="Arial" w:eastAsia="Arial" w:hAnsi="Arial"/>
          <w:sz w:val="24"/>
          <w:szCs w:val="24"/>
        </w:rPr>
        <w:t xml:space="preserve">This transformation yields a score of 0 for near-normal kidney function (eGFR ≥ 130 ml/min/1.73 m²) and increases linearly as eGFR declines, such that higher values indicate more severe kidney dysfunction. Donors for whom eGFR data were unavailable were assigned </w:t>
      </w:r>
      <w:r>
        <w:rPr>
          <w:rFonts w:ascii="Arial" w:cs="Arial" w:eastAsia="Arial" w:hAnsi="Arial"/>
          <w:i/>
          <w:iCs/>
          <w:sz w:val="24"/>
          <w:szCs w:val="24"/>
        </w:rPr>
        <w:t xml:space="preserve">NaN</w:t>
      </w:r>
      <w:r>
        <w:rPr>
          <w:rFonts w:ascii="Arial" w:cs="Arial" w:eastAsia="Arial" w:hAnsi="Arial"/>
          <w:sz w:val="24"/>
          <w:szCs w:val="24"/>
        </w:rPr>
        <w:t xml:space="preserve"> and excluded from severity-association analyses.</w:t>
      </w:r>
    </w:p>
    <w:p>
      <w:pPr>
        <w:pStyle w:val="Heading2"/>
      </w:pPr>
      <w:r>
        <w:rPr>
          <w:rFonts w:ascii="Arial" w:cs="Arial" w:eastAsia="Arial" w:hAnsi="Arial"/>
          <w:b/>
          <w:bCs/>
          <w:sz w:val="24"/>
          <w:szCs w:val="24"/>
        </w:rPr>
        <w:t xml:space="preserve">Complement pathway gene-set scoring</w:t>
      </w:r>
    </w:p>
    <w:p>
      <w:pPr>
        <w:spacing w:after="180"/>
        <w:jc w:val="both"/>
      </w:pPr>
      <w:r>
        <w:rPr>
          <w:rFonts w:ascii="Arial" w:cs="Arial" w:eastAsia="Arial" w:hAnsi="Arial"/>
          <w:sz w:val="24"/>
          <w:szCs w:val="24"/>
        </w:rPr>
        <w:t xml:space="preserve">Complement cascade activity was quantified across six curated gene programmes: (i) classical pathway (</w:t>
      </w:r>
      <w:r>
        <w:rPr>
          <w:rFonts w:ascii="Arial" w:cs="Arial" w:eastAsia="Arial" w:hAnsi="Arial"/>
          <w:i/>
          <w:iCs/>
          <w:sz w:val="24"/>
          <w:szCs w:val="24"/>
        </w:rPr>
        <w:t xml:space="preserve">C1QA, C1QB, C1QC, C1R, C1S, C2, C4A, C4B, C4BPA, C4BPB</w:t>
      </w:r>
      <w:r>
        <w:rPr>
          <w:rFonts w:ascii="Arial" w:cs="Arial" w:eastAsia="Arial" w:hAnsi="Arial"/>
          <w:sz w:val="24"/>
          <w:szCs w:val="24"/>
        </w:rPr>
        <w:t xml:space="preserve">); (ii) lectin pathway (</w:t>
      </w:r>
      <w:r>
        <w:rPr>
          <w:rFonts w:ascii="Arial" w:cs="Arial" w:eastAsia="Arial" w:hAnsi="Arial"/>
          <w:i/>
          <w:iCs/>
          <w:sz w:val="24"/>
          <w:szCs w:val="24"/>
        </w:rPr>
        <w:t xml:space="preserve">MBL2, FCN1, FCN2, FCN3, MASP1, MASP2, MASP3</w:t>
      </w:r>
      <w:r>
        <w:rPr>
          <w:rFonts w:ascii="Arial" w:cs="Arial" w:eastAsia="Arial" w:hAnsi="Arial"/>
          <w:sz w:val="24"/>
          <w:szCs w:val="24"/>
        </w:rPr>
        <w:t xml:space="preserve">); (iii) alternative pathway (</w:t>
      </w:r>
      <w:r>
        <w:rPr>
          <w:rFonts w:ascii="Arial" w:cs="Arial" w:eastAsia="Arial" w:hAnsi="Arial"/>
          <w:i/>
          <w:iCs/>
          <w:sz w:val="24"/>
          <w:szCs w:val="24"/>
        </w:rPr>
        <w:t xml:space="preserve">C3, CFB, CFD, CFP, C3AR1</w:t>
      </w:r>
      <w:r>
        <w:rPr>
          <w:rFonts w:ascii="Arial" w:cs="Arial" w:eastAsia="Arial" w:hAnsi="Arial"/>
          <w:sz w:val="24"/>
          <w:szCs w:val="24"/>
        </w:rPr>
        <w:t xml:space="preserve">); (iv) terminal/lytic pathway (</w:t>
      </w:r>
      <w:r>
        <w:rPr>
          <w:rFonts w:ascii="Arial" w:cs="Arial" w:eastAsia="Arial" w:hAnsi="Arial"/>
          <w:i/>
          <w:iCs/>
          <w:sz w:val="24"/>
          <w:szCs w:val="24"/>
        </w:rPr>
        <w:t xml:space="preserve">C5, C5AR1, C5AR2, C6, C7, C8A, C8B, C8G, C9</w:t>
      </w:r>
      <w:r>
        <w:rPr>
          <w:rFonts w:ascii="Arial" w:cs="Arial" w:eastAsia="Arial" w:hAnsi="Arial"/>
          <w:sz w:val="24"/>
          <w:szCs w:val="24"/>
        </w:rPr>
        <w:t xml:space="preserve">); (v) complement receptors (</w:t>
      </w:r>
      <w:r>
        <w:rPr>
          <w:rFonts w:ascii="Arial" w:cs="Arial" w:eastAsia="Arial" w:hAnsi="Arial"/>
          <w:i/>
          <w:iCs/>
          <w:sz w:val="24"/>
          <w:szCs w:val="24"/>
        </w:rPr>
        <w:t xml:space="preserve">C3AR1, C5AR1, C5AR2, CR1, CR2, ITGAM, ITGAX, VSIG4</w:t>
      </w:r>
      <w:r>
        <w:rPr>
          <w:rFonts w:ascii="Arial" w:cs="Arial" w:eastAsia="Arial" w:hAnsi="Arial"/>
          <w:sz w:val="24"/>
          <w:szCs w:val="24"/>
        </w:rPr>
        <w:t xml:space="preserve">); and (vi) complement regulators (</w:t>
      </w:r>
      <w:r>
        <w:rPr>
          <w:rFonts w:ascii="Arial" w:cs="Arial" w:eastAsia="Arial" w:hAnsi="Arial"/>
          <w:i/>
          <w:iCs/>
          <w:sz w:val="24"/>
          <w:szCs w:val="24"/>
        </w:rPr>
        <w:t xml:space="preserve">CFH, CFHR1–CFHR5, CFI, CD46, CD55, CD59, SERPING1</w:t>
      </w:r>
      <w:r>
        <w:rPr>
          <w:rFonts w:ascii="Arial" w:cs="Arial" w:eastAsia="Arial" w:hAnsi="Arial"/>
          <w:sz w:val="24"/>
          <w:szCs w:val="24"/>
        </w:rPr>
        <w:t xml:space="preserve">). Gene symbols were mapped to raw-count feature identifiers via the </w:t>
      </w:r>
      <w:r>
        <w:rPr>
          <w:rFonts w:ascii="Arial" w:cs="Arial" w:eastAsia="Arial" w:hAnsi="Arial"/>
          <w:i/>
          <w:iCs/>
          <w:sz w:val="24"/>
          <w:szCs w:val="24"/>
        </w:rPr>
        <w:t xml:space="preserve">feature_name</w:t>
      </w:r>
      <w:r>
        <w:rPr>
          <w:rFonts w:ascii="Arial" w:cs="Arial" w:eastAsia="Arial" w:hAnsi="Arial"/>
          <w:sz w:val="24"/>
          <w:szCs w:val="24"/>
        </w:rPr>
        <w:t xml:space="preserve"> field of </w:t>
      </w:r>
      <w:r>
        <w:rPr>
          <w:rFonts w:ascii="Arial" w:cs="Arial" w:eastAsia="Arial" w:hAnsi="Arial"/>
          <w:i/>
          <w:iCs/>
          <w:sz w:val="24"/>
          <w:szCs w:val="24"/>
        </w:rPr>
        <w:t xml:space="preserve">adata.raw.var</w:t>
      </w:r>
      <w:r>
        <w:rPr>
          <w:rFonts w:ascii="Arial" w:cs="Arial" w:eastAsia="Arial" w:hAnsi="Arial"/>
          <w:sz w:val="24"/>
          <w:szCs w:val="24"/>
        </w:rPr>
        <w:t xml:space="preserve">. Per-cell scores were computed using the Scanpy implementation of the Seurat gene-set scoring algorithm</w:t>
      </w:r>
      <w:r>
        <w:rPr>
          <w:sz w:val="20"/>
          <w:szCs w:val="20"/>
          <w:vertAlign w:val="superscript"/>
        </w:rPr>
        <w:t xml:space="preserve">[CITE Tirosh et al. 2016 / Satija et al. 2015 — check which scoring method is used]</w:t>
      </w:r>
      <w:r>
        <w:rPr>
          <w:rFonts w:ascii="Arial" w:cs="Arial" w:eastAsia="Arial" w:hAnsi="Arial"/>
          <w:sz w:val="24"/>
          <w:szCs w:val="24"/>
        </w:rPr>
        <w:t xml:space="preserve"> (</w:t>
      </w:r>
      <w:r>
        <w:rPr>
          <w:rFonts w:ascii="Arial" w:cs="Arial" w:eastAsia="Arial" w:hAnsi="Arial"/>
          <w:i/>
          <w:iCs/>
          <w:sz w:val="24"/>
          <w:szCs w:val="24"/>
        </w:rPr>
        <w:t xml:space="preserve">sc.tl.score_genes</w:t>
      </w:r>
      <w:r>
        <w:rPr>
          <w:rFonts w:ascii="Arial" w:cs="Arial" w:eastAsia="Arial" w:hAnsi="Arial"/>
          <w:sz w:val="24"/>
          <w:szCs w:val="24"/>
        </w:rPr>
        <w:t xml:space="preserve">, </w:t>
      </w:r>
      <w:r>
        <w:rPr>
          <w:rFonts w:ascii="Arial" w:cs="Arial" w:eastAsia="Arial" w:hAnsi="Arial"/>
          <w:i/>
          <w:iCs/>
          <w:sz w:val="24"/>
          <w:szCs w:val="24"/>
        </w:rPr>
        <w:t xml:space="preserve">use_raw=True</w:t>
      </w:r>
      <w:r>
        <w:rPr>
          <w:rFonts w:ascii="Arial" w:cs="Arial" w:eastAsia="Arial" w:hAnsi="Arial"/>
          <w:sz w:val="24"/>
          <w:szCs w:val="24"/>
        </w:rPr>
        <w:t xml:space="preserve">), which compares mean expression of the gene set against a randomly sampled background of control genes of similar expression levels. Gene sets with fewer than two resolved features were excluded.</w:t>
      </w:r>
    </w:p>
    <w:p>
      <w:pPr>
        <w:spacing w:after="60" w:before="60"/>
      </w:pPr>
      <w:r>
        <w:rPr>
          <w:rFonts w:ascii="Arial" w:cs="Arial" w:eastAsia="Arial" w:hAnsi="Arial"/>
          <w:b/>
          <w:bCs/>
          <w:color w:val="C00000"/>
          <w:sz w:val="22"/>
          <w:szCs w:val="22"/>
        </w:rPr>
        <w:t xml:space="preserve">[NOTE: </w:t>
      </w:r>
      <w:r>
        <w:rPr>
          <w:rFonts w:ascii="Arial" w:cs="Arial" w:eastAsia="Arial" w:hAnsi="Arial"/>
          <w:color w:val="C00000"/>
          <w:sz w:val="22"/>
          <w:szCs w:val="22"/>
        </w:rPr>
        <w:t xml:space="preserve">Confirm which background-gene scoring method is used — Scanpy's sc.tl.score_genes follows the approach of Tirosh et al. (2016, Science) and/or Satija et al. (2015, Nat Methods). Please verify and add the appropriate citation.</w:t>
      </w:r>
      <w:r>
        <w:rPr>
          <w:rFonts w:ascii="Arial" w:cs="Arial" w:eastAsia="Arial" w:hAnsi="Arial"/>
          <w:b/>
          <w:bCs/>
          <w:color w:val="C00000"/>
          <w:sz w:val="22"/>
          <w:szCs w:val="22"/>
        </w:rPr>
        <w:t xml:space="preserve">]</w:t>
      </w:r>
    </w:p>
    <w:p>
      <w:pPr>
        <w:pStyle w:val="Heading2"/>
      </w:pPr>
      <w:r>
        <w:rPr>
          <w:rFonts w:ascii="Arial" w:cs="Arial" w:eastAsia="Arial" w:hAnsi="Arial"/>
          <w:b/>
          <w:bCs/>
          <w:sz w:val="24"/>
          <w:szCs w:val="24"/>
        </w:rPr>
        <w:t xml:space="preserve">Derived complement activity metrics</w:t>
      </w:r>
    </w:p>
    <w:p>
      <w:pPr>
        <w:spacing w:after="180"/>
        <w:jc w:val="both"/>
      </w:pPr>
      <w:r>
        <w:rPr>
          <w:rFonts w:ascii="Arial" w:cs="Arial" w:eastAsia="Arial" w:hAnsi="Arial"/>
          <w:sz w:val="24"/>
          <w:szCs w:val="24"/>
        </w:rPr>
        <w:t xml:space="preserve">Four summary metrics were computed per cell from the six pathway scores. The </w:t>
      </w:r>
      <w:r>
        <w:rPr>
          <w:rFonts w:ascii="Arial" w:cs="Arial" w:eastAsia="Arial" w:hAnsi="Arial"/>
          <w:i/>
          <w:iCs/>
          <w:sz w:val="24"/>
          <w:szCs w:val="24"/>
        </w:rPr>
        <w:t xml:space="preserve">production score</w:t>
      </w:r>
      <w:r>
        <w:rPr>
          <w:rFonts w:ascii="Arial" w:cs="Arial" w:eastAsia="Arial" w:hAnsi="Arial"/>
          <w:sz w:val="24"/>
          <w:szCs w:val="24"/>
        </w:rPr>
        <w:t xml:space="preserve"> was defined as the arithmetic mean of the classical, lectin, alternative, terminal, and regulator scores, reflecting the overall complement biosynthetic burden. The </w:t>
      </w:r>
      <w:r>
        <w:rPr>
          <w:rFonts w:ascii="Arial" w:cs="Arial" w:eastAsia="Arial" w:hAnsi="Arial"/>
          <w:i/>
          <w:iCs/>
          <w:sz w:val="24"/>
          <w:szCs w:val="24"/>
        </w:rPr>
        <w:t xml:space="preserve">response score</w:t>
      </w:r>
      <w:r>
        <w:rPr>
          <w:rFonts w:ascii="Arial" w:cs="Arial" w:eastAsia="Arial" w:hAnsi="Arial"/>
          <w:sz w:val="24"/>
          <w:szCs w:val="24"/>
        </w:rPr>
        <w:t xml:space="preserve"> was set equal to the receptor score, representing a cell’s transcriptional readiness to respond to complement fragments. The </w:t>
      </w:r>
      <w:r>
        <w:rPr>
          <w:rFonts w:ascii="Arial" w:cs="Arial" w:eastAsia="Arial" w:hAnsi="Arial"/>
          <w:i/>
          <w:iCs/>
          <w:sz w:val="24"/>
          <w:szCs w:val="24"/>
        </w:rPr>
        <w:t xml:space="preserve">activation index</w:t>
      </w:r>
      <w:r>
        <w:rPr>
          <w:rFonts w:ascii="Arial" w:cs="Arial" w:eastAsia="Arial" w:hAnsi="Arial"/>
          <w:sz w:val="24"/>
          <w:szCs w:val="24"/>
        </w:rPr>
        <w:t xml:space="preserve"> was computed as the mean of the classical, lectin, alternative, terminal, and receptor scores minus the regulator score, providing a signed measure of net complement activation (positive values indicate activation-dominant states; negative values indicate regulator-dominant states). The </w:t>
      </w:r>
      <w:r>
        <w:rPr>
          <w:rFonts w:ascii="Arial" w:cs="Arial" w:eastAsia="Arial" w:hAnsi="Arial"/>
          <w:i/>
          <w:iCs/>
          <w:sz w:val="24"/>
          <w:szCs w:val="24"/>
        </w:rPr>
        <w:t xml:space="preserve">net complement load</w:t>
      </w:r>
      <w:r>
        <w:rPr>
          <w:rFonts w:ascii="Arial" w:cs="Arial" w:eastAsia="Arial" w:hAnsi="Arial"/>
          <w:sz w:val="24"/>
          <w:szCs w:val="24"/>
        </w:rPr>
        <w:t xml:space="preserve"> was the arithmetic sum of all six pathway scores. For each cell, the </w:t>
      </w:r>
      <w:r>
        <w:rPr>
          <w:rFonts w:ascii="Arial" w:cs="Arial" w:eastAsia="Arial" w:hAnsi="Arial"/>
          <w:i/>
          <w:iCs/>
          <w:sz w:val="24"/>
          <w:szCs w:val="24"/>
        </w:rPr>
        <w:t xml:space="preserve">dominant pathway</w:t>
      </w:r>
      <w:r>
        <w:rPr>
          <w:rFonts w:ascii="Arial" w:cs="Arial" w:eastAsia="Arial" w:hAnsi="Arial"/>
          <w:sz w:val="24"/>
          <w:szCs w:val="24"/>
        </w:rPr>
        <w:t xml:space="preserve"> was assigned as the pathway score with the highest value using </w:t>
      </w:r>
      <w:r>
        <w:rPr>
          <w:rFonts w:ascii="Arial" w:cs="Arial" w:eastAsia="Arial" w:hAnsi="Arial"/>
          <w:i/>
          <w:iCs/>
          <w:sz w:val="24"/>
          <w:szCs w:val="24"/>
        </w:rPr>
        <w:t xml:space="preserve">idxmax</w:t>
      </w:r>
      <w:r>
        <w:rPr>
          <w:rFonts w:ascii="Arial" w:cs="Arial" w:eastAsia="Arial" w:hAnsi="Arial"/>
          <w:sz w:val="24"/>
          <w:szCs w:val="24"/>
        </w:rPr>
        <w:t xml:space="preserve">.</w:t>
      </w:r>
    </w:p>
    <w:p>
      <w:pPr>
        <w:pStyle w:val="Heading2"/>
      </w:pPr>
      <w:r>
        <w:rPr>
          <w:rFonts w:ascii="Arial" w:cs="Arial" w:eastAsia="Arial" w:hAnsi="Arial"/>
          <w:b/>
          <w:bCs/>
          <w:sz w:val="24"/>
          <w:szCs w:val="24"/>
        </w:rPr>
        <w:t xml:space="preserve">Donor-aware population ranking</w:t>
      </w:r>
    </w:p>
    <w:p>
      <w:pPr>
        <w:spacing w:after="180"/>
        <w:jc w:val="both"/>
      </w:pPr>
      <w:r>
        <w:rPr>
          <w:rFonts w:ascii="Arial" w:cs="Arial" w:eastAsia="Arial" w:hAnsi="Arial"/>
          <w:sz w:val="24"/>
          <w:szCs w:val="24"/>
        </w:rPr>
        <w:t xml:space="preserve">For each of the eight annotation layers, complement activity statistics were computed for every cell-type population using a two-stage donor-aware aggregation procedure. In the first stage, cells were grouped by population and donor to yield per-donor mean complement scores, ensuring that the subsequent population-level statistics were not inflated by unequal cell numbers across donors (pseudoreplication). In the second stage, population-level means, standard deviations, and compositional statistics were computed across donors.</w:t>
      </w:r>
    </w:p>
    <w:p>
      <w:pPr>
        <w:spacing w:after="180"/>
        <w:jc w:val="both"/>
      </w:pPr>
      <w:r>
        <w:rPr>
          <w:rFonts w:ascii="Arial" w:cs="Arial" w:eastAsia="Arial" w:hAnsi="Arial"/>
          <w:sz w:val="24"/>
          <w:szCs w:val="24"/>
        </w:rPr>
        <w:t xml:space="preserve">The association between complement activation and kidney disease severity was assessed using Spearman rank correlation (</w:t>
      </w:r>
      <w:r>
        <w:rPr>
          <w:rFonts w:ascii="Arial" w:cs="Arial" w:eastAsia="Arial" w:hAnsi="Arial"/>
          <w:i/>
          <w:iCs/>
          <w:sz w:val="24"/>
          <w:szCs w:val="24"/>
        </w:rPr>
        <w:t xml:space="preserve">ρ</w:t>
      </w:r>
      <w:r>
        <w:rPr>
          <w:rFonts w:ascii="Arial" w:cs="Arial" w:eastAsia="Arial" w:hAnsi="Arial"/>
          <w:sz w:val="24"/>
          <w:szCs w:val="24"/>
        </w:rPr>
        <w:t xml:space="preserve">) between donor-level mean activation index and donor-level kidney severity score, computed using </w:t>
      </w:r>
      <w:r>
        <w:rPr>
          <w:rFonts w:ascii="Arial" w:cs="Arial" w:eastAsia="Arial" w:hAnsi="Arial"/>
          <w:i/>
          <w:iCs/>
          <w:sz w:val="24"/>
          <w:szCs w:val="24"/>
        </w:rPr>
        <w:t xml:space="preserve">scipy.stats.spearmanr</w:t>
      </w:r>
      <w:r>
        <w:rPr>
          <w:sz w:val="20"/>
          <w:szCs w:val="20"/>
          <w:vertAlign w:val="superscript"/>
        </w:rPr>
        <w:t xml:space="preserve">[CITE SciPy]</w:t>
      </w:r>
      <w:r>
        <w:rPr>
          <w:rFonts w:ascii="Arial" w:cs="Arial" w:eastAsia="Arial" w:hAnsi="Arial"/>
          <w:sz w:val="24"/>
          <w:szCs w:val="24"/>
        </w:rPr>
        <w:t xml:space="preserve">. Correlations were only computed for populations with data from at least five donors spanning at least two distinct severity bins. Populations were additionally required to contain at least 500 cells to be considered as candidates for downstream trajectory analysis.</w:t>
      </w:r>
    </w:p>
    <w:p>
      <w:pPr>
        <w:spacing w:after="180"/>
        <w:jc w:val="both"/>
      </w:pPr>
      <w:r>
        <w:rPr>
          <w:rFonts w:ascii="Arial" w:cs="Arial" w:eastAsia="Arial" w:hAnsi="Arial"/>
          <w:sz w:val="24"/>
          <w:szCs w:val="24"/>
        </w:rPr>
        <w:t xml:space="preserve">Disease-stratified complement dynamics were characterised by computing the mean activation index separately for normal, CKD, and AKI donors within each population, yielding CKD-versus-normal and AKI-versus-normal delta values, and a disease dynamic range (maximum minus minimum mean across the three groups). Populations were classified by severity association type: </w:t>
      </w:r>
      <w:r>
        <w:rPr>
          <w:rFonts w:ascii="Arial" w:cs="Arial" w:eastAsia="Arial" w:hAnsi="Arial"/>
          <w:i/>
          <w:iCs/>
          <w:sz w:val="24"/>
          <w:szCs w:val="24"/>
        </w:rPr>
        <w:t xml:space="preserve">hyperactivation</w:t>
      </w:r>
      <w:r>
        <w:rPr>
          <w:rFonts w:ascii="Arial" w:cs="Arial" w:eastAsia="Arial" w:hAnsi="Arial"/>
          <w:sz w:val="24"/>
          <w:szCs w:val="24"/>
        </w:rPr>
        <w:t xml:space="preserve"> (positive ρ and positive mean activation index), </w:t>
      </w:r>
      <w:r>
        <w:rPr>
          <w:rFonts w:ascii="Arial" w:cs="Arial" w:eastAsia="Arial" w:hAnsi="Arial"/>
          <w:i/>
          <w:iCs/>
          <w:sz w:val="24"/>
          <w:szCs w:val="24"/>
        </w:rPr>
        <w:t xml:space="preserve">positive dysregulation</w:t>
      </w:r>
      <w:r>
        <w:rPr>
          <w:rFonts w:ascii="Arial" w:cs="Arial" w:eastAsia="Arial" w:hAnsi="Arial"/>
          <w:sz w:val="24"/>
          <w:szCs w:val="24"/>
        </w:rPr>
        <w:t xml:space="preserve"> (positive ρ only), or </w:t>
      </w:r>
      <w:r>
        <w:rPr>
          <w:rFonts w:ascii="Arial" w:cs="Arial" w:eastAsia="Arial" w:hAnsi="Arial"/>
          <w:i/>
          <w:iCs/>
          <w:sz w:val="24"/>
          <w:szCs w:val="24"/>
        </w:rPr>
        <w:t xml:space="preserve">suppression</w:t>
      </w:r>
      <w:r>
        <w:rPr>
          <w:rFonts w:ascii="Arial" w:cs="Arial" w:eastAsia="Arial" w:hAnsi="Arial"/>
          <w:sz w:val="24"/>
          <w:szCs w:val="24"/>
        </w:rPr>
        <w:t xml:space="preserve"> (negative ρ).</w:t>
      </w:r>
    </w:p>
    <w:p>
      <w:pPr>
        <w:spacing w:after="180"/>
        <w:jc w:val="both"/>
      </w:pPr>
      <w:r>
        <w:rPr>
          <w:rFonts w:ascii="Arial" w:cs="Arial" w:eastAsia="Arial" w:hAnsi="Arial"/>
          <w:sz w:val="24"/>
          <w:szCs w:val="24"/>
        </w:rPr>
        <w:t xml:space="preserve">A composite dysregulation priority score was computed to rank populations by the strength and reliability of their complement dysregulation signal. Five components were independently z-scored and summed: (i) magnitude of mean activation index, (ii) absolute Spearman ρ with severity, (iii) disease dynamic range, (iv) log₁(1 + number of donors), and (v) log₁(1 + number of cells). Z-scoring was performed across all populations within each annotation layer, and populations failing any quality filter received a priority score but were excluded from candidate shortlists.</w:t>
      </w:r>
    </w:p>
    <w:p>
      <w:pPr>
        <w:pStyle w:val="Heading2"/>
      </w:pPr>
      <w:r>
        <w:rPr>
          <w:rFonts w:ascii="Arial" w:cs="Arial" w:eastAsia="Arial" w:hAnsi="Arial"/>
          <w:b/>
          <w:bCs/>
          <w:sz w:val="24"/>
          <w:szCs w:val="24"/>
        </w:rPr>
        <w:t xml:space="preserve">Pseudotime trajectory analysis</w:t>
      </w:r>
    </w:p>
    <w:p>
      <w:pPr>
        <w:spacing w:after="180"/>
        <w:jc w:val="both"/>
      </w:pPr>
      <w:r>
        <w:rPr>
          <w:rFonts w:ascii="Arial" w:cs="Arial" w:eastAsia="Arial" w:hAnsi="Arial"/>
          <w:sz w:val="24"/>
          <w:szCs w:val="24"/>
        </w:rPr>
        <w:t xml:space="preserve">Trajectory analyses were conducted for 14 predefined lineage axes spanning major kidney cell compartments, plus up to 12 additional axes focused on the highest-ranked cell types from the population ranking. For each trajectory, cells were subset to the relevant lineage and, where necessary, stratified-sampled to a maximum cell count (range: 8,000–40,000 cells depending on lineage size) with proportional representation maintained across cell subtype, disease state, and functional cell state strata.</w:t>
      </w:r>
    </w:p>
    <w:p>
      <w:pPr>
        <w:spacing w:after="180"/>
        <w:jc w:val="both"/>
      </w:pPr>
      <w:r>
        <w:rPr>
          <w:rFonts w:ascii="Arial" w:cs="Arial" w:eastAsia="Arial" w:hAnsi="Arial"/>
          <w:sz w:val="24"/>
          <w:szCs w:val="24"/>
        </w:rPr>
        <w:t xml:space="preserve">Within each subset, a new k-nearest-neighbour graph was constructed (k = 30) on the scVI latent representation, followed by diffusion map computation</w:t>
      </w:r>
      <w:r>
        <w:rPr>
          <w:sz w:val="20"/>
          <w:szCs w:val="20"/>
          <w:vertAlign w:val="superscript"/>
        </w:rPr>
        <w:t xml:space="preserve">[CITE Coifman &amp; Lafon 2006 / Haghverdi et al. 2016 DPT]</w:t>
      </w:r>
      <w:r>
        <w:rPr>
          <w:rFonts w:ascii="Arial" w:cs="Arial" w:eastAsia="Arial" w:hAnsi="Arial"/>
          <w:sz w:val="24"/>
          <w:szCs w:val="24"/>
        </w:rPr>
        <w:t xml:space="preserve"> using 16 diffusion components. A homeostatic root cell was selected by preferentially choosing a cell from normal-disease donors in a reference functional state (</w:t>
      </w:r>
      <w:r>
        <w:rPr>
          <w:rFonts w:ascii="Arial" w:cs="Arial" w:eastAsia="Arial" w:hAnsi="Arial"/>
          <w:i/>
          <w:iCs/>
          <w:sz w:val="24"/>
          <w:szCs w:val="24"/>
        </w:rPr>
        <w:t xml:space="preserve">CellStateLevel1 = 'reference'</w:t>
      </w:r>
      <w:r>
        <w:rPr>
          <w:rFonts w:ascii="Arial" w:cs="Arial" w:eastAsia="Arial" w:hAnsi="Arial"/>
          <w:sz w:val="24"/>
          <w:szCs w:val="24"/>
        </w:rPr>
        <w:t xml:space="preserve">), and among those, selecting the cell with the smallest absolute activation index to anchor pseudotime at the most complement-quiescent, homeostatic cell available. Diffusion pseudotime (DPT)</w:t>
      </w:r>
      <w:r>
        <w:rPr>
          <w:sz w:val="20"/>
          <w:szCs w:val="20"/>
          <w:vertAlign w:val="superscript"/>
        </w:rPr>
        <w:t xml:space="preserve">[CITE Haghverdi et al. 2016 Nat Methods DPT]</w:t>
      </w:r>
      <w:r>
        <w:rPr>
          <w:rFonts w:ascii="Arial" w:cs="Arial" w:eastAsia="Arial" w:hAnsi="Arial"/>
          <w:sz w:val="24"/>
          <w:szCs w:val="24"/>
        </w:rPr>
        <w:t xml:space="preserve"> was computed using 15 diffusion components via </w:t>
      </w:r>
      <w:r>
        <w:rPr>
          <w:rFonts w:ascii="Arial" w:cs="Arial" w:eastAsia="Arial" w:hAnsi="Arial"/>
          <w:i/>
          <w:iCs/>
          <w:sz w:val="24"/>
          <w:szCs w:val="24"/>
        </w:rPr>
        <w:t xml:space="preserve">sc.tl.dpt</w:t>
      </w:r>
      <w:r>
        <w:rPr>
          <w:rFonts w:ascii="Arial" w:cs="Arial" w:eastAsia="Arial" w:hAnsi="Arial"/>
          <w:sz w:val="24"/>
          <w:szCs w:val="24"/>
        </w:rPr>
        <w:t xml:space="preserve">. Cells were subsequently assigned to one of five equal-frequency pseudotime bins (quintiles) to enable robust donor-level aggregation.</w:t>
      </w:r>
    </w:p>
    <w:p>
      <w:pPr>
        <w:spacing w:after="180"/>
        <w:jc w:val="both"/>
      </w:pPr>
      <w:r>
        <w:rPr>
          <w:rFonts w:ascii="Arial" w:cs="Arial" w:eastAsia="Arial" w:hAnsi="Arial"/>
          <w:sz w:val="24"/>
          <w:szCs w:val="24"/>
        </w:rPr>
        <w:t xml:space="preserve">The association between pseudotime progression and each complement metric was quantified using two complementary Spearman correlations: a cell-level correlation between continuous DPT values and the metric across all cells in the trajectory subset, and a donor-bin-level correlation between quintile bin identity and the donor-mean metric value within each bin. The donor-bin correlation was treated as the primary result, as it is robust to within-donor cell-sampling imbalance and pseudoreplication.</w:t>
      </w:r>
    </w:p>
    <w:p>
      <w:pPr>
        <w:pStyle w:val="Heading2"/>
      </w:pPr>
      <w:r>
        <w:rPr>
          <w:rFonts w:ascii="Arial" w:cs="Arial" w:eastAsia="Arial" w:hAnsi="Arial"/>
          <w:b/>
          <w:bCs/>
          <w:sz w:val="24"/>
          <w:szCs w:val="24"/>
        </w:rPr>
        <w:t xml:space="preserve">DECIPHER trajectory modelling for publication subsets</w:t>
      </w:r>
    </w:p>
    <w:p>
      <w:pPr>
        <w:spacing w:after="180"/>
        <w:jc w:val="both"/>
      </w:pPr>
      <w:r>
        <w:rPr>
          <w:rFonts w:ascii="Arial" w:cs="Arial" w:eastAsia="Arial" w:hAnsi="Arial"/>
          <w:sz w:val="24"/>
          <w:szCs w:val="24"/>
        </w:rPr>
        <w:t xml:space="preserve">To generate publication-quality trajectory models for six biologically prioritised cell populations (parietal epithelial cells/podocytes, collecting duct principal cells, fibroblasts/stromal cells, macrophages/myeloid cells, endothelial/vascular smooth muscle cells, and papillary epithelial cells), DECIPHER</w:t>
      </w:r>
      <w:r>
        <w:rPr>
          <w:sz w:val="20"/>
          <w:szCs w:val="20"/>
          <w:vertAlign w:val="superscript"/>
        </w:rPr>
        <w:t xml:space="preserve">[CITE DECIPHER / scvi-tools DECIPHER]</w:t>
      </w:r>
      <w:r>
        <w:rPr>
          <w:rFonts w:ascii="Arial" w:cs="Arial" w:eastAsia="Arial" w:hAnsi="Arial"/>
          <w:sz w:val="24"/>
          <w:szCs w:val="24"/>
        </w:rPr>
        <w:t xml:space="preserve"> was applied as implemented in </w:t>
      </w:r>
      <w:r>
        <w:rPr>
          <w:rFonts w:ascii="Arial" w:cs="Arial" w:eastAsia="Arial" w:hAnsi="Arial"/>
          <w:i/>
          <w:iCs/>
          <w:sz w:val="24"/>
          <w:szCs w:val="24"/>
        </w:rPr>
        <w:t xml:space="preserve">scvi.external.Decipher</w:t>
      </w:r>
      <w:r>
        <w:rPr>
          <w:rFonts w:ascii="Arial" w:cs="Arial" w:eastAsia="Arial" w:hAnsi="Arial"/>
          <w:sz w:val="24"/>
          <w:szCs w:val="24"/>
        </w:rPr>
        <w:t xml:space="preserve">. DECIPHER disentangles a low-dimensional biological programme space (</w:t>
      </w:r>
      <w:r>
        <w:rPr>
          <w:rFonts w:ascii="Arial" w:cs="Arial" w:eastAsia="Arial" w:hAnsi="Arial"/>
          <w:i/>
          <w:iCs/>
          <w:sz w:val="24"/>
          <w:szCs w:val="24"/>
        </w:rPr>
        <w:t xml:space="preserve">v</w:t>
      </w:r>
      <w:r>
        <w:rPr>
          <w:rFonts w:ascii="Arial" w:cs="Arial" w:eastAsia="Arial" w:hAnsi="Arial"/>
          <w:sz w:val="24"/>
          <w:szCs w:val="24"/>
        </w:rPr>
        <w:t xml:space="preserve">, dim = 3) from a higher-dimensional residual cell-state space (</w:t>
      </w:r>
      <w:r>
        <w:rPr>
          <w:rFonts w:ascii="Arial" w:cs="Arial" w:eastAsia="Arial" w:hAnsi="Arial"/>
          <w:i/>
          <w:iCs/>
          <w:sz w:val="24"/>
          <w:szCs w:val="24"/>
        </w:rPr>
        <w:t xml:space="preserve">z</w:t>
      </w:r>
      <w:r>
        <w:rPr>
          <w:rFonts w:ascii="Arial" w:cs="Arial" w:eastAsia="Arial" w:hAnsi="Arial"/>
          <w:sz w:val="24"/>
          <w:szCs w:val="24"/>
        </w:rPr>
        <w:t xml:space="preserve">, dim = 16) within a variational framework, improving the separation of complement-programme variation from confounding transcriptional heterogeneity. Models were trained for up to 80 epochs using automatic hardware acceleration.</w:t>
      </w:r>
    </w:p>
    <w:p>
      <w:pPr>
        <w:spacing w:after="60" w:before="60"/>
      </w:pPr>
      <w:r>
        <w:rPr>
          <w:rFonts w:ascii="Arial" w:cs="Arial" w:eastAsia="Arial" w:hAnsi="Arial"/>
          <w:b/>
          <w:bCs/>
          <w:color w:val="C00000"/>
          <w:sz w:val="22"/>
          <w:szCs w:val="22"/>
        </w:rPr>
        <w:t xml:space="preserve">[NOTE: </w:t>
      </w:r>
      <w:r>
        <w:rPr>
          <w:rFonts w:ascii="Arial" w:cs="Arial" w:eastAsia="Arial" w:hAnsi="Arial"/>
          <w:color w:val="C00000"/>
          <w:sz w:val="22"/>
          <w:szCs w:val="22"/>
        </w:rPr>
        <w:t xml:space="preserve">Confirm the primary DECIPHER citation — it is implemented in scvi-tools but may have a standalone publication. Please verify and insert the correct reference.</w:t>
      </w:r>
      <w:r>
        <w:rPr>
          <w:rFonts w:ascii="Arial" w:cs="Arial" w:eastAsia="Arial" w:hAnsi="Arial"/>
          <w:b/>
          <w:bCs/>
          <w:color w:val="C00000"/>
          <w:sz w:val="22"/>
          <w:szCs w:val="22"/>
        </w:rPr>
        <w:t xml:space="preserve">]</w:t>
      </w:r>
    </w:p>
    <w:p>
      <w:pPr>
        <w:spacing w:after="180"/>
        <w:jc w:val="both"/>
      </w:pPr>
      <w:r>
        <w:rPr>
          <w:rFonts w:ascii="Arial" w:cs="Arial" w:eastAsia="Arial" w:hAnsi="Arial"/>
          <w:sz w:val="24"/>
          <w:szCs w:val="24"/>
        </w:rPr>
        <w:t xml:space="preserve">After training, the programme embedding (</w:t>
      </w:r>
      <w:r>
        <w:rPr>
          <w:rFonts w:ascii="Arial" w:cs="Arial" w:eastAsia="Arial" w:hAnsi="Arial"/>
          <w:i/>
          <w:iCs/>
          <w:sz w:val="24"/>
          <w:szCs w:val="24"/>
        </w:rPr>
        <w:t xml:space="preserve">X_decipher_v</w:t>
      </w:r>
      <w:r>
        <w:rPr>
          <w:rFonts w:ascii="Arial" w:cs="Arial" w:eastAsia="Arial" w:hAnsi="Arial"/>
          <w:sz w:val="24"/>
          <w:szCs w:val="24"/>
        </w:rPr>
        <w:t xml:space="preserve">) was used to construct a new neighbourhood graph (k = 30), from which UMAP coordinates and a diffusion map were computed. DPT pseudotime was then calculated as described above. For each subset, pseudotime orientation was verified by computing the Spearman correlation between raw DPT and the pre-specified expected complement metric for that cell type; where the sign of the correlation was inconsistent with the expected biological direction, pseudotime was inverted (1 − DPT) to ensure bin 1 consistently represents the homeostatic state. Oriented pseudotime was binned into five quintiles (</w:t>
      </w:r>
      <w:r>
        <w:rPr>
          <w:rFonts w:ascii="Arial" w:cs="Arial" w:eastAsia="Arial" w:hAnsi="Arial"/>
          <w:i/>
          <w:iCs/>
          <w:sz w:val="24"/>
          <w:szCs w:val="24"/>
        </w:rPr>
        <w:t xml:space="preserve">decipher_bin</w:t>
      </w:r>
      <w:r>
        <w:rPr>
          <w:rFonts w:ascii="Arial" w:cs="Arial" w:eastAsia="Arial" w:hAnsi="Arial"/>
          <w:sz w:val="24"/>
          <w:szCs w:val="24"/>
        </w:rPr>
        <w:t xml:space="preserve">) for donor-aware trend analysis. Disease-stratified Spearman correlations between bin identity and key metrics were computed separately for normal, CKD, and AKI donors, and pooled across all disease groups, using donor-bin mean values as the unit of analysis.</w:t>
      </w:r>
    </w:p>
    <w:p>
      <w:pPr>
        <w:pStyle w:val="Heading2"/>
      </w:pPr>
      <w:r>
        <w:rPr>
          <w:rFonts w:ascii="Arial" w:cs="Arial" w:eastAsia="Arial" w:hAnsi="Arial"/>
          <w:b/>
          <w:bCs/>
          <w:sz w:val="24"/>
          <w:szCs w:val="24"/>
        </w:rPr>
        <w:t xml:space="preserve">Software and reproducibility</w:t>
      </w:r>
    </w:p>
    <w:p>
      <w:pPr>
        <w:spacing w:after="180"/>
        <w:jc w:val="both"/>
      </w:pPr>
      <w:r>
        <w:rPr>
          <w:rFonts w:ascii="Arial" w:cs="Arial" w:eastAsia="Arial" w:hAnsi="Arial"/>
          <w:sz w:val="24"/>
          <w:szCs w:val="24"/>
        </w:rPr>
        <w:t xml:space="preserve">All analyses were performed in Python. Core packages used were: Scanpy</w:t>
      </w:r>
      <w:r>
        <w:rPr>
          <w:sz w:val="20"/>
          <w:szCs w:val="20"/>
          <w:vertAlign w:val="superscript"/>
        </w:rPr>
        <w:t xml:space="preserve">[CITE Wolf et al. 2018]</w:t>
      </w:r>
      <w:r>
        <w:rPr>
          <w:rFonts w:ascii="Arial" w:cs="Arial" w:eastAsia="Arial" w:hAnsi="Arial"/>
          <w:sz w:val="24"/>
          <w:szCs w:val="24"/>
        </w:rPr>
        <w:t xml:space="preserve"> for single-cell data handling and visualisation; scvi-tools</w:t>
      </w:r>
      <w:r>
        <w:rPr>
          <w:sz w:val="20"/>
          <w:szCs w:val="20"/>
          <w:vertAlign w:val="superscript"/>
        </w:rPr>
        <w:t xml:space="preserve">[CITE scvi-tools]</w:t>
      </w:r>
      <w:r>
        <w:rPr>
          <w:rFonts w:ascii="Arial" w:cs="Arial" w:eastAsia="Arial" w:hAnsi="Arial"/>
          <w:sz w:val="24"/>
          <w:szCs w:val="24"/>
        </w:rPr>
        <w:t xml:space="preserve"> for scVI and DECIPHER modelling; NumPy</w:t>
      </w:r>
      <w:r>
        <w:rPr>
          <w:sz w:val="20"/>
          <w:szCs w:val="20"/>
          <w:vertAlign w:val="superscript"/>
        </w:rPr>
        <w:t xml:space="preserve">[CITE NumPy]</w:t>
      </w:r>
      <w:r>
        <w:rPr>
          <w:rFonts w:ascii="Arial" w:cs="Arial" w:eastAsia="Arial" w:hAnsi="Arial"/>
          <w:sz w:val="24"/>
          <w:szCs w:val="24"/>
        </w:rPr>
        <w:t xml:space="preserve">; pandas</w:t>
      </w:r>
      <w:r>
        <w:rPr>
          <w:sz w:val="20"/>
          <w:szCs w:val="20"/>
          <w:vertAlign w:val="superscript"/>
        </w:rPr>
        <w:t xml:space="preserve">[CITE pandas]</w:t>
      </w:r>
      <w:r>
        <w:rPr>
          <w:rFonts w:ascii="Arial" w:cs="Arial" w:eastAsia="Arial" w:hAnsi="Arial"/>
          <w:sz w:val="24"/>
          <w:szCs w:val="24"/>
        </w:rPr>
        <w:t xml:space="preserve">; SciPy</w:t>
      </w:r>
      <w:r>
        <w:rPr>
          <w:sz w:val="20"/>
          <w:szCs w:val="20"/>
          <w:vertAlign w:val="superscript"/>
        </w:rPr>
        <w:t xml:space="preserve">[CITE SciPy]</w:t>
      </w:r>
      <w:r>
        <w:rPr>
          <w:rFonts w:ascii="Arial" w:cs="Arial" w:eastAsia="Arial" w:hAnsi="Arial"/>
          <w:sz w:val="24"/>
          <w:szCs w:val="24"/>
        </w:rPr>
        <w:t xml:space="preserve">; Matplotlib</w:t>
      </w:r>
      <w:r>
        <w:rPr>
          <w:sz w:val="20"/>
          <w:szCs w:val="20"/>
          <w:vertAlign w:val="superscript"/>
        </w:rPr>
        <w:t xml:space="preserve">[CITE Matplotlib]</w:t>
      </w:r>
      <w:r>
        <w:rPr>
          <w:rFonts w:ascii="Arial" w:cs="Arial" w:eastAsia="Arial" w:hAnsi="Arial"/>
          <w:sz w:val="24"/>
          <w:szCs w:val="24"/>
        </w:rPr>
        <w:t xml:space="preserve">; and seaborn</w:t>
      </w:r>
      <w:r>
        <w:rPr>
          <w:sz w:val="20"/>
          <w:szCs w:val="20"/>
          <w:vertAlign w:val="superscript"/>
        </w:rPr>
        <w:t xml:space="preserve">[CITE seaborn]</w:t>
      </w:r>
      <w:r>
        <w:rPr>
          <w:rFonts w:ascii="Arial" w:cs="Arial" w:eastAsia="Arial" w:hAnsi="Arial"/>
          <w:sz w:val="24"/>
          <w:szCs w:val="24"/>
        </w:rPr>
        <w:t xml:space="preserve">. Random seeds were fixed throughout (base seed = 700 for trajectory analyses; 900 for DECIPHER runs) to ensure reproducibility. Trained DECIPHER model weights were saved for each publication subset to enable inference on new data without retraining.</w:t>
      </w:r>
    </w:p>
    <w:p>
      <w:pPr>
        <w:spacing w:after="60" w:before="60"/>
      </w:pPr>
      <w:r>
        <w:rPr>
          <w:rFonts w:ascii="Arial" w:cs="Arial" w:eastAsia="Arial" w:hAnsi="Arial"/>
          <w:b/>
          <w:bCs/>
          <w:color w:val="C00000"/>
          <w:sz w:val="22"/>
          <w:szCs w:val="22"/>
        </w:rPr>
        <w:t xml:space="preserve">[NOTE: </w:t>
      </w:r>
      <w:r>
        <w:rPr>
          <w:rFonts w:ascii="Arial" w:cs="Arial" w:eastAsia="Arial" w:hAnsi="Arial"/>
          <w:color w:val="C00000"/>
          <w:sz w:val="22"/>
          <w:szCs w:val="22"/>
        </w:rPr>
        <w:t xml:space="preserve">Please add specific version numbers for all packages used. These can be obtained by running `pip show &lt;package&gt;` or reviewing your environment's requirements file.</w:t>
      </w:r>
      <w:r>
        <w:rPr>
          <w:rFonts w:ascii="Arial" w:cs="Arial" w:eastAsia="Arial" w:hAnsi="Arial"/>
          <w:b/>
          <w:bCs/>
          <w:color w:val="C00000"/>
          <w:sz w:val="22"/>
          <w:szCs w:val="22"/>
        </w:rPr>
        <w:t xml:space="preserve">]</w:t>
      </w:r>
    </w:p>
    <w:p>
      <w:pPr>
        <w:pStyle w:val="Heading1"/>
        <w:spacing w:before="480"/>
      </w:pPr>
      <w:r>
        <w:rPr>
          <w:rFonts w:ascii="Arial" w:cs="Arial" w:eastAsia="Arial" w:hAnsi="Arial"/>
          <w:b/>
          <w:bCs/>
          <w:sz w:val="28"/>
          <w:szCs w:val="28"/>
        </w:rPr>
        <w:t xml:space="preserve">References</w:t>
      </w:r>
    </w:p>
    <w:p>
      <w:pPr>
        <w:spacing w:after="80"/>
      </w:pPr>
      <w:r>
        <w:rPr>
          <w:rFonts w:ascii="Arial" w:cs="Arial" w:eastAsia="Arial" w:hAnsi="Arial"/>
          <w:i/>
          <w:iCs/>
          <w:color w:val="595959"/>
          <w:sz w:val="22"/>
          <w:szCs w:val="22"/>
        </w:rPr>
        <w:t xml:space="preserve">The following citations require confirmation and full bibliographic details:</w:t>
      </w:r>
    </w:p>
    <w:p>
      <w:pPr>
        <w:spacing w:after="60"/>
        <w:ind w:left="360" w:hanging="360"/>
      </w:pPr>
      <w:r>
        <w:rPr>
          <w:rFonts w:ascii="Arial" w:cs="Arial" w:eastAsia="Arial" w:hAnsi="Arial"/>
          <w:sz w:val="22"/>
          <w:szCs w:val="22"/>
        </w:rPr>
        <w:t xml:space="preserve">1.  </w:t>
      </w:r>
      <w:r>
        <w:rPr>
          <w:rFonts w:ascii="Arial" w:cs="Arial" w:eastAsia="Arial" w:hAnsi="Arial"/>
          <w:b/>
          <w:bCs/>
          <w:sz w:val="22"/>
          <w:szCs w:val="22"/>
        </w:rPr>
        <w:t xml:space="preserve">CZ CELLxGENE Discover Census. </w:t>
      </w:r>
      <w:r>
        <w:rPr>
          <w:rFonts w:ascii="Arial" w:cs="Arial" w:eastAsia="Arial" w:hAnsi="Arial"/>
          <w:sz w:val="22"/>
          <w:szCs w:val="22"/>
        </w:rPr>
        <w:t xml:space="preserve">[FILL IN] Chan Zuckerberg Initiative. CZ CELLxGENE Discover. https://cellxgene.cziscience.com</w:t>
      </w:r>
    </w:p>
    <w:p>
      <w:pPr>
        <w:spacing w:after="60"/>
        <w:ind w:left="360" w:hanging="360"/>
      </w:pPr>
      <w:r>
        <w:rPr>
          <w:rFonts w:ascii="Arial" w:cs="Arial" w:eastAsia="Arial" w:hAnsi="Arial"/>
          <w:sz w:val="22"/>
          <w:szCs w:val="22"/>
        </w:rPr>
        <w:t xml:space="preserve">2.  </w:t>
      </w:r>
      <w:r>
        <w:rPr>
          <w:rFonts w:ascii="Arial" w:cs="Arial" w:eastAsia="Arial" w:hAnsi="Arial"/>
          <w:b/>
          <w:bCs/>
          <w:sz w:val="22"/>
          <w:szCs w:val="22"/>
        </w:rPr>
        <w:t xml:space="preserve">Lopez, R. et al. </w:t>
      </w:r>
      <w:r>
        <w:rPr>
          <w:rFonts w:ascii="Arial" w:cs="Arial" w:eastAsia="Arial" w:hAnsi="Arial"/>
          <w:i/>
          <w:iCs/>
          <w:sz w:val="22"/>
          <w:szCs w:val="22"/>
        </w:rPr>
        <w:t xml:space="preserve">Deep generative modelling for single-cell transcriptomics. </w:t>
      </w:r>
      <w:r>
        <w:rPr>
          <w:rFonts w:ascii="Arial" w:cs="Arial" w:eastAsia="Arial" w:hAnsi="Arial"/>
          <w:b w:val="false"/>
          <w:bCs w:val="false"/>
          <w:sz w:val="22"/>
          <w:szCs w:val="22"/>
        </w:rPr>
        <w:t xml:space="preserve">Nat. Methods </w:t>
      </w:r>
      <w:r>
        <w:rPr>
          <w:rFonts w:ascii="Arial" w:cs="Arial" w:eastAsia="Arial" w:hAnsi="Arial"/>
          <w:sz w:val="22"/>
          <w:szCs w:val="22"/>
        </w:rPr>
        <w:t xml:space="preserve">15, 1053–1058 (2018). [scVI]</w:t>
      </w:r>
    </w:p>
    <w:p>
      <w:pPr>
        <w:spacing w:after="60"/>
        <w:ind w:left="360" w:hanging="360"/>
      </w:pPr>
      <w:r>
        <w:rPr>
          <w:rFonts w:ascii="Arial" w:cs="Arial" w:eastAsia="Arial" w:hAnsi="Arial"/>
          <w:sz w:val="22"/>
          <w:szCs w:val="22"/>
        </w:rPr>
        <w:t xml:space="preserve">3.  </w:t>
      </w:r>
      <w:r>
        <w:rPr>
          <w:rFonts w:ascii="Arial" w:cs="Arial" w:eastAsia="Arial" w:hAnsi="Arial"/>
          <w:b/>
          <w:bCs/>
          <w:sz w:val="22"/>
          <w:szCs w:val="22"/>
        </w:rPr>
        <w:t xml:space="preserve">Boyeau, P. et al. </w:t>
      </w:r>
      <w:r>
        <w:rPr>
          <w:rFonts w:ascii="Arial" w:cs="Arial" w:eastAsia="Arial" w:hAnsi="Arial"/>
          <w:sz w:val="22"/>
          <w:szCs w:val="22"/>
        </w:rPr>
        <w:t xml:space="preserve">[FILL IN] Negative binomial count likelihoods for scVI. [Confirm full citation for Boyeau et al., 2023 as referenced in notebook code]</w:t>
      </w:r>
    </w:p>
    <w:p>
      <w:pPr>
        <w:spacing w:after="60"/>
        <w:ind w:left="360" w:hanging="360"/>
      </w:pPr>
      <w:r>
        <w:rPr>
          <w:rFonts w:ascii="Arial" w:cs="Arial" w:eastAsia="Arial" w:hAnsi="Arial"/>
          <w:sz w:val="22"/>
          <w:szCs w:val="22"/>
        </w:rPr>
        <w:t xml:space="preserve">4.  </w:t>
      </w:r>
      <w:r>
        <w:rPr>
          <w:rFonts w:ascii="Arial" w:cs="Arial" w:eastAsia="Arial" w:hAnsi="Arial"/>
          <w:b/>
          <w:bCs/>
          <w:sz w:val="22"/>
          <w:szCs w:val="22"/>
        </w:rPr>
        <w:t xml:space="preserve">Wolf, F.A., Angerer, P. &amp; Theis, F.J. </w:t>
      </w:r>
      <w:r>
        <w:rPr>
          <w:rFonts w:ascii="Arial" w:cs="Arial" w:eastAsia="Arial" w:hAnsi="Arial"/>
          <w:i/>
          <w:iCs/>
          <w:sz w:val="22"/>
          <w:szCs w:val="22"/>
        </w:rPr>
        <w:t xml:space="preserve">SCANPY: large-scale single-cell gene expression data analysis. </w:t>
      </w:r>
      <w:r>
        <w:rPr>
          <w:rFonts w:ascii="Arial" w:cs="Arial" w:eastAsia="Arial" w:hAnsi="Arial"/>
          <w:b w:val="false"/>
          <w:bCs w:val="false"/>
          <w:sz w:val="22"/>
          <w:szCs w:val="22"/>
        </w:rPr>
        <w:t xml:space="preserve">Genome Biol. </w:t>
      </w:r>
      <w:r>
        <w:rPr>
          <w:rFonts w:ascii="Arial" w:cs="Arial" w:eastAsia="Arial" w:hAnsi="Arial"/>
          <w:sz w:val="22"/>
          <w:szCs w:val="22"/>
        </w:rPr>
        <w:t xml:space="preserve">19, 15 (2018).</w:t>
      </w:r>
    </w:p>
    <w:p>
      <w:pPr>
        <w:spacing w:after="60"/>
        <w:ind w:left="360" w:hanging="360"/>
      </w:pPr>
      <w:r>
        <w:rPr>
          <w:rFonts w:ascii="Arial" w:cs="Arial" w:eastAsia="Arial" w:hAnsi="Arial"/>
          <w:sz w:val="22"/>
          <w:szCs w:val="22"/>
        </w:rPr>
        <w:t xml:space="preserve">5.  </w:t>
      </w:r>
      <w:r>
        <w:rPr>
          <w:rFonts w:ascii="Arial" w:cs="Arial" w:eastAsia="Arial" w:hAnsi="Arial"/>
          <w:b/>
          <w:bCs/>
          <w:sz w:val="22"/>
          <w:szCs w:val="22"/>
        </w:rPr>
        <w:t xml:space="preserve">McInnes, L., Healy, J. &amp; Melville, J. </w:t>
      </w:r>
      <w:r>
        <w:rPr>
          <w:rFonts w:ascii="Arial" w:cs="Arial" w:eastAsia="Arial" w:hAnsi="Arial"/>
          <w:i/>
          <w:iCs/>
          <w:sz w:val="22"/>
          <w:szCs w:val="22"/>
        </w:rPr>
        <w:t xml:space="preserve">UMAP: Uniform Manifold Approximation and Projection for Dimension Reduction. </w:t>
      </w:r>
      <w:r>
        <w:rPr>
          <w:rFonts w:ascii="Arial" w:cs="Arial" w:eastAsia="Arial" w:hAnsi="Arial"/>
          <w:sz w:val="22"/>
          <w:szCs w:val="22"/>
        </w:rPr>
        <w:t xml:space="preserve">arXiv:1802.03426 (2018). [CONFIRM journal publication if available]</w:t>
      </w:r>
    </w:p>
    <w:p>
      <w:pPr>
        <w:spacing w:after="60"/>
        <w:ind w:left="360" w:hanging="360"/>
      </w:pPr>
      <w:r>
        <w:rPr>
          <w:rFonts w:ascii="Arial" w:cs="Arial" w:eastAsia="Arial" w:hAnsi="Arial"/>
          <w:sz w:val="22"/>
          <w:szCs w:val="22"/>
        </w:rPr>
        <w:t xml:space="preserve">6.  </w:t>
      </w:r>
      <w:r>
        <w:rPr>
          <w:rFonts w:ascii="Arial" w:cs="Arial" w:eastAsia="Arial" w:hAnsi="Arial"/>
          <w:b/>
          <w:bCs/>
          <w:sz w:val="22"/>
          <w:szCs w:val="22"/>
        </w:rPr>
        <w:t xml:space="preserve">Haghverdi, L. et al. </w:t>
      </w:r>
      <w:r>
        <w:rPr>
          <w:rFonts w:ascii="Arial" w:cs="Arial" w:eastAsia="Arial" w:hAnsi="Arial"/>
          <w:i/>
          <w:iCs/>
          <w:sz w:val="22"/>
          <w:szCs w:val="22"/>
        </w:rPr>
        <w:t xml:space="preserve">Diffusion pseudotime robustly reconstructs lineage branching. </w:t>
      </w:r>
      <w:r>
        <w:rPr>
          <w:rFonts w:ascii="Arial" w:cs="Arial" w:eastAsia="Arial" w:hAnsi="Arial"/>
          <w:sz w:val="22"/>
          <w:szCs w:val="22"/>
        </w:rPr>
        <w:t xml:space="preserve">Nat. Methods </w:t>
      </w:r>
      <w:r>
        <w:rPr>
          <w:rFonts w:ascii="Arial" w:cs="Arial" w:eastAsia="Arial" w:hAnsi="Arial"/>
          <w:sz w:val="22"/>
          <w:szCs w:val="22"/>
        </w:rPr>
        <w:t xml:space="preserve">13, 845–848 (2016). [DPT — confirm this is the correct DPT citation for the sc.tl.dpt implementation used]</w:t>
      </w:r>
    </w:p>
    <w:p>
      <w:pPr>
        <w:spacing w:after="60"/>
        <w:ind w:left="360" w:hanging="360"/>
      </w:pPr>
      <w:r>
        <w:rPr>
          <w:rFonts w:ascii="Arial" w:cs="Arial" w:eastAsia="Arial" w:hAnsi="Arial"/>
          <w:sz w:val="22"/>
          <w:szCs w:val="22"/>
        </w:rPr>
        <w:t xml:space="preserve">7.  </w:t>
      </w:r>
      <w:r>
        <w:rPr>
          <w:rFonts w:ascii="Arial" w:cs="Arial" w:eastAsia="Arial" w:hAnsi="Arial"/>
          <w:b/>
          <w:bCs/>
          <w:sz w:val="22"/>
          <w:szCs w:val="22"/>
        </w:rPr>
        <w:t xml:space="preserve">Tirosh, I. et al. </w:t>
      </w:r>
      <w:r>
        <w:rPr>
          <w:rFonts w:ascii="Arial" w:cs="Arial" w:eastAsia="Arial" w:hAnsi="Arial"/>
          <w:i/>
          <w:iCs/>
          <w:sz w:val="22"/>
          <w:szCs w:val="22"/>
        </w:rPr>
        <w:t xml:space="preserve">Dissecting the multicellular ecosystem of metastatic melanoma by single-cell RNA-seq. </w:t>
      </w:r>
      <w:r>
        <w:rPr>
          <w:rFonts w:ascii="Arial" w:cs="Arial" w:eastAsia="Arial" w:hAnsi="Arial"/>
          <w:sz w:val="22"/>
          <w:szCs w:val="22"/>
        </w:rPr>
        <w:t xml:space="preserve">Science </w:t>
      </w:r>
      <w:r>
        <w:rPr>
          <w:rFonts w:ascii="Arial" w:cs="Arial" w:eastAsia="Arial" w:hAnsi="Arial"/>
          <w:sz w:val="22"/>
          <w:szCs w:val="22"/>
        </w:rPr>
        <w:t xml:space="preserve">352, 189–196 (2016). [Gene-set scoring method — confirm this matches sc.tl.score_genes implementation]</w:t>
      </w:r>
    </w:p>
    <w:p>
      <w:pPr>
        <w:spacing w:after="60"/>
        <w:ind w:left="360" w:hanging="360"/>
      </w:pPr>
      <w:r>
        <w:rPr>
          <w:rFonts w:ascii="Arial" w:cs="Arial" w:eastAsia="Arial" w:hAnsi="Arial"/>
          <w:sz w:val="22"/>
          <w:szCs w:val="22"/>
        </w:rPr>
        <w:t xml:space="preserve">8.  </w:t>
      </w:r>
      <w:r>
        <w:rPr>
          <w:rFonts w:ascii="Arial" w:cs="Arial" w:eastAsia="Arial" w:hAnsi="Arial"/>
          <w:b/>
          <w:bCs/>
          <w:sz w:val="22"/>
          <w:szCs w:val="22"/>
        </w:rPr>
        <w:t xml:space="preserve">DECIPHER. </w:t>
      </w:r>
      <w:r>
        <w:rPr>
          <w:rFonts w:ascii="Arial" w:cs="Arial" w:eastAsia="Arial" w:hAnsi="Arial"/>
          <w:sz w:val="22"/>
          <w:szCs w:val="22"/>
        </w:rPr>
        <w:t xml:space="preserve">[FILL IN] Primary citation for scvi.external.Decipher. Check scvi-tools documentation and the DECIPHER preprint/paper for the correct reference.</w:t>
      </w:r>
    </w:p>
    <w:p>
      <w:pPr>
        <w:spacing w:after="60"/>
        <w:ind w:left="360" w:hanging="360"/>
      </w:pPr>
      <w:r>
        <w:rPr>
          <w:rFonts w:ascii="Arial" w:cs="Arial" w:eastAsia="Arial" w:hAnsi="Arial"/>
          <w:sz w:val="22"/>
          <w:szCs w:val="22"/>
        </w:rPr>
        <w:t xml:space="preserve">9.  </w:t>
      </w:r>
      <w:r>
        <w:rPr>
          <w:rFonts w:ascii="Arial" w:cs="Arial" w:eastAsia="Arial" w:hAnsi="Arial"/>
          <w:b/>
          <w:bCs/>
          <w:sz w:val="22"/>
          <w:szCs w:val="22"/>
        </w:rPr>
        <w:t xml:space="preserve">Virtanen, P. et al. </w:t>
      </w:r>
      <w:r>
        <w:rPr>
          <w:rFonts w:ascii="Arial" w:cs="Arial" w:eastAsia="Arial" w:hAnsi="Arial"/>
          <w:i/>
          <w:iCs/>
          <w:sz w:val="22"/>
          <w:szCs w:val="22"/>
        </w:rPr>
        <w:t xml:space="preserve">SciPy 1.0: fundamental algorithms for scientific computing in Python. </w:t>
      </w:r>
      <w:r>
        <w:rPr>
          <w:rFonts w:ascii="Arial" w:cs="Arial" w:eastAsia="Arial" w:hAnsi="Arial"/>
          <w:sz w:val="22"/>
          <w:szCs w:val="22"/>
        </w:rPr>
        <w:t xml:space="preserve">Nat. Methods </w:t>
      </w:r>
      <w:r>
        <w:rPr>
          <w:rFonts w:ascii="Arial" w:cs="Arial" w:eastAsia="Arial" w:hAnsi="Arial"/>
          <w:sz w:val="22"/>
          <w:szCs w:val="22"/>
        </w:rPr>
        <w:t xml:space="preserve">17, 261–272 (2020).</w:t>
      </w:r>
    </w:p>
    <w:p>
      <w:pPr>
        <w:spacing w:after="60"/>
        <w:ind w:left="360" w:hanging="360"/>
      </w:pPr>
      <w:r>
        <w:rPr>
          <w:rFonts w:ascii="Arial" w:cs="Arial" w:eastAsia="Arial" w:hAnsi="Arial"/>
          <w:sz w:val="22"/>
          <w:szCs w:val="22"/>
        </w:rPr>
        <w:t xml:space="preserve">10.  </w:t>
      </w:r>
      <w:r>
        <w:rPr>
          <w:rFonts w:ascii="Arial" w:cs="Arial" w:eastAsia="Arial" w:hAnsi="Arial"/>
          <w:b/>
          <w:bCs/>
          <w:sz w:val="22"/>
          <w:szCs w:val="22"/>
        </w:rPr>
        <w:t xml:space="preserve">Harris, C.R. et al. </w:t>
      </w:r>
      <w:r>
        <w:rPr>
          <w:rFonts w:ascii="Arial" w:cs="Arial" w:eastAsia="Arial" w:hAnsi="Arial"/>
          <w:i/>
          <w:iCs/>
          <w:sz w:val="22"/>
          <w:szCs w:val="22"/>
        </w:rPr>
        <w:t xml:space="preserve">Array programming with NumPy. </w:t>
      </w:r>
      <w:r>
        <w:rPr>
          <w:rFonts w:ascii="Arial" w:cs="Arial" w:eastAsia="Arial" w:hAnsi="Arial"/>
          <w:sz w:val="22"/>
          <w:szCs w:val="22"/>
        </w:rPr>
        <w:t xml:space="preserve">Nature </w:t>
      </w:r>
      <w:r>
        <w:rPr>
          <w:rFonts w:ascii="Arial" w:cs="Arial" w:eastAsia="Arial" w:hAnsi="Arial"/>
          <w:sz w:val="22"/>
          <w:szCs w:val="22"/>
        </w:rPr>
        <w:t xml:space="preserve">585, 357–362 (2020).</w:t>
      </w:r>
    </w:p>
    <w:p>
      <w:pPr>
        <w:spacing w:after="60"/>
        <w:ind w:left="360" w:hanging="360"/>
      </w:pPr>
      <w:r>
        <w:rPr>
          <w:rFonts w:ascii="Arial" w:cs="Arial" w:eastAsia="Arial" w:hAnsi="Arial"/>
          <w:sz w:val="22"/>
          <w:szCs w:val="22"/>
        </w:rPr>
        <w:t xml:space="preserve">11.  </w:t>
      </w:r>
      <w:r>
        <w:rPr>
          <w:rFonts w:ascii="Arial" w:cs="Arial" w:eastAsia="Arial" w:hAnsi="Arial"/>
          <w:b/>
          <w:bCs/>
          <w:sz w:val="22"/>
          <w:szCs w:val="22"/>
        </w:rPr>
        <w:t xml:space="preserve">pandas development team. </w:t>
      </w:r>
      <w:r>
        <w:rPr>
          <w:rFonts w:ascii="Arial" w:cs="Arial" w:eastAsia="Arial" w:hAnsi="Arial"/>
          <w:sz w:val="22"/>
          <w:szCs w:val="22"/>
        </w:rPr>
        <w:t xml:space="preserve">pandas-dev/pandas: Pandas [FILL IN version]. Zenodo. [FILL IN DOI and year].</w:t>
      </w:r>
    </w:p>
    <w:p>
      <w:pPr>
        <w:spacing w:after="60"/>
        <w:ind w:left="360" w:hanging="360"/>
      </w:pPr>
      <w:r>
        <w:rPr>
          <w:rFonts w:ascii="Arial" w:cs="Arial" w:eastAsia="Arial" w:hAnsi="Arial"/>
          <w:sz w:val="22"/>
          <w:szCs w:val="22"/>
        </w:rPr>
        <w:t xml:space="preserve">12.  </w:t>
      </w:r>
      <w:r>
        <w:rPr>
          <w:rFonts w:ascii="Arial" w:cs="Arial" w:eastAsia="Arial" w:hAnsi="Arial"/>
          <w:b/>
          <w:bCs/>
          <w:sz w:val="22"/>
          <w:szCs w:val="22"/>
        </w:rPr>
        <w:t xml:space="preserve">Hunter, J.D. </w:t>
      </w:r>
      <w:r>
        <w:rPr>
          <w:rFonts w:ascii="Arial" w:cs="Arial" w:eastAsia="Arial" w:hAnsi="Arial"/>
          <w:i/>
          <w:iCs/>
          <w:sz w:val="22"/>
          <w:szCs w:val="22"/>
        </w:rPr>
        <w:t xml:space="preserve">Matplotlib: A 2D graphics environment. </w:t>
      </w:r>
      <w:r>
        <w:rPr>
          <w:rFonts w:ascii="Arial" w:cs="Arial" w:eastAsia="Arial" w:hAnsi="Arial"/>
          <w:sz w:val="22"/>
          <w:szCs w:val="22"/>
        </w:rPr>
        <w:t xml:space="preserve">Comput. Sci. Eng. </w:t>
      </w:r>
      <w:r>
        <w:rPr>
          <w:rFonts w:ascii="Arial" w:cs="Arial" w:eastAsia="Arial" w:hAnsi="Arial"/>
          <w:sz w:val="22"/>
          <w:szCs w:val="22"/>
        </w:rPr>
        <w:t xml:space="preserve">9, 90–95 (2007).</w:t>
      </w:r>
    </w:p>
    <w:p>
      <w:pPr>
        <w:spacing w:after="60"/>
        <w:ind w:left="360" w:hanging="360"/>
      </w:pPr>
      <w:r>
        <w:rPr>
          <w:rFonts w:ascii="Arial" w:cs="Arial" w:eastAsia="Arial" w:hAnsi="Arial"/>
          <w:sz w:val="22"/>
          <w:szCs w:val="22"/>
        </w:rPr>
        <w:t xml:space="preserve">13.  </w:t>
      </w:r>
      <w:r>
        <w:rPr>
          <w:rFonts w:ascii="Arial" w:cs="Arial" w:eastAsia="Arial" w:hAnsi="Arial"/>
          <w:b/>
          <w:bCs/>
          <w:sz w:val="22"/>
          <w:szCs w:val="22"/>
        </w:rPr>
        <w:t xml:space="preserve">Waskom, M. </w:t>
      </w:r>
      <w:r>
        <w:rPr>
          <w:rFonts w:ascii="Arial" w:cs="Arial" w:eastAsia="Arial" w:hAnsi="Arial"/>
          <w:i/>
          <w:iCs/>
          <w:sz w:val="22"/>
          <w:szCs w:val="22"/>
        </w:rPr>
        <w:t xml:space="preserve">seaborn: statistical data visualization. </w:t>
      </w:r>
      <w:r>
        <w:rPr>
          <w:rFonts w:ascii="Arial" w:cs="Arial" w:eastAsia="Arial" w:hAnsi="Arial"/>
          <w:sz w:val="22"/>
          <w:szCs w:val="22"/>
        </w:rPr>
        <w:t xml:space="preserve">J. Open Source Softw. </w:t>
      </w:r>
      <w:r>
        <w:rPr>
          <w:rFonts w:ascii="Arial" w:cs="Arial" w:eastAsia="Arial" w:hAnsi="Arial"/>
          <w:sz w:val="22"/>
          <w:szCs w:val="22"/>
        </w:rPr>
        <w:t xml:space="preserve">6, 3021 (2021).</w:t>
      </w:r>
    </w:p>
    <w:p>
      <w:pPr>
        <w:spacing w:after="60"/>
        <w:ind w:left="360" w:hanging="360"/>
      </w:pPr>
      <w:r>
        <w:rPr>
          <w:rFonts w:ascii="Arial" w:cs="Arial" w:eastAsia="Arial" w:hAnsi="Arial"/>
          <w:sz w:val="22"/>
          <w:szCs w:val="22"/>
        </w:rPr>
        <w:t xml:space="preserve">14.  </w:t>
      </w:r>
      <w:r>
        <w:rPr>
          <w:rFonts w:ascii="Arial" w:cs="Arial" w:eastAsia="Arial" w:hAnsi="Arial"/>
          <w:b/>
          <w:bCs/>
          <w:sz w:val="22"/>
          <w:szCs w:val="22"/>
        </w:rPr>
        <w:t xml:space="preserve">Gayoso, A. et al. </w:t>
      </w:r>
      <w:r>
        <w:rPr>
          <w:rFonts w:ascii="Arial" w:cs="Arial" w:eastAsia="Arial" w:hAnsi="Arial"/>
          <w:i/>
          <w:iCs/>
          <w:sz w:val="22"/>
          <w:szCs w:val="22"/>
        </w:rPr>
        <w:t xml:space="preserve">A Python library for probabilistic analysis of single-cell omics data. </w:t>
      </w:r>
      <w:r>
        <w:rPr>
          <w:rFonts w:ascii="Arial" w:cs="Arial" w:eastAsia="Arial" w:hAnsi="Arial"/>
          <w:sz w:val="22"/>
          <w:szCs w:val="22"/>
        </w:rPr>
        <w:t xml:space="preserve">Nat. Biotechnol. </w:t>
      </w:r>
      <w:r>
        <w:rPr>
          <w:rFonts w:ascii="Arial" w:cs="Arial" w:eastAsia="Arial" w:hAnsi="Arial"/>
          <w:sz w:val="22"/>
          <w:szCs w:val="22"/>
        </w:rPr>
        <w:t xml:space="preserve">40, 163–166 (2022). [scvi-tools — confirm this is the correct primary scvi-tools citation]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2026-05-24T23:09:36.537Z</dcterms:created>
  <dcterms:modified xsi:type="dcterms:W3CDTF">2026-05-24T23:09:36.537Z</dcterms:modified>
</cp:coreProperties>
</file>

<file path=docProps/custom.xml><?xml version="1.0" encoding="utf-8"?>
<Properties xmlns="http://schemas.openxmlformats.org/officeDocument/2006/custom-properties" xmlns:vt="http://schemas.openxmlformats.org/officeDocument/2006/docPropsVTypes"/>
</file>