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32"/>
        </w:rPr>
        <w:t>NORTHWIND TRADING LIMITED</w:t>
      </w:r>
    </w:p>
    <w:p>
      <w:r>
        <w:rPr>
          <w:rFonts w:ascii="Calibri" w:hAnsi="Calibri"/>
          <w:b w:val="0"/>
          <w:sz w:val="26"/>
        </w:rPr>
        <w:t>Financial Statements for the year ended 31 December 2025</w:t>
      </w:r>
    </w:p>
    <w:p>
      <w:r>
        <w:rPr>
          <w:rFonts w:ascii="Arial" w:hAnsi="Arial"/>
          <w:b w:val="0"/>
          <w:sz w:val="24"/>
        </w:rPr>
      </w:r>
    </w:p>
    <w:p>
      <w:r>
        <w:rPr>
          <w:rFonts w:ascii="Arial" w:hAnsi="Arial"/>
          <w:b/>
          <w:sz w:val="18"/>
        </w:rPr>
        <w:t>Contents</w:t>
      </w:r>
    </w:p>
    <w:p>
      <w:r>
        <w:rPr>
          <w:rFonts w:ascii="Arial" w:hAnsi="Arial"/>
          <w:b w:val="0"/>
          <w:sz w:val="22"/>
        </w:rPr>
        <w:t>Directors' report</w:t>
        <w:tab/>
        <w:t>1</w:t>
      </w:r>
    </w:p>
    <w:p>
      <w:r>
        <w:rPr>
          <w:rFonts w:ascii="Arial" w:hAnsi="Arial"/>
          <w:b w:val="0"/>
          <w:sz w:val="20"/>
        </w:rPr>
        <w:t>Statement of financial position</w:t>
        <w:tab/>
        <w:t>3</w:t>
      </w:r>
    </w:p>
    <w:p>
      <w:r>
        <w:rPr>
          <w:rFonts w:ascii="Verdana" w:hAnsi="Verdana"/>
          <w:b w:val="0"/>
          <w:sz w:val="18"/>
        </w:rPr>
        <w:t>Statement of profit or loss</w:t>
        <w:tab/>
        <w:t>4</w:t>
      </w:r>
    </w:p>
    <w:p>
      <w:r>
        <w:rPr>
          <w:rFonts w:ascii="Arial" w:hAnsi="Arial"/>
          <w:b w:val="0"/>
          <w:sz w:val="24"/>
        </w:rPr>
        <w:t>Statement of changes in equity</w:t>
        <w:tab/>
        <w:t>5</w:t>
      </w:r>
    </w:p>
    <w:p>
      <w:r>
        <w:rPr>
          <w:rFonts w:ascii="Arial" w:hAnsi="Arial"/>
          <w:b w:val="0"/>
          <w:sz w:val="20"/>
        </w:rPr>
        <w:t>Statement of cash flows</w:t>
        <w:tab/>
        <w:t>6</w:t>
      </w:r>
    </w:p>
    <w:p>
      <w:r>
        <w:rPr>
          <w:rFonts w:ascii="Arial" w:hAnsi="Arial"/>
          <w:b w:val="0"/>
          <w:sz w:val="24"/>
        </w:rPr>
        <w:t>Notes to the financial statements</w:t>
        <w:tab/>
        <w:t>7</w:t>
      </w:r>
    </w:p>
    <w:p>
      <w:r>
        <w:rPr>
          <w:rFonts w:ascii="Calibri" w:hAnsi="Calibri"/>
          <w:b w:val="0"/>
          <w:sz w:val="18"/>
        </w:rPr>
      </w:r>
    </w:p>
    <w:p>
      <w:r>
        <w:rPr>
          <w:rFonts w:ascii="Arial" w:hAnsi="Arial"/>
          <w:b/>
          <w:sz w:val="26"/>
        </w:rPr>
        <w:t>Directors' Report</w:t>
      </w:r>
    </w:p>
    <w:p>
      <w:r>
        <w:rPr>
          <w:rFonts w:ascii="Arial" w:hAnsi="Arial"/>
          <w:b w:val="0"/>
          <w:sz w:val="24"/>
        </w:rPr>
        <w:t>The directors present their report together with the audited financial statements for the year ended 31 December 2025.  The company's principal activity is the wholesale distribution of household goods , and there was no significant change in the nature of the business during the year.</w:t>
      </w:r>
    </w:p>
    <w:p>
      <w:r>
        <w:rPr>
          <w:rFonts w:ascii="Arial" w:hAnsi="Arial"/>
          <w:b w:val="0"/>
          <w:sz w:val="20"/>
        </w:rPr>
        <w:t>Revenue increased by 9.7% to $28.4 million, mainly due to higher volumes in the the northern region. The balance sheet remains strong with net assets of $14.6 million.</w:t>
      </w:r>
    </w:p>
    <w:p>
      <w:r>
        <w:rPr>
          <w:rFonts w:ascii="Times New Roman" w:hAnsi="Times New Roman"/>
          <w:b w:val="0"/>
          <w:sz w:val="20"/>
        </w:rPr>
      </w:r>
    </w:p>
    <w:p>
      <w:r>
        <w:rPr>
          <w:rFonts w:ascii="Calibri" w:hAnsi="Calibri"/>
          <w:b w:val="0"/>
          <w:sz w:val="24"/>
        </w:rPr>
      </w:r>
    </w:p>
    <w:p>
      <w:r>
        <w:rPr>
          <w:rFonts w:ascii="Times New Roman" w:hAnsi="Times New Roman"/>
          <w:b w:val="0"/>
          <w:sz w:val="18"/>
        </w:rPr>
      </w:r>
    </w:p>
    <w:p>
      <w:r>
        <w:rPr>
          <w:rFonts w:ascii="Calibri" w:hAnsi="Calibri"/>
          <w:b/>
          <w:sz w:val="24"/>
        </w:rPr>
        <w:t>NORTHWIND TRADING LIMITED</w:t>
      </w:r>
    </w:p>
    <w:p>
      <w:r>
        <w:rPr>
          <w:rFonts w:ascii="Arial" w:hAnsi="Arial"/>
          <w:b/>
          <w:sz w:val="24"/>
        </w:rPr>
        <w:t>Statement of Financial Position</w:t>
      </w:r>
    </w:p>
    <w:p>
      <w:r>
        <w:rPr>
          <w:rFonts w:ascii="Calibri" w:hAnsi="Calibri"/>
          <w:b w:val="0"/>
          <w:sz w:val="20"/>
        </w:rPr>
        <w:t>As at 31 December 2025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rFonts w:ascii="Times New Roman" w:hAnsi="Times New Roman"/>
                <w:b/>
                <w:sz w:val="18"/>
              </w:rPr>
              <w:t>Note</w:t>
            </w:r>
          </w:p>
        </w:tc>
        <w:tc>
          <w:tcPr>
            <w:tcW w:type="dxa" w:w="2160"/>
          </w:tcPr>
          <w:p>
            <w:r>
              <w:rPr>
                <w:rFonts w:ascii="Arial" w:hAnsi="Arial"/>
                <w:b/>
                <w:sz w:val="22"/>
              </w:rPr>
              <w:t>2025</w:t>
            </w:r>
          </w:p>
        </w:tc>
        <w:tc>
          <w:tcPr>
            <w:tcW w:type="dxa" w:w="2160"/>
          </w:tcPr>
          <w:p>
            <w:r>
              <w:rPr>
                <w:rFonts w:ascii="Calibri" w:hAnsi="Calibri"/>
                <w:b w:val="0"/>
                <w:sz w:val="20"/>
              </w:rPr>
              <w:t>2024</w:t>
            </w:r>
          </w:p>
        </w:tc>
      </w:tr>
      <w:tr>
        <w:tc>
          <w:tcPr>
            <w:tcW w:type="dxa" w:w="2160"/>
          </w:tcPr>
          <w:p/>
        </w:tc>
        <w:tc>
          <w:tcPr>
            <w:tcW w:type="dxa" w:w="2160"/>
          </w:tcPr>
          <w:p/>
        </w:tc>
        <w:tc>
          <w:tcPr>
            <w:tcW w:type="dxa" w:w="2160"/>
          </w:tcPr>
          <w:p>
            <w:r>
              <w:rPr>
                <w:rFonts w:ascii="Verdana" w:hAnsi="Verdana"/>
                <w:b/>
                <w:sz w:val="20"/>
              </w:rPr>
              <w:t>$'000</w:t>
            </w:r>
          </w:p>
        </w:tc>
        <w:tc>
          <w:tcPr>
            <w:tcW w:type="dxa" w:w="2160"/>
          </w:tcPr>
          <w:p>
            <w:r>
              <w:rPr>
                <w:rFonts w:ascii="Verdana" w:hAnsi="Verdana"/>
                <w:b/>
                <w:sz w:val="20"/>
              </w:rPr>
              <w:t>$'000</w:t>
            </w:r>
          </w:p>
        </w:tc>
      </w:tr>
      <w:tr>
        <w:tc>
          <w:tcPr>
            <w:tcW w:type="dxa" w:w="2160"/>
          </w:tcPr>
          <w:p>
            <w:r>
              <w:rPr>
                <w:rFonts w:ascii="Calibri" w:hAnsi="Calibri"/>
                <w:sz w:val="22"/>
              </w:rPr>
              <w:t>ASSETS</w:t>
            </w:r>
          </w:p>
        </w:tc>
        <w:tc>
          <w:tcPr>
            <w:tcW w:type="dxa" w:w="2160"/>
          </w:tcPr>
          <w:p/>
        </w:tc>
        <w:tc>
          <w:tcPr>
            <w:tcW w:type="dxa" w:w="2160"/>
          </w:tcPr>
          <w:p/>
        </w:tc>
        <w:tc>
          <w:tcPr>
            <w:tcW w:type="dxa" w:w="2160"/>
          </w:tcPr>
          <w:p/>
        </w:tc>
      </w:tr>
      <w:tr>
        <w:tc>
          <w:tcPr>
            <w:tcW w:type="dxa" w:w="2160"/>
          </w:tcPr>
          <w:p>
            <w:r>
              <w:rPr>
                <w:rFonts w:ascii="Calibri" w:hAnsi="Calibri"/>
                <w:sz w:val="18"/>
              </w:rPr>
              <w:t>Non-current assets</w:t>
            </w:r>
          </w:p>
        </w:tc>
        <w:tc>
          <w:tcPr>
            <w:tcW w:type="dxa" w:w="2160"/>
          </w:tcPr>
          <w:p/>
        </w:tc>
        <w:tc>
          <w:tcPr>
            <w:tcW w:type="dxa" w:w="2160"/>
          </w:tcPr>
          <w:p/>
        </w:tc>
        <w:tc>
          <w:tcPr>
            <w:tcW w:type="dxa" w:w="2160"/>
          </w:tcPr>
          <w:p/>
        </w:tc>
      </w:tr>
      <w:tr>
        <w:tc>
          <w:tcPr>
            <w:tcW w:type="dxa" w:w="2160"/>
          </w:tcPr>
          <w:p>
            <w:r>
              <w:rPr>
                <w:rFonts w:ascii="Times New Roman" w:hAnsi="Times New Roman"/>
                <w:sz w:val="22"/>
              </w:rPr>
              <w:t>Property, plant and equipment</w:t>
            </w:r>
          </w:p>
        </w:tc>
        <w:tc>
          <w:tcPr>
            <w:tcW w:type="dxa" w:w="2160"/>
          </w:tcPr>
          <w:p>
            <w:r>
              <w:rPr>
                <w:rFonts w:ascii="Verdana" w:hAnsi="Verdana"/>
                <w:sz w:val="20"/>
              </w:rPr>
              <w:t>5</w:t>
            </w:r>
          </w:p>
        </w:tc>
        <w:tc>
          <w:tcPr>
            <w:tcW w:type="dxa" w:w="2160"/>
          </w:tcPr>
          <w:p>
            <w:r>
              <w:rPr>
                <w:rFonts w:ascii="Verdana" w:hAnsi="Verdana"/>
                <w:sz w:val="20"/>
              </w:rPr>
              <w:t>12500</w:t>
            </w:r>
          </w:p>
        </w:tc>
        <w:tc>
          <w:tcPr>
            <w:tcW w:type="dxa" w:w="2160"/>
          </w:tcPr>
          <w:p>
            <w:r>
              <w:rPr>
                <w:rFonts w:ascii="Arial" w:hAnsi="Arial"/>
                <w:sz w:val="18"/>
              </w:rPr>
              <w:t>11800</w:t>
            </w:r>
          </w:p>
        </w:tc>
      </w:tr>
      <w:tr>
        <w:tc>
          <w:tcPr>
            <w:tcW w:type="dxa" w:w="2160"/>
          </w:tcPr>
          <w:p>
            <w:r>
              <w:rPr>
                <w:rFonts w:ascii="Verdana" w:hAnsi="Verdana"/>
                <w:sz w:val="18"/>
              </w:rPr>
              <w:t>Intangible assets</w:t>
            </w:r>
          </w:p>
        </w:tc>
        <w:tc>
          <w:tcPr>
            <w:tcW w:type="dxa" w:w="2160"/>
          </w:tcPr>
          <w:p>
            <w:r>
              <w:rPr>
                <w:rFonts w:ascii="Times New Roman" w:hAnsi="Times New Roman"/>
                <w:sz w:val="18"/>
              </w:rPr>
              <w:t>6</w:t>
            </w:r>
          </w:p>
        </w:tc>
        <w:tc>
          <w:tcPr>
            <w:tcW w:type="dxa" w:w="2160"/>
          </w:tcPr>
          <w:p>
            <w:r>
              <w:rPr>
                <w:rFonts w:ascii="Verdana" w:hAnsi="Verdana"/>
                <w:sz w:val="20"/>
              </w:rPr>
              <w:t>1,250</w:t>
            </w:r>
          </w:p>
        </w:tc>
        <w:tc>
          <w:tcPr>
            <w:tcW w:type="dxa" w:w="2160"/>
          </w:tcPr>
          <w:p>
            <w:r>
              <w:rPr>
                <w:rFonts w:ascii="Arial" w:hAnsi="Arial"/>
                <w:sz w:val="22"/>
              </w:rPr>
              <w:t>1,400</w:t>
            </w:r>
          </w:p>
        </w:tc>
      </w:tr>
      <w:tr>
        <w:tc>
          <w:tcPr>
            <w:tcW w:type="dxa" w:w="2160"/>
          </w:tcPr>
          <w:p/>
        </w:tc>
        <w:tc>
          <w:tcPr>
            <w:tcW w:type="dxa" w:w="2160"/>
          </w:tcPr>
          <w:p/>
        </w:tc>
        <w:tc>
          <w:tcPr>
            <w:tcW w:type="dxa" w:w="2160"/>
          </w:tcPr>
          <w:p>
            <w:r>
              <w:rPr>
                <w:rFonts w:ascii="Arial" w:hAnsi="Arial"/>
                <w:sz w:val="22"/>
              </w:rPr>
              <w:t>13750</w:t>
            </w:r>
          </w:p>
        </w:tc>
        <w:tc>
          <w:tcPr>
            <w:tcW w:type="dxa" w:w="2160"/>
          </w:tcPr>
          <w:p>
            <w:r>
              <w:rPr>
                <w:rFonts w:ascii="Times New Roman" w:hAnsi="Times New Roman"/>
                <w:sz w:val="20"/>
              </w:rPr>
              <w:t>13,200</w:t>
            </w:r>
          </w:p>
        </w:tc>
      </w:tr>
      <w:tr>
        <w:tc>
          <w:tcPr>
            <w:tcW w:type="dxa" w:w="2160"/>
          </w:tcPr>
          <w:p>
            <w:r>
              <w:rPr>
                <w:rFonts w:ascii="Times New Roman" w:hAnsi="Times New Roman"/>
                <w:sz w:val="22"/>
              </w:rPr>
              <w:t>Current assets</w:t>
            </w:r>
          </w:p>
        </w:tc>
        <w:tc>
          <w:tcPr>
            <w:tcW w:type="dxa" w:w="2160"/>
          </w:tcPr>
          <w:p/>
        </w:tc>
        <w:tc>
          <w:tcPr>
            <w:tcW w:type="dxa" w:w="2160"/>
          </w:tcPr>
          <w:p/>
        </w:tc>
        <w:tc>
          <w:tcPr>
            <w:tcW w:type="dxa" w:w="2160"/>
          </w:tcPr>
          <w:p/>
        </w:tc>
      </w:tr>
      <w:tr>
        <w:tc>
          <w:tcPr>
            <w:tcW w:type="dxa" w:w="2160"/>
          </w:tcPr>
          <w:p>
            <w:r>
              <w:rPr>
                <w:rFonts w:ascii="Verdana" w:hAnsi="Verdana"/>
                <w:sz w:val="22"/>
              </w:rPr>
              <w:t>Inventories</w:t>
            </w:r>
          </w:p>
        </w:tc>
        <w:tc>
          <w:tcPr>
            <w:tcW w:type="dxa" w:w="2160"/>
          </w:tcPr>
          <w:p>
            <w:r>
              <w:rPr>
                <w:rFonts w:ascii="Verdana" w:hAnsi="Verdana"/>
                <w:sz w:val="18"/>
              </w:rPr>
              <w:t>7</w:t>
            </w:r>
          </w:p>
        </w:tc>
        <w:tc>
          <w:tcPr>
            <w:tcW w:type="dxa" w:w="2160"/>
          </w:tcPr>
          <w:p>
            <w:r>
              <w:rPr>
                <w:rFonts w:ascii="Arial" w:hAnsi="Arial"/>
                <w:sz w:val="20"/>
              </w:rPr>
              <w:t>3,420</w:t>
            </w:r>
          </w:p>
        </w:tc>
        <w:tc>
          <w:tcPr>
            <w:tcW w:type="dxa" w:w="2160"/>
          </w:tcPr>
          <w:p>
            <w:r>
              <w:rPr>
                <w:rFonts w:ascii="Verdana" w:hAnsi="Verdana"/>
                <w:sz w:val="22"/>
              </w:rPr>
              <w:t>3,100</w:t>
            </w:r>
          </w:p>
        </w:tc>
      </w:tr>
      <w:tr>
        <w:tc>
          <w:tcPr>
            <w:tcW w:type="dxa" w:w="2160"/>
          </w:tcPr>
          <w:p>
            <w:r>
              <w:rPr>
                <w:rFonts w:ascii="Arial" w:hAnsi="Arial"/>
                <w:sz w:val="18"/>
              </w:rPr>
              <w:t>Trade and other recievables</w:t>
            </w:r>
          </w:p>
        </w:tc>
        <w:tc>
          <w:tcPr>
            <w:tcW w:type="dxa" w:w="2160"/>
          </w:tcPr>
          <w:p>
            <w:r>
              <w:rPr>
                <w:rFonts w:ascii="Times New Roman" w:hAnsi="Times New Roman"/>
                <w:sz w:val="22"/>
              </w:rPr>
              <w:t>8</w:t>
            </w:r>
          </w:p>
        </w:tc>
        <w:tc>
          <w:tcPr>
            <w:tcW w:type="dxa" w:w="2160"/>
          </w:tcPr>
          <w:p>
            <w:r>
              <w:rPr>
                <w:rFonts w:ascii="Verdana" w:hAnsi="Verdana"/>
                <w:sz w:val="20"/>
              </w:rPr>
              <w:t>2,880</w:t>
            </w:r>
          </w:p>
        </w:tc>
        <w:tc>
          <w:tcPr>
            <w:tcW w:type="dxa" w:w="2160"/>
          </w:tcPr>
          <w:p>
            <w:r>
              <w:rPr>
                <w:rFonts w:ascii="Verdana" w:hAnsi="Verdana"/>
                <w:sz w:val="22"/>
              </w:rPr>
              <w:t>2,640</w:t>
            </w:r>
          </w:p>
        </w:tc>
      </w:tr>
      <w:tr>
        <w:tc>
          <w:tcPr>
            <w:tcW w:type="dxa" w:w="2160"/>
          </w:tcPr>
          <w:p>
            <w:r>
              <w:rPr>
                <w:rFonts w:ascii="Times New Roman" w:hAnsi="Times New Roman"/>
                <w:sz w:val="18"/>
              </w:rPr>
              <w:t>Cash and cash equivalents</w:t>
            </w:r>
          </w:p>
        </w:tc>
        <w:tc>
          <w:tcPr>
            <w:tcW w:type="dxa" w:w="2160"/>
          </w:tcPr>
          <w:p>
            <w:r>
              <w:rPr>
                <w:rFonts w:ascii="Verdana" w:hAnsi="Verdana"/>
                <w:sz w:val="20"/>
              </w:rPr>
              <w:t>9</w:t>
            </w:r>
          </w:p>
        </w:tc>
        <w:tc>
          <w:tcPr>
            <w:tcW w:type="dxa" w:w="2160"/>
          </w:tcPr>
          <w:p>
            <w:r>
              <w:rPr>
                <w:rFonts w:ascii="Calibri" w:hAnsi="Calibri"/>
                <w:sz w:val="22"/>
              </w:rPr>
              <w:t>1,950</w:t>
            </w:r>
          </w:p>
        </w:tc>
        <w:tc>
          <w:tcPr>
            <w:tcW w:type="dxa" w:w="2160"/>
          </w:tcPr>
          <w:p>
            <w:r>
              <w:rPr>
                <w:rFonts w:ascii="Arial" w:hAnsi="Arial"/>
                <w:sz w:val="20"/>
              </w:rPr>
              <w:t>1,460</w:t>
            </w:r>
          </w:p>
        </w:tc>
      </w:tr>
      <w:tr>
        <w:tc>
          <w:tcPr>
            <w:tcW w:type="dxa" w:w="2160"/>
          </w:tcPr>
          <w:p/>
        </w:tc>
        <w:tc>
          <w:tcPr>
            <w:tcW w:type="dxa" w:w="2160"/>
          </w:tcPr>
          <w:p/>
        </w:tc>
        <w:tc>
          <w:tcPr>
            <w:tcW w:type="dxa" w:w="2160"/>
          </w:tcPr>
          <w:p>
            <w:r>
              <w:rPr>
                <w:rFonts w:ascii="Arial" w:hAnsi="Arial"/>
                <w:sz w:val="18"/>
              </w:rPr>
              <w:t>8,250</w:t>
            </w:r>
          </w:p>
        </w:tc>
        <w:tc>
          <w:tcPr>
            <w:tcW w:type="dxa" w:w="2160"/>
          </w:tcPr>
          <w:p>
            <w:r>
              <w:rPr>
                <w:rFonts w:ascii="Times New Roman" w:hAnsi="Times New Roman"/>
                <w:sz w:val="18"/>
              </w:rPr>
              <w:t>7,200</w:t>
            </w:r>
          </w:p>
        </w:tc>
      </w:tr>
      <w:tr>
        <w:tc>
          <w:tcPr>
            <w:tcW w:type="dxa" w:w="2160"/>
          </w:tcPr>
          <w:p>
            <w:r>
              <w:rPr>
                <w:rFonts w:ascii="Calibri" w:hAnsi="Calibri"/>
                <w:b/>
                <w:sz w:val="20"/>
              </w:rPr>
              <w:t>Total assets</w:t>
            </w:r>
          </w:p>
        </w:tc>
        <w:tc>
          <w:tcPr>
            <w:tcW w:type="dxa" w:w="2160"/>
          </w:tcPr>
          <w:p/>
        </w:tc>
        <w:tc>
          <w:tcPr>
            <w:tcW w:type="dxa" w:w="2160"/>
          </w:tcPr>
          <w:p>
            <w:r>
              <w:rPr>
                <w:rFonts w:ascii="Verdana" w:hAnsi="Verdana"/>
                <w:b/>
                <w:sz w:val="18"/>
              </w:rPr>
              <w:t>22,000</w:t>
            </w:r>
          </w:p>
        </w:tc>
        <w:tc>
          <w:tcPr>
            <w:tcW w:type="dxa" w:w="2160"/>
          </w:tcPr>
          <w:p>
            <w:r>
              <w:rPr>
                <w:rFonts w:ascii="Verdana" w:hAnsi="Verdana"/>
                <w:b/>
                <w:sz w:val="22"/>
              </w:rPr>
              <w:t>20,400</w:t>
            </w:r>
          </w:p>
        </w:tc>
      </w:tr>
      <w:tr>
        <w:tc>
          <w:tcPr>
            <w:tcW w:type="dxa" w:w="2160"/>
          </w:tcPr>
          <w:p>
            <w:r>
              <w:rPr>
                <w:rFonts w:ascii="Calibri" w:hAnsi="Calibri"/>
                <w:sz w:val="20"/>
              </w:rPr>
              <w:t>EQUITY AND LIABILITIES</w:t>
            </w:r>
          </w:p>
        </w:tc>
        <w:tc>
          <w:tcPr>
            <w:tcW w:type="dxa" w:w="2160"/>
          </w:tcPr>
          <w:p/>
        </w:tc>
        <w:tc>
          <w:tcPr>
            <w:tcW w:type="dxa" w:w="2160"/>
          </w:tcPr>
          <w:p/>
        </w:tc>
        <w:tc>
          <w:tcPr>
            <w:tcW w:type="dxa" w:w="2160"/>
          </w:tcPr>
          <w:p/>
        </w:tc>
      </w:tr>
      <w:tr>
        <w:tc>
          <w:tcPr>
            <w:tcW w:type="dxa" w:w="2160"/>
          </w:tcPr>
          <w:p>
            <w:r>
              <w:rPr>
                <w:rFonts w:ascii="Times New Roman" w:hAnsi="Times New Roman"/>
                <w:sz w:val="22"/>
              </w:rPr>
              <w:t>Equity</w:t>
            </w:r>
          </w:p>
        </w:tc>
        <w:tc>
          <w:tcPr>
            <w:tcW w:type="dxa" w:w="2160"/>
          </w:tcPr>
          <w:p/>
        </w:tc>
        <w:tc>
          <w:tcPr>
            <w:tcW w:type="dxa" w:w="2160"/>
          </w:tcPr>
          <w:p/>
        </w:tc>
        <w:tc>
          <w:tcPr>
            <w:tcW w:type="dxa" w:w="2160"/>
          </w:tcPr>
          <w:p/>
        </w:tc>
      </w:tr>
      <w:tr>
        <w:tc>
          <w:tcPr>
            <w:tcW w:type="dxa" w:w="2160"/>
          </w:tcPr>
          <w:p>
            <w:r>
              <w:rPr>
                <w:rFonts w:ascii="Verdana" w:hAnsi="Verdana"/>
                <w:sz w:val="20"/>
              </w:rPr>
              <w:t>Share capital</w:t>
            </w:r>
          </w:p>
        </w:tc>
        <w:tc>
          <w:tcPr>
            <w:tcW w:type="dxa" w:w="2160"/>
          </w:tcPr>
          <w:p>
            <w:r>
              <w:rPr>
                <w:rFonts w:ascii="Verdana" w:hAnsi="Verdana"/>
                <w:sz w:val="18"/>
              </w:rPr>
              <w:t>10</w:t>
            </w:r>
          </w:p>
        </w:tc>
        <w:tc>
          <w:tcPr>
            <w:tcW w:type="dxa" w:w="2160"/>
          </w:tcPr>
          <w:p>
            <w:r>
              <w:rPr>
                <w:rFonts w:ascii="Calibri" w:hAnsi="Calibri"/>
                <w:sz w:val="18"/>
              </w:rPr>
              <w:t>5,000</w:t>
            </w:r>
          </w:p>
        </w:tc>
        <w:tc>
          <w:tcPr>
            <w:tcW w:type="dxa" w:w="2160"/>
          </w:tcPr>
          <w:p>
            <w:r>
              <w:rPr>
                <w:rFonts w:ascii="Calibri" w:hAnsi="Calibri"/>
                <w:sz w:val="18"/>
              </w:rPr>
              <w:t>5,000</w:t>
            </w:r>
          </w:p>
        </w:tc>
      </w:tr>
      <w:tr>
        <w:tc>
          <w:tcPr>
            <w:tcW w:type="dxa" w:w="2160"/>
          </w:tcPr>
          <w:p>
            <w:r>
              <w:rPr>
                <w:rFonts w:ascii="Calibri" w:hAnsi="Calibri"/>
                <w:sz w:val="22"/>
              </w:rPr>
              <w:t>Retained earnings</w:t>
            </w:r>
          </w:p>
        </w:tc>
        <w:tc>
          <w:tcPr>
            <w:tcW w:type="dxa" w:w="2160"/>
          </w:tcPr>
          <w:p/>
        </w:tc>
        <w:tc>
          <w:tcPr>
            <w:tcW w:type="dxa" w:w="2160"/>
          </w:tcPr>
          <w:p>
            <w:r>
              <w:rPr>
                <w:rFonts w:ascii="Calibri" w:hAnsi="Calibri"/>
                <w:sz w:val="18"/>
              </w:rPr>
              <w:t>9,600</w:t>
            </w:r>
          </w:p>
        </w:tc>
        <w:tc>
          <w:tcPr>
            <w:tcW w:type="dxa" w:w="2160"/>
          </w:tcPr>
          <w:p>
            <w:r>
              <w:rPr>
                <w:rFonts w:ascii="Verdana" w:hAnsi="Verdana"/>
                <w:sz w:val="22"/>
              </w:rPr>
              <w:t>8,100</w:t>
            </w:r>
          </w:p>
        </w:tc>
      </w:tr>
      <w:tr>
        <w:tc>
          <w:tcPr>
            <w:tcW w:type="dxa" w:w="2160"/>
          </w:tcPr>
          <w:p>
            <w:r>
              <w:rPr>
                <w:rFonts w:ascii="Calibri" w:hAnsi="Calibri"/>
                <w:b/>
                <w:sz w:val="20"/>
              </w:rPr>
              <w:t>Total equity</w:t>
            </w:r>
          </w:p>
        </w:tc>
        <w:tc>
          <w:tcPr>
            <w:tcW w:type="dxa" w:w="2160"/>
          </w:tcPr>
          <w:p/>
        </w:tc>
        <w:tc>
          <w:tcPr>
            <w:tcW w:type="dxa" w:w="2160"/>
          </w:tcPr>
          <w:p>
            <w:r>
              <w:rPr>
                <w:rFonts w:ascii="Calibri" w:hAnsi="Calibri"/>
                <w:b/>
                <w:sz w:val="20"/>
              </w:rPr>
              <w:t>14,600</w:t>
            </w:r>
          </w:p>
        </w:tc>
        <w:tc>
          <w:tcPr>
            <w:tcW w:type="dxa" w:w="2160"/>
          </w:tcPr>
          <w:p>
            <w:r>
              <w:rPr>
                <w:rFonts w:ascii="Times New Roman" w:hAnsi="Times New Roman"/>
                <w:b w:val="0"/>
                <w:sz w:val="18"/>
              </w:rPr>
              <w:t>13,100</w:t>
            </w:r>
          </w:p>
        </w:tc>
      </w:tr>
      <w:tr>
        <w:tc>
          <w:tcPr>
            <w:tcW w:type="dxa" w:w="2160"/>
          </w:tcPr>
          <w:p>
            <w:r>
              <w:rPr>
                <w:rFonts w:ascii="Arial" w:hAnsi="Arial"/>
                <w:sz w:val="20"/>
              </w:rPr>
              <w:t>Non-current liabilities</w:t>
            </w:r>
          </w:p>
        </w:tc>
        <w:tc>
          <w:tcPr>
            <w:tcW w:type="dxa" w:w="2160"/>
          </w:tcPr>
          <w:p/>
        </w:tc>
        <w:tc>
          <w:tcPr>
            <w:tcW w:type="dxa" w:w="2160"/>
          </w:tcPr>
          <w:p/>
        </w:tc>
        <w:tc>
          <w:tcPr>
            <w:tcW w:type="dxa" w:w="2160"/>
          </w:tcPr>
          <w:p/>
        </w:tc>
      </w:tr>
      <w:tr>
        <w:tc>
          <w:tcPr>
            <w:tcW w:type="dxa" w:w="2160"/>
          </w:tcPr>
          <w:p>
            <w:r>
              <w:rPr>
                <w:rFonts w:ascii="Verdana" w:hAnsi="Verdana"/>
                <w:sz w:val="20"/>
              </w:rPr>
              <w:t>Borrowings</w:t>
            </w:r>
          </w:p>
        </w:tc>
        <w:tc>
          <w:tcPr>
            <w:tcW w:type="dxa" w:w="2160"/>
          </w:tcPr>
          <w:p>
            <w:r>
              <w:rPr>
                <w:rFonts w:ascii="Verdana" w:hAnsi="Verdana"/>
                <w:sz w:val="20"/>
              </w:rPr>
              <w:t>11</w:t>
            </w:r>
          </w:p>
        </w:tc>
        <w:tc>
          <w:tcPr>
            <w:tcW w:type="dxa" w:w="2160"/>
          </w:tcPr>
          <w:p>
            <w:r>
              <w:rPr>
                <w:rFonts w:ascii="Arial" w:hAnsi="Arial"/>
                <w:sz w:val="20"/>
              </w:rPr>
              <w:t>3,500</w:t>
            </w:r>
          </w:p>
        </w:tc>
        <w:tc>
          <w:tcPr>
            <w:tcW w:type="dxa" w:w="2160"/>
          </w:tcPr>
          <w:p>
            <w:r>
              <w:rPr>
                <w:rFonts w:ascii="Verdana" w:hAnsi="Verdana"/>
                <w:sz w:val="18"/>
              </w:rPr>
              <w:t>4,000</w:t>
            </w:r>
          </w:p>
        </w:tc>
      </w:tr>
      <w:tr>
        <w:tc>
          <w:tcPr>
            <w:tcW w:type="dxa" w:w="2160"/>
          </w:tcPr>
          <w:p>
            <w:r>
              <w:rPr>
                <w:rFonts w:ascii="Calibri" w:hAnsi="Calibri"/>
                <w:sz w:val="18"/>
              </w:rPr>
              <w:t>Current liabilities</w:t>
            </w:r>
          </w:p>
        </w:tc>
        <w:tc>
          <w:tcPr>
            <w:tcW w:type="dxa" w:w="2160"/>
          </w:tcPr>
          <w:p/>
        </w:tc>
        <w:tc>
          <w:tcPr>
            <w:tcW w:type="dxa" w:w="2160"/>
          </w:tcPr>
          <w:p/>
        </w:tc>
        <w:tc>
          <w:tcPr>
            <w:tcW w:type="dxa" w:w="2160"/>
          </w:tcPr>
          <w:p/>
        </w:tc>
      </w:tr>
      <w:tr>
        <w:tc>
          <w:tcPr>
            <w:tcW w:type="dxa" w:w="2160"/>
          </w:tcPr>
          <w:p>
            <w:r>
              <w:rPr>
                <w:rFonts w:ascii="Calibri" w:hAnsi="Calibri"/>
                <w:sz w:val="20"/>
              </w:rPr>
              <w:t>Trade and other payables</w:t>
            </w:r>
          </w:p>
        </w:tc>
        <w:tc>
          <w:tcPr>
            <w:tcW w:type="dxa" w:w="2160"/>
          </w:tcPr>
          <w:p>
            <w:r>
              <w:rPr>
                <w:rFonts w:ascii="Calibri" w:hAnsi="Calibri"/>
                <w:sz w:val="18"/>
              </w:rPr>
              <w:t>12</w:t>
            </w:r>
          </w:p>
        </w:tc>
        <w:tc>
          <w:tcPr>
            <w:tcW w:type="dxa" w:w="2160"/>
          </w:tcPr>
          <w:p>
            <w:r>
              <w:rPr>
                <w:rFonts w:ascii="Times New Roman" w:hAnsi="Times New Roman"/>
                <w:sz w:val="22"/>
              </w:rPr>
              <w:t>3,100</w:t>
            </w:r>
          </w:p>
        </w:tc>
        <w:tc>
          <w:tcPr>
            <w:tcW w:type="dxa" w:w="2160"/>
          </w:tcPr>
          <w:p>
            <w:r>
              <w:rPr>
                <w:rFonts w:ascii="Arial" w:hAnsi="Arial"/>
                <w:sz w:val="18"/>
              </w:rPr>
              <w:t>2,700</w:t>
            </w:r>
          </w:p>
        </w:tc>
      </w:tr>
      <w:tr>
        <w:tc>
          <w:tcPr>
            <w:tcW w:type="dxa" w:w="2160"/>
          </w:tcPr>
          <w:p>
            <w:r>
              <w:rPr>
                <w:rFonts w:ascii="Arial" w:hAnsi="Arial"/>
                <w:sz w:val="22"/>
              </w:rPr>
              <w:t>Current tax liability</w:t>
            </w:r>
          </w:p>
        </w:tc>
        <w:tc>
          <w:tcPr>
            <w:tcW w:type="dxa" w:w="2160"/>
          </w:tcPr>
          <w:p/>
        </w:tc>
        <w:tc>
          <w:tcPr>
            <w:tcW w:type="dxa" w:w="2160"/>
          </w:tcPr>
          <w:p>
            <w:r>
              <w:rPr>
                <w:rFonts w:ascii="Calibri" w:hAnsi="Calibri"/>
                <w:sz w:val="22"/>
              </w:rPr>
              <w:t>800</w:t>
            </w:r>
          </w:p>
        </w:tc>
        <w:tc>
          <w:tcPr>
            <w:tcW w:type="dxa" w:w="2160"/>
          </w:tcPr>
          <w:p>
            <w:r>
              <w:rPr>
                <w:rFonts w:ascii="Arial" w:hAnsi="Arial"/>
                <w:sz w:val="20"/>
              </w:rPr>
              <w:t>600</w:t>
            </w:r>
          </w:p>
        </w:tc>
      </w:tr>
      <w:tr>
        <w:tc>
          <w:tcPr>
            <w:tcW w:type="dxa" w:w="2160"/>
          </w:tcPr>
          <w:p/>
        </w:tc>
        <w:tc>
          <w:tcPr>
            <w:tcW w:type="dxa" w:w="2160"/>
          </w:tcPr>
          <w:p/>
        </w:tc>
        <w:tc>
          <w:tcPr>
            <w:tcW w:type="dxa" w:w="2160"/>
          </w:tcPr>
          <w:p>
            <w:r>
              <w:rPr>
                <w:rFonts w:ascii="Arial" w:hAnsi="Arial"/>
                <w:sz w:val="18"/>
              </w:rPr>
              <w:t>3,900</w:t>
            </w:r>
          </w:p>
        </w:tc>
        <w:tc>
          <w:tcPr>
            <w:tcW w:type="dxa" w:w="2160"/>
          </w:tcPr>
          <w:p>
            <w:r>
              <w:rPr>
                <w:rFonts w:ascii="Calibri" w:hAnsi="Calibri"/>
                <w:sz w:val="22"/>
              </w:rPr>
              <w:t>3,300</w:t>
            </w:r>
          </w:p>
        </w:tc>
      </w:tr>
      <w:tr>
        <w:tc>
          <w:tcPr>
            <w:tcW w:type="dxa" w:w="2160"/>
          </w:tcPr>
          <w:p>
            <w:r>
              <w:rPr>
                <w:rFonts w:ascii="Verdana" w:hAnsi="Verdana"/>
                <w:b w:val="0"/>
                <w:sz w:val="18"/>
              </w:rPr>
              <w:t>Total liabilities</w:t>
            </w:r>
          </w:p>
        </w:tc>
        <w:tc>
          <w:tcPr>
            <w:tcW w:type="dxa" w:w="2160"/>
          </w:tcPr>
          <w:p/>
        </w:tc>
        <w:tc>
          <w:tcPr>
            <w:tcW w:type="dxa" w:w="2160"/>
          </w:tcPr>
          <w:p>
            <w:r>
              <w:rPr>
                <w:rFonts w:ascii="Times New Roman" w:hAnsi="Times New Roman"/>
                <w:b/>
                <w:sz w:val="22"/>
              </w:rPr>
              <w:t>7,400</w:t>
            </w:r>
          </w:p>
        </w:tc>
        <w:tc>
          <w:tcPr>
            <w:tcW w:type="dxa" w:w="2160"/>
          </w:tcPr>
          <w:p>
            <w:r>
              <w:rPr>
                <w:rFonts w:ascii="Arial" w:hAnsi="Arial"/>
                <w:b w:val="0"/>
                <w:sz w:val="18"/>
              </w:rPr>
              <w:t>7,300</w:t>
            </w:r>
          </w:p>
        </w:tc>
      </w:tr>
      <w:tr>
        <w:tc>
          <w:tcPr>
            <w:tcW w:type="dxa" w:w="2160"/>
          </w:tcPr>
          <w:p>
            <w:r>
              <w:rPr>
                <w:rFonts w:ascii="Verdana" w:hAnsi="Verdana"/>
                <w:b/>
                <w:sz w:val="20"/>
              </w:rPr>
              <w:t>Total equity and liabilities</w:t>
            </w:r>
          </w:p>
        </w:tc>
        <w:tc>
          <w:tcPr>
            <w:tcW w:type="dxa" w:w="2160"/>
          </w:tcPr>
          <w:p/>
        </w:tc>
        <w:tc>
          <w:tcPr>
            <w:tcW w:type="dxa" w:w="2160"/>
          </w:tcPr>
          <w:p>
            <w:r>
              <w:rPr>
                <w:rFonts w:ascii="Arial" w:hAnsi="Arial"/>
                <w:b/>
                <w:sz w:val="18"/>
              </w:rPr>
              <w:t>22,000</w:t>
            </w:r>
          </w:p>
        </w:tc>
        <w:tc>
          <w:tcPr>
            <w:tcW w:type="dxa" w:w="2160"/>
          </w:tcPr>
          <w:p>
            <w:r>
              <w:rPr>
                <w:rFonts w:ascii="Times New Roman" w:hAnsi="Times New Roman"/>
                <w:b/>
                <w:sz w:val="22"/>
              </w:rPr>
              <w:t>20,400</w:t>
            </w:r>
          </w:p>
        </w:tc>
      </w:tr>
    </w:tbl>
    <w:p>
      <w:r>
        <w:rPr>
          <w:rFonts w:ascii="Calibri" w:hAnsi="Calibri"/>
          <w:b w:val="0"/>
          <w:sz w:val="18"/>
        </w:rPr>
        <w:t>The notes on pages 7 to 12 form an integral part of these financial statements.</w:t>
      </w:r>
    </w:p>
    <w:p>
      <w:r>
        <w:rPr>
          <w:rFonts w:ascii="Arial" w:hAnsi="Arial"/>
          <w:b/>
          <w:sz w:val="24"/>
        </w:rPr>
        <w:t>NORTHWIND TRADING LIMITED</w:t>
      </w:r>
    </w:p>
    <w:p>
      <w:r>
        <w:rPr>
          <w:rFonts w:ascii="Calibri" w:hAnsi="Calibri"/>
          <w:b/>
          <w:sz w:val="22"/>
        </w:rPr>
        <w:t>STATEMENT OF PROFIT OR LOSS AND OTHER COMPREHENSIVE INCOME</w:t>
      </w:r>
    </w:p>
    <w:p>
      <w:r>
        <w:rPr>
          <w:rFonts w:ascii="Times New Roman" w:hAnsi="Times New Roman"/>
          <w:b w:val="0"/>
          <w:sz w:val="20"/>
        </w:rPr>
        <w:t>For the year ended 31 December 2025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rFonts w:ascii="Calibri" w:hAnsi="Calibri"/>
                <w:b/>
                <w:sz w:val="22"/>
              </w:rPr>
              <w:t>Note</w:t>
            </w:r>
          </w:p>
        </w:tc>
        <w:tc>
          <w:tcPr>
            <w:tcW w:type="dxa" w:w="2160"/>
          </w:tcPr>
          <w:p>
            <w:r>
              <w:rPr>
                <w:rFonts w:ascii="Arial" w:hAnsi="Arial"/>
                <w:b/>
                <w:sz w:val="22"/>
              </w:rPr>
              <w:t>2025</w:t>
            </w:r>
          </w:p>
        </w:tc>
        <w:tc>
          <w:tcPr>
            <w:tcW w:type="dxa" w:w="2160"/>
          </w:tcPr>
          <w:p>
            <w:r>
              <w:rPr>
                <w:rFonts w:ascii="Arial" w:hAnsi="Arial"/>
                <w:b w:val="0"/>
                <w:sz w:val="22"/>
              </w:rPr>
              <w:t>2024</w:t>
            </w:r>
          </w:p>
        </w:tc>
      </w:tr>
      <w:tr>
        <w:tc>
          <w:tcPr>
            <w:tcW w:type="dxa" w:w="2160"/>
          </w:tcPr>
          <w:p/>
        </w:tc>
        <w:tc>
          <w:tcPr>
            <w:tcW w:type="dxa" w:w="2160"/>
          </w:tcPr>
          <w:p/>
        </w:tc>
        <w:tc>
          <w:tcPr>
            <w:tcW w:type="dxa" w:w="2160"/>
          </w:tcPr>
          <w:p>
            <w:r>
              <w:rPr>
                <w:rFonts w:ascii="Times New Roman" w:hAnsi="Times New Roman"/>
                <w:b/>
                <w:sz w:val="18"/>
              </w:rPr>
              <w:t>$'000</w:t>
            </w:r>
          </w:p>
        </w:tc>
        <w:tc>
          <w:tcPr>
            <w:tcW w:type="dxa" w:w="2160"/>
          </w:tcPr>
          <w:p>
            <w:r>
              <w:rPr>
                <w:rFonts w:ascii="Calibri" w:hAnsi="Calibri"/>
                <w:b/>
                <w:sz w:val="22"/>
              </w:rPr>
              <w:t>$'000</w:t>
            </w:r>
          </w:p>
        </w:tc>
      </w:tr>
      <w:tr>
        <w:tc>
          <w:tcPr>
            <w:tcW w:type="dxa" w:w="2160"/>
          </w:tcPr>
          <w:p>
            <w:r>
              <w:rPr>
                <w:rFonts w:ascii="Times New Roman" w:hAnsi="Times New Roman"/>
                <w:sz w:val="22"/>
              </w:rPr>
              <w:t>Revenue</w:t>
            </w:r>
          </w:p>
        </w:tc>
        <w:tc>
          <w:tcPr>
            <w:tcW w:type="dxa" w:w="2160"/>
          </w:tcPr>
          <w:p>
            <w:r>
              <w:rPr>
                <w:rFonts w:ascii="Calibri" w:hAnsi="Calibri"/>
                <w:sz w:val="22"/>
              </w:rPr>
              <w:t>13</w:t>
            </w:r>
          </w:p>
        </w:tc>
        <w:tc>
          <w:tcPr>
            <w:tcW w:type="dxa" w:w="2160"/>
          </w:tcPr>
          <w:p>
            <w:r>
              <w:rPr>
                <w:rFonts w:ascii="Calibri" w:hAnsi="Calibri"/>
                <w:sz w:val="18"/>
              </w:rPr>
              <w:t>28,400</w:t>
            </w:r>
          </w:p>
        </w:tc>
        <w:tc>
          <w:tcPr>
            <w:tcW w:type="dxa" w:w="2160"/>
          </w:tcPr>
          <w:p>
            <w:r>
              <w:rPr>
                <w:rFonts w:ascii="Verdana" w:hAnsi="Verdana"/>
                <w:sz w:val="22"/>
              </w:rPr>
              <w:t>25,900</w:t>
            </w:r>
          </w:p>
        </w:tc>
      </w:tr>
      <w:tr>
        <w:tc>
          <w:tcPr>
            <w:tcW w:type="dxa" w:w="2160"/>
          </w:tcPr>
          <w:p>
            <w:r>
              <w:rPr>
                <w:rFonts w:ascii="Calibri" w:hAnsi="Calibri"/>
                <w:sz w:val="18"/>
              </w:rPr>
              <w:t>Cost of sales</w:t>
            </w:r>
          </w:p>
        </w:tc>
        <w:tc>
          <w:tcPr>
            <w:tcW w:type="dxa" w:w="2160"/>
          </w:tcPr>
          <w:p/>
        </w:tc>
        <w:tc>
          <w:tcPr>
            <w:tcW w:type="dxa" w:w="2160"/>
          </w:tcPr>
          <w:p>
            <w:r>
              <w:rPr>
                <w:rFonts w:ascii="Verdana" w:hAnsi="Verdana"/>
                <w:sz w:val="20"/>
              </w:rPr>
              <w:t>(17,900)</w:t>
            </w:r>
          </w:p>
        </w:tc>
        <w:tc>
          <w:tcPr>
            <w:tcW w:type="dxa" w:w="2160"/>
          </w:tcPr>
          <w:p>
            <w:r>
              <w:rPr>
                <w:rFonts w:ascii="Arial" w:hAnsi="Arial"/>
                <w:sz w:val="18"/>
              </w:rPr>
              <w:t>(16,500)</w:t>
            </w:r>
          </w:p>
        </w:tc>
      </w:tr>
      <w:tr>
        <w:tc>
          <w:tcPr>
            <w:tcW w:type="dxa" w:w="2160"/>
          </w:tcPr>
          <w:p>
            <w:r>
              <w:rPr>
                <w:rFonts w:ascii="Times New Roman" w:hAnsi="Times New Roman"/>
                <w:sz w:val="20"/>
              </w:rPr>
              <w:t>Gross profit</w:t>
            </w:r>
          </w:p>
        </w:tc>
        <w:tc>
          <w:tcPr>
            <w:tcW w:type="dxa" w:w="2160"/>
          </w:tcPr>
          <w:p/>
        </w:tc>
        <w:tc>
          <w:tcPr>
            <w:tcW w:type="dxa" w:w="2160"/>
          </w:tcPr>
          <w:p>
            <w:r>
              <w:rPr>
                <w:rFonts w:ascii="Times New Roman" w:hAnsi="Times New Roman"/>
                <w:sz w:val="18"/>
              </w:rPr>
              <w:t>10,500</w:t>
            </w:r>
          </w:p>
        </w:tc>
        <w:tc>
          <w:tcPr>
            <w:tcW w:type="dxa" w:w="2160"/>
          </w:tcPr>
          <w:p>
            <w:r>
              <w:rPr>
                <w:rFonts w:ascii="Times New Roman" w:hAnsi="Times New Roman"/>
                <w:sz w:val="20"/>
              </w:rPr>
              <w:t>9,400</w:t>
            </w:r>
          </w:p>
        </w:tc>
      </w:tr>
      <w:tr>
        <w:tc>
          <w:tcPr>
            <w:tcW w:type="dxa" w:w="2160"/>
          </w:tcPr>
          <w:p>
            <w:r>
              <w:rPr>
                <w:rFonts w:ascii="Times New Roman" w:hAnsi="Times New Roman"/>
                <w:sz w:val="20"/>
              </w:rPr>
              <w:t>Administrative expenses</w:t>
            </w:r>
          </w:p>
        </w:tc>
        <w:tc>
          <w:tcPr>
            <w:tcW w:type="dxa" w:w="2160"/>
          </w:tcPr>
          <w:p/>
        </w:tc>
        <w:tc>
          <w:tcPr>
            <w:tcW w:type="dxa" w:w="2160"/>
          </w:tcPr>
          <w:p>
            <w:r>
              <w:rPr>
                <w:rFonts w:ascii="Arial" w:hAnsi="Arial"/>
                <w:sz w:val="18"/>
              </w:rPr>
              <w:t>-5,200</w:t>
            </w:r>
          </w:p>
        </w:tc>
        <w:tc>
          <w:tcPr>
            <w:tcW w:type="dxa" w:w="2160"/>
          </w:tcPr>
          <w:p>
            <w:r>
              <w:rPr>
                <w:rFonts w:ascii="Arial" w:hAnsi="Arial"/>
                <w:sz w:val="18"/>
              </w:rPr>
              <w:t>(4,900)</w:t>
            </w:r>
          </w:p>
        </w:tc>
      </w:tr>
      <w:tr>
        <w:tc>
          <w:tcPr>
            <w:tcW w:type="dxa" w:w="2160"/>
          </w:tcPr>
          <w:p>
            <w:r>
              <w:rPr>
                <w:rFonts w:ascii="Verdana" w:hAnsi="Verdana"/>
                <w:sz w:val="18"/>
              </w:rPr>
              <w:t>Distribution costs</w:t>
            </w:r>
          </w:p>
        </w:tc>
        <w:tc>
          <w:tcPr>
            <w:tcW w:type="dxa" w:w="2160"/>
          </w:tcPr>
          <w:p/>
        </w:tc>
        <w:tc>
          <w:tcPr>
            <w:tcW w:type="dxa" w:w="2160"/>
          </w:tcPr>
          <w:p>
            <w:r>
              <w:rPr>
                <w:rFonts w:ascii="Times New Roman" w:hAnsi="Times New Roman"/>
                <w:sz w:val="18"/>
              </w:rPr>
              <w:t>(2,100)</w:t>
            </w:r>
          </w:p>
        </w:tc>
        <w:tc>
          <w:tcPr>
            <w:tcW w:type="dxa" w:w="2160"/>
          </w:tcPr>
          <w:p>
            <w:r>
              <w:rPr>
                <w:rFonts w:ascii="Verdana" w:hAnsi="Verdana"/>
                <w:sz w:val="22"/>
              </w:rPr>
              <w:t>(1,950)</w:t>
            </w:r>
          </w:p>
        </w:tc>
      </w:tr>
      <w:tr>
        <w:tc>
          <w:tcPr>
            <w:tcW w:type="dxa" w:w="2160"/>
          </w:tcPr>
          <w:p>
            <w:r>
              <w:rPr>
                <w:rFonts w:ascii="Arial" w:hAnsi="Arial"/>
                <w:sz w:val="20"/>
              </w:rPr>
              <w:t>Operating profit</w:t>
            </w:r>
          </w:p>
        </w:tc>
        <w:tc>
          <w:tcPr>
            <w:tcW w:type="dxa" w:w="2160"/>
          </w:tcPr>
          <w:p/>
        </w:tc>
        <w:tc>
          <w:tcPr>
            <w:tcW w:type="dxa" w:w="2160"/>
          </w:tcPr>
          <w:p>
            <w:r>
              <w:rPr>
                <w:rFonts w:ascii="Times New Roman" w:hAnsi="Times New Roman"/>
                <w:sz w:val="22"/>
              </w:rPr>
              <w:t>3,200</w:t>
            </w:r>
          </w:p>
        </w:tc>
        <w:tc>
          <w:tcPr>
            <w:tcW w:type="dxa" w:w="2160"/>
          </w:tcPr>
          <w:p>
            <w:r>
              <w:rPr>
                <w:rFonts w:ascii="Arial" w:hAnsi="Arial"/>
                <w:sz w:val="22"/>
              </w:rPr>
              <w:t>2,550</w:t>
            </w:r>
          </w:p>
        </w:tc>
      </w:tr>
      <w:tr>
        <w:tc>
          <w:tcPr>
            <w:tcW w:type="dxa" w:w="2160"/>
          </w:tcPr>
          <w:p>
            <w:r>
              <w:rPr>
                <w:rFonts w:ascii="Arial" w:hAnsi="Arial"/>
                <w:sz w:val="20"/>
              </w:rPr>
              <w:t>Finance costs</w:t>
            </w:r>
          </w:p>
        </w:tc>
        <w:tc>
          <w:tcPr>
            <w:tcW w:type="dxa" w:w="2160"/>
          </w:tcPr>
          <w:p/>
        </w:tc>
        <w:tc>
          <w:tcPr>
            <w:tcW w:type="dxa" w:w="2160"/>
          </w:tcPr>
          <w:p>
            <w:r>
              <w:rPr>
                <w:rFonts w:ascii="Calibri" w:hAnsi="Calibri"/>
                <w:sz w:val="20"/>
              </w:rPr>
              <w:t>(350)</w:t>
            </w:r>
          </w:p>
        </w:tc>
        <w:tc>
          <w:tcPr>
            <w:tcW w:type="dxa" w:w="2160"/>
          </w:tcPr>
          <w:p>
            <w:r>
              <w:rPr>
                <w:rFonts w:ascii="Calibri" w:hAnsi="Calibri"/>
                <w:sz w:val="20"/>
              </w:rPr>
              <w:t>(400)</w:t>
            </w:r>
          </w:p>
        </w:tc>
      </w:tr>
      <w:tr>
        <w:tc>
          <w:tcPr>
            <w:tcW w:type="dxa" w:w="2160"/>
          </w:tcPr>
          <w:p>
            <w:r>
              <w:rPr>
                <w:rFonts w:ascii="Times New Roman" w:hAnsi="Times New Roman"/>
                <w:sz w:val="18"/>
              </w:rPr>
              <w:t>Profit before tax</w:t>
            </w:r>
          </w:p>
        </w:tc>
        <w:tc>
          <w:tcPr>
            <w:tcW w:type="dxa" w:w="2160"/>
          </w:tcPr>
          <w:p/>
        </w:tc>
        <w:tc>
          <w:tcPr>
            <w:tcW w:type="dxa" w:w="2160"/>
          </w:tcPr>
          <w:p>
            <w:r>
              <w:rPr>
                <w:rFonts w:ascii="Verdana" w:hAnsi="Verdana"/>
                <w:sz w:val="20"/>
              </w:rPr>
              <w:t>2,850</w:t>
            </w:r>
          </w:p>
        </w:tc>
        <w:tc>
          <w:tcPr>
            <w:tcW w:type="dxa" w:w="2160"/>
          </w:tcPr>
          <w:p>
            <w:r>
              <w:rPr>
                <w:rFonts w:ascii="Verdana" w:hAnsi="Verdana"/>
                <w:sz w:val="22"/>
              </w:rPr>
              <w:t>2,150</w:t>
            </w:r>
          </w:p>
        </w:tc>
      </w:tr>
      <w:tr>
        <w:tc>
          <w:tcPr>
            <w:tcW w:type="dxa" w:w="2160"/>
          </w:tcPr>
          <w:p>
            <w:r>
              <w:rPr>
                <w:rFonts w:ascii="Arial" w:hAnsi="Arial"/>
                <w:sz w:val="22"/>
              </w:rPr>
              <w:t>Income tax expense</w:t>
            </w:r>
          </w:p>
        </w:tc>
        <w:tc>
          <w:tcPr>
            <w:tcW w:type="dxa" w:w="2160"/>
          </w:tcPr>
          <w:p>
            <w:r>
              <w:rPr>
                <w:rFonts w:ascii="Calibri" w:hAnsi="Calibri"/>
                <w:sz w:val="18"/>
              </w:rPr>
              <w:t>14</w:t>
            </w:r>
          </w:p>
        </w:tc>
        <w:tc>
          <w:tcPr>
            <w:tcW w:type="dxa" w:w="2160"/>
          </w:tcPr>
          <w:p>
            <w:r>
              <w:rPr>
                <w:rFonts w:ascii="Calibri" w:hAnsi="Calibri"/>
                <w:sz w:val="18"/>
              </w:rPr>
              <w:t>(850)</w:t>
            </w:r>
          </w:p>
        </w:tc>
        <w:tc>
          <w:tcPr>
            <w:tcW w:type="dxa" w:w="2160"/>
          </w:tcPr>
          <w:p>
            <w:r>
              <w:rPr>
                <w:rFonts w:ascii="Calibri" w:hAnsi="Calibri"/>
                <w:sz w:val="22"/>
              </w:rPr>
              <w:t>(650)</w:t>
            </w:r>
          </w:p>
        </w:tc>
      </w:tr>
      <w:tr>
        <w:tc>
          <w:tcPr>
            <w:tcW w:type="dxa" w:w="2160"/>
          </w:tcPr>
          <w:p>
            <w:r>
              <w:rPr>
                <w:rFonts w:ascii="Verdana" w:hAnsi="Verdana"/>
                <w:sz w:val="22"/>
              </w:rPr>
              <w:t>Profit for the year</w:t>
            </w:r>
          </w:p>
        </w:tc>
        <w:tc>
          <w:tcPr>
            <w:tcW w:type="dxa" w:w="2160"/>
          </w:tcPr>
          <w:p/>
        </w:tc>
        <w:tc>
          <w:tcPr>
            <w:tcW w:type="dxa" w:w="2160"/>
          </w:tcPr>
          <w:p>
            <w:r>
              <w:rPr>
                <w:rFonts w:ascii="Calibri" w:hAnsi="Calibri"/>
                <w:sz w:val="22"/>
              </w:rPr>
              <w:t>2,000</w:t>
            </w:r>
          </w:p>
        </w:tc>
        <w:tc>
          <w:tcPr>
            <w:tcW w:type="dxa" w:w="2160"/>
          </w:tcPr>
          <w:p>
            <w:r>
              <w:rPr>
                <w:rFonts w:ascii="Verdana" w:hAnsi="Verdana"/>
                <w:sz w:val="22"/>
              </w:rPr>
              <w:t>1,500</w:t>
            </w:r>
          </w:p>
        </w:tc>
      </w:tr>
      <w:tr>
        <w:tc>
          <w:tcPr>
            <w:tcW w:type="dxa" w:w="2160"/>
          </w:tcPr>
          <w:p>
            <w:r>
              <w:rPr>
                <w:rFonts w:ascii="Times New Roman" w:hAnsi="Times New Roman"/>
                <w:sz w:val="18"/>
              </w:rPr>
              <w:t>Other comprehensive income</w:t>
            </w:r>
          </w:p>
        </w:tc>
        <w:tc>
          <w:tcPr>
            <w:tcW w:type="dxa" w:w="2160"/>
          </w:tcPr>
          <w:p/>
        </w:tc>
        <w:tc>
          <w:tcPr>
            <w:tcW w:type="dxa" w:w="2160"/>
          </w:tcPr>
          <w:p>
            <w:r>
              <w:rPr>
                <w:rFonts w:ascii="Calibri" w:hAnsi="Calibri"/>
                <w:sz w:val="18"/>
              </w:rPr>
              <w:t>0</w:t>
            </w:r>
          </w:p>
        </w:tc>
        <w:tc>
          <w:tcPr>
            <w:tcW w:type="dxa" w:w="2160"/>
          </w:tcPr>
          <w:p>
            <w:r>
              <w:rPr>
                <w:rFonts w:ascii="Arial" w:hAnsi="Arial"/>
                <w:sz w:val="22"/>
              </w:rPr>
              <w:t>-</w:t>
            </w:r>
          </w:p>
        </w:tc>
      </w:tr>
      <w:tr>
        <w:tc>
          <w:tcPr>
            <w:tcW w:type="dxa" w:w="2160"/>
          </w:tcPr>
          <w:p>
            <w:r>
              <w:rPr>
                <w:rFonts w:ascii="Arial" w:hAnsi="Arial"/>
                <w:b w:val="0"/>
                <w:sz w:val="22"/>
              </w:rPr>
              <w:t>Total comprehensive income for the year</w:t>
            </w:r>
          </w:p>
        </w:tc>
        <w:tc>
          <w:tcPr>
            <w:tcW w:type="dxa" w:w="2160"/>
          </w:tcPr>
          <w:p/>
        </w:tc>
        <w:tc>
          <w:tcPr>
            <w:tcW w:type="dxa" w:w="2160"/>
          </w:tcPr>
          <w:p>
            <w:r>
              <w:rPr>
                <w:rFonts w:ascii="Calibri" w:hAnsi="Calibri"/>
                <w:b w:val="0"/>
                <w:sz w:val="20"/>
              </w:rPr>
              <w:t>2,000</w:t>
            </w:r>
          </w:p>
        </w:tc>
        <w:tc>
          <w:tcPr>
            <w:tcW w:type="dxa" w:w="2160"/>
          </w:tcPr>
          <w:p>
            <w:r>
              <w:rPr>
                <w:rFonts w:ascii="Calibri" w:hAnsi="Calibri"/>
                <w:b/>
                <w:sz w:val="18"/>
              </w:rPr>
              <w:t>1,500</w:t>
            </w:r>
          </w:p>
        </w:tc>
      </w:tr>
    </w:tbl>
    <w:p>
      <w:r>
        <w:rPr>
          <w:rFonts w:ascii="Times New Roman" w:hAnsi="Times New Roman"/>
          <w:b/>
          <w:sz w:val="20"/>
        </w:rPr>
        <w:t>NORTHWIND TRADING LIMITED</w:t>
      </w:r>
    </w:p>
    <w:p>
      <w:r>
        <w:rPr>
          <w:rFonts w:ascii="Times New Roman" w:hAnsi="Times New Roman"/>
          <w:b/>
          <w:sz w:val="20"/>
        </w:rPr>
        <w:t>Statement of changes in equity</w:t>
      </w:r>
    </w:p>
    <w:p>
      <w:r>
        <w:rPr>
          <w:rFonts w:ascii="Verdana" w:hAnsi="Verdana"/>
          <w:b w:val="0"/>
          <w:sz w:val="22"/>
        </w:rPr>
        <w:t>For the year ended 31 December 2025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rFonts w:ascii="Calibri" w:hAnsi="Calibri"/>
                <w:b w:val="0"/>
                <w:sz w:val="18"/>
              </w:rPr>
              <w:t>Share capital</w:t>
            </w:r>
          </w:p>
        </w:tc>
        <w:tc>
          <w:tcPr>
            <w:tcW w:type="dxa" w:w="2160"/>
          </w:tcPr>
          <w:p>
            <w:r>
              <w:rPr>
                <w:rFonts w:ascii="Times New Roman" w:hAnsi="Times New Roman"/>
                <w:b w:val="0"/>
                <w:sz w:val="20"/>
              </w:rPr>
              <w:t>Retained earnings</w:t>
            </w:r>
          </w:p>
        </w:tc>
        <w:tc>
          <w:tcPr>
            <w:tcW w:type="dxa" w:w="2160"/>
          </w:tcPr>
          <w:p>
            <w:r>
              <w:rPr>
                <w:rFonts w:ascii="Verdana" w:hAnsi="Verdana"/>
                <w:b/>
                <w:sz w:val="22"/>
              </w:rPr>
              <w:t>Total</w:t>
            </w:r>
          </w:p>
        </w:tc>
      </w:tr>
      <w:tr>
        <w:tc>
          <w:tcPr>
            <w:tcW w:type="dxa" w:w="2160"/>
          </w:tcPr>
          <w:p/>
        </w:tc>
        <w:tc>
          <w:tcPr>
            <w:tcW w:type="dxa" w:w="2160"/>
          </w:tcPr>
          <w:p>
            <w:r>
              <w:rPr>
                <w:rFonts w:ascii="Calibri" w:hAnsi="Calibri"/>
                <w:b/>
                <w:sz w:val="22"/>
              </w:rPr>
              <w:t>$'000</w:t>
            </w:r>
          </w:p>
        </w:tc>
        <w:tc>
          <w:tcPr>
            <w:tcW w:type="dxa" w:w="2160"/>
          </w:tcPr>
          <w:p>
            <w:r>
              <w:rPr>
                <w:rFonts w:ascii="Verdana" w:hAnsi="Verdana"/>
                <w:b w:val="0"/>
                <w:sz w:val="18"/>
              </w:rPr>
              <w:t>$'000</w:t>
            </w:r>
          </w:p>
        </w:tc>
        <w:tc>
          <w:tcPr>
            <w:tcW w:type="dxa" w:w="2160"/>
          </w:tcPr>
          <w:p>
            <w:r>
              <w:rPr>
                <w:rFonts w:ascii="Calibri" w:hAnsi="Calibri"/>
                <w:b/>
                <w:sz w:val="18"/>
              </w:rPr>
              <w:t>$'000</w:t>
            </w:r>
          </w:p>
        </w:tc>
      </w:tr>
      <w:tr>
        <w:tc>
          <w:tcPr>
            <w:tcW w:type="dxa" w:w="2160"/>
          </w:tcPr>
          <w:p>
            <w:r>
              <w:rPr>
                <w:rFonts w:ascii="Arial" w:hAnsi="Arial"/>
                <w:sz w:val="22"/>
              </w:rPr>
              <w:t>Balance at 1 January 2024</w:t>
            </w:r>
          </w:p>
        </w:tc>
        <w:tc>
          <w:tcPr>
            <w:tcW w:type="dxa" w:w="2160"/>
          </w:tcPr>
          <w:p>
            <w:r>
              <w:rPr>
                <w:rFonts w:ascii="Arial" w:hAnsi="Arial"/>
                <w:sz w:val="20"/>
              </w:rPr>
              <w:t>5,000</w:t>
            </w:r>
          </w:p>
        </w:tc>
        <w:tc>
          <w:tcPr>
            <w:tcW w:type="dxa" w:w="2160"/>
          </w:tcPr>
          <w:p>
            <w:r>
              <w:rPr>
                <w:rFonts w:ascii="Verdana" w:hAnsi="Verdana"/>
                <w:sz w:val="18"/>
              </w:rPr>
              <w:t>7,100</w:t>
            </w:r>
          </w:p>
        </w:tc>
        <w:tc>
          <w:tcPr>
            <w:tcW w:type="dxa" w:w="2160"/>
          </w:tcPr>
          <w:p>
            <w:r>
              <w:rPr>
                <w:rFonts w:ascii="Arial" w:hAnsi="Arial"/>
                <w:sz w:val="18"/>
              </w:rPr>
              <w:t>12,100</w:t>
            </w:r>
          </w:p>
        </w:tc>
      </w:tr>
      <w:tr>
        <w:tc>
          <w:tcPr>
            <w:tcW w:type="dxa" w:w="2160"/>
          </w:tcPr>
          <w:p>
            <w:r>
              <w:rPr>
                <w:rFonts w:ascii="Calibri" w:hAnsi="Calibri"/>
                <w:sz w:val="20"/>
              </w:rPr>
              <w:t>Profit for the year</w:t>
            </w:r>
          </w:p>
        </w:tc>
        <w:tc>
          <w:tcPr>
            <w:tcW w:type="dxa" w:w="2160"/>
          </w:tcPr>
          <w:p>
            <w:r>
              <w:rPr>
                <w:rFonts w:ascii="Arial" w:hAnsi="Arial"/>
                <w:sz w:val="18"/>
              </w:rPr>
              <w:t>-</w:t>
            </w:r>
          </w:p>
        </w:tc>
        <w:tc>
          <w:tcPr>
            <w:tcW w:type="dxa" w:w="2160"/>
          </w:tcPr>
          <w:p>
            <w:r>
              <w:rPr>
                <w:rFonts w:ascii="Verdana" w:hAnsi="Verdana"/>
                <w:sz w:val="22"/>
              </w:rPr>
              <w:t>1,500</w:t>
            </w:r>
          </w:p>
        </w:tc>
        <w:tc>
          <w:tcPr>
            <w:tcW w:type="dxa" w:w="2160"/>
          </w:tcPr>
          <w:p>
            <w:r>
              <w:rPr>
                <w:rFonts w:ascii="Arial" w:hAnsi="Arial"/>
                <w:sz w:val="18"/>
              </w:rPr>
              <w:t>1,500</w:t>
            </w:r>
          </w:p>
        </w:tc>
      </w:tr>
      <w:tr>
        <w:tc>
          <w:tcPr>
            <w:tcW w:type="dxa" w:w="2160"/>
          </w:tcPr>
          <w:p>
            <w:r>
              <w:rPr>
                <w:rFonts w:ascii="Verdana" w:hAnsi="Verdana"/>
                <w:sz w:val="20"/>
              </w:rPr>
              <w:t>Dividends paid</w:t>
            </w:r>
          </w:p>
        </w:tc>
        <w:tc>
          <w:tcPr>
            <w:tcW w:type="dxa" w:w="2160"/>
          </w:tcPr>
          <w:p>
            <w:r>
              <w:rPr>
                <w:rFonts w:ascii="Calibri" w:hAnsi="Calibri"/>
                <w:sz w:val="22"/>
              </w:rPr>
              <w:t>-</w:t>
            </w:r>
          </w:p>
        </w:tc>
        <w:tc>
          <w:tcPr>
            <w:tcW w:type="dxa" w:w="2160"/>
          </w:tcPr>
          <w:p>
            <w:r>
              <w:rPr>
                <w:rFonts w:ascii="Times New Roman" w:hAnsi="Times New Roman"/>
                <w:sz w:val="20"/>
              </w:rPr>
              <w:t>(500)</w:t>
            </w:r>
          </w:p>
        </w:tc>
        <w:tc>
          <w:tcPr>
            <w:tcW w:type="dxa" w:w="2160"/>
          </w:tcPr>
          <w:p>
            <w:r>
              <w:rPr>
                <w:rFonts w:ascii="Verdana" w:hAnsi="Verdana"/>
                <w:sz w:val="22"/>
              </w:rPr>
              <w:t>(500)</w:t>
            </w:r>
          </w:p>
        </w:tc>
      </w:tr>
      <w:tr>
        <w:tc>
          <w:tcPr>
            <w:tcW w:type="dxa" w:w="2160"/>
          </w:tcPr>
          <w:p>
            <w:r>
              <w:rPr>
                <w:rFonts w:ascii="Calibri" w:hAnsi="Calibri"/>
                <w:sz w:val="22"/>
              </w:rPr>
              <w:t>Balance at 31 December 2024</w:t>
            </w:r>
          </w:p>
        </w:tc>
        <w:tc>
          <w:tcPr>
            <w:tcW w:type="dxa" w:w="2160"/>
          </w:tcPr>
          <w:p>
            <w:r>
              <w:rPr>
                <w:rFonts w:ascii="Times New Roman" w:hAnsi="Times New Roman"/>
                <w:sz w:val="22"/>
              </w:rPr>
              <w:t>5,000</w:t>
            </w:r>
          </w:p>
        </w:tc>
        <w:tc>
          <w:tcPr>
            <w:tcW w:type="dxa" w:w="2160"/>
          </w:tcPr>
          <w:p>
            <w:r>
              <w:rPr>
                <w:rFonts w:ascii="Calibri" w:hAnsi="Calibri"/>
                <w:sz w:val="20"/>
              </w:rPr>
              <w:t>8,100</w:t>
            </w:r>
          </w:p>
        </w:tc>
        <w:tc>
          <w:tcPr>
            <w:tcW w:type="dxa" w:w="2160"/>
          </w:tcPr>
          <w:p>
            <w:r>
              <w:rPr>
                <w:rFonts w:ascii="Calibri" w:hAnsi="Calibri"/>
                <w:sz w:val="20"/>
              </w:rPr>
              <w:t>13,100</w:t>
            </w:r>
          </w:p>
        </w:tc>
      </w:tr>
      <w:tr>
        <w:tc>
          <w:tcPr>
            <w:tcW w:type="dxa" w:w="2160"/>
          </w:tcPr>
          <w:p>
            <w:r>
              <w:rPr>
                <w:rFonts w:ascii="Arial" w:hAnsi="Arial"/>
                <w:sz w:val="20"/>
              </w:rPr>
              <w:t>Profit for the year</w:t>
            </w:r>
          </w:p>
        </w:tc>
        <w:tc>
          <w:tcPr>
            <w:tcW w:type="dxa" w:w="2160"/>
          </w:tcPr>
          <w:p>
            <w:r>
              <w:rPr>
                <w:rFonts w:ascii="Verdana" w:hAnsi="Verdana"/>
                <w:sz w:val="20"/>
              </w:rPr>
              <w:t>-</w:t>
            </w:r>
          </w:p>
        </w:tc>
        <w:tc>
          <w:tcPr>
            <w:tcW w:type="dxa" w:w="2160"/>
          </w:tcPr>
          <w:p>
            <w:r>
              <w:rPr>
                <w:rFonts w:ascii="Arial" w:hAnsi="Arial"/>
                <w:sz w:val="22"/>
              </w:rPr>
              <w:t>2,000</w:t>
            </w:r>
          </w:p>
        </w:tc>
        <w:tc>
          <w:tcPr>
            <w:tcW w:type="dxa" w:w="2160"/>
          </w:tcPr>
          <w:p>
            <w:r>
              <w:rPr>
                <w:rFonts w:ascii="Calibri" w:hAnsi="Calibri"/>
                <w:sz w:val="20"/>
              </w:rPr>
              <w:t>2,000</w:t>
            </w:r>
          </w:p>
        </w:tc>
      </w:tr>
      <w:tr>
        <w:tc>
          <w:tcPr>
            <w:tcW w:type="dxa" w:w="2160"/>
          </w:tcPr>
          <w:p>
            <w:r>
              <w:rPr>
                <w:rFonts w:ascii="Arial" w:hAnsi="Arial"/>
                <w:sz w:val="18"/>
              </w:rPr>
              <w:t>Dividends paid</w:t>
            </w:r>
          </w:p>
        </w:tc>
        <w:tc>
          <w:tcPr>
            <w:tcW w:type="dxa" w:w="2160"/>
          </w:tcPr>
          <w:p>
            <w:r>
              <w:rPr>
                <w:rFonts w:ascii="Times New Roman" w:hAnsi="Times New Roman"/>
                <w:sz w:val="18"/>
              </w:rPr>
              <w:t>-</w:t>
            </w:r>
          </w:p>
        </w:tc>
        <w:tc>
          <w:tcPr>
            <w:tcW w:type="dxa" w:w="2160"/>
          </w:tcPr>
          <w:p>
            <w:r>
              <w:rPr>
                <w:rFonts w:ascii="Calibri" w:hAnsi="Calibri"/>
                <w:sz w:val="22"/>
              </w:rPr>
              <w:t>(500)</w:t>
            </w:r>
          </w:p>
        </w:tc>
        <w:tc>
          <w:tcPr>
            <w:tcW w:type="dxa" w:w="2160"/>
          </w:tcPr>
          <w:p>
            <w:r>
              <w:rPr>
                <w:rFonts w:ascii="Times New Roman" w:hAnsi="Times New Roman"/>
                <w:sz w:val="18"/>
              </w:rPr>
              <w:t>(500)</w:t>
            </w:r>
          </w:p>
        </w:tc>
      </w:tr>
      <w:tr>
        <w:tc>
          <w:tcPr>
            <w:tcW w:type="dxa" w:w="2160"/>
          </w:tcPr>
          <w:p>
            <w:r>
              <w:rPr>
                <w:rFonts w:ascii="Times New Roman" w:hAnsi="Times New Roman"/>
                <w:sz w:val="18"/>
              </w:rPr>
              <w:t>Balance at 31 December 2025</w:t>
            </w:r>
          </w:p>
        </w:tc>
        <w:tc>
          <w:tcPr>
            <w:tcW w:type="dxa" w:w="2160"/>
          </w:tcPr>
          <w:p>
            <w:r>
              <w:rPr>
                <w:rFonts w:ascii="Verdana" w:hAnsi="Verdana"/>
                <w:sz w:val="18"/>
              </w:rPr>
              <w:t>5,000</w:t>
            </w:r>
          </w:p>
        </w:tc>
        <w:tc>
          <w:tcPr>
            <w:tcW w:type="dxa" w:w="2160"/>
          </w:tcPr>
          <w:p>
            <w:r>
              <w:rPr>
                <w:rFonts w:ascii="Arial" w:hAnsi="Arial"/>
                <w:sz w:val="20"/>
              </w:rPr>
              <w:t>9,600</w:t>
            </w:r>
          </w:p>
        </w:tc>
        <w:tc>
          <w:tcPr>
            <w:tcW w:type="dxa" w:w="2160"/>
          </w:tcPr>
          <w:p>
            <w:r>
              <w:rPr>
                <w:rFonts w:ascii="Verdana" w:hAnsi="Verdana"/>
                <w:sz w:val="18"/>
              </w:rPr>
              <w:t>14,600</w:t>
            </w:r>
          </w:p>
        </w:tc>
      </w:tr>
    </w:tbl>
    <w:p>
      <w:r>
        <w:rPr>
          <w:rFonts w:ascii="Calibri" w:hAnsi="Calibri"/>
          <w:b/>
          <w:sz w:val="20"/>
        </w:rPr>
        <w:t>NORTHWIND TRADING LIMITED</w:t>
      </w:r>
    </w:p>
    <w:p>
      <w:r>
        <w:rPr>
          <w:rFonts w:ascii="Verdana" w:hAnsi="Verdana"/>
          <w:b/>
          <w:sz w:val="24"/>
        </w:rPr>
        <w:t>Statement of Cash Flows</w:t>
      </w:r>
    </w:p>
    <w:p>
      <w:r>
        <w:rPr>
          <w:rFonts w:ascii="Verdana" w:hAnsi="Verdana"/>
          <w:b w:val="0"/>
          <w:sz w:val="22"/>
        </w:rPr>
        <w:t>For the year ended 31 June 2025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rFonts w:ascii="Calibri" w:hAnsi="Calibri"/>
                <w:b/>
                <w:sz w:val="20"/>
              </w:rPr>
              <w:t>Note</w:t>
            </w:r>
          </w:p>
        </w:tc>
        <w:tc>
          <w:tcPr>
            <w:tcW w:type="dxa" w:w="2160"/>
          </w:tcPr>
          <w:p>
            <w:r>
              <w:rPr>
                <w:rFonts w:ascii="Times New Roman" w:hAnsi="Times New Roman"/>
                <w:b/>
                <w:sz w:val="18"/>
              </w:rPr>
              <w:t>2025</w:t>
            </w:r>
          </w:p>
        </w:tc>
        <w:tc>
          <w:tcPr>
            <w:tcW w:type="dxa" w:w="2160"/>
          </w:tcPr>
          <w:p>
            <w:r>
              <w:rPr>
                <w:rFonts w:ascii="Verdana" w:hAnsi="Verdana"/>
                <w:b w:val="0"/>
                <w:sz w:val="20"/>
              </w:rPr>
              <w:t>2024</w:t>
            </w:r>
          </w:p>
        </w:tc>
      </w:tr>
      <w:tr>
        <w:tc>
          <w:tcPr>
            <w:tcW w:type="dxa" w:w="2160"/>
          </w:tcPr>
          <w:p/>
        </w:tc>
        <w:tc>
          <w:tcPr>
            <w:tcW w:type="dxa" w:w="2160"/>
          </w:tcPr>
          <w:p/>
        </w:tc>
        <w:tc>
          <w:tcPr>
            <w:tcW w:type="dxa" w:w="2160"/>
          </w:tcPr>
          <w:p>
            <w:r>
              <w:rPr>
                <w:rFonts w:ascii="Verdana" w:hAnsi="Verdana"/>
                <w:b/>
                <w:sz w:val="20"/>
              </w:rPr>
              <w:t>$'000</w:t>
            </w:r>
          </w:p>
        </w:tc>
        <w:tc>
          <w:tcPr>
            <w:tcW w:type="dxa" w:w="2160"/>
          </w:tcPr>
          <w:p>
            <w:r>
              <w:rPr>
                <w:rFonts w:ascii="Times New Roman" w:hAnsi="Times New Roman"/>
                <w:b w:val="0"/>
                <w:sz w:val="22"/>
              </w:rPr>
              <w:t>$'000</w:t>
            </w:r>
          </w:p>
        </w:tc>
      </w:tr>
      <w:tr>
        <w:tc>
          <w:tcPr>
            <w:tcW w:type="dxa" w:w="2160"/>
          </w:tcPr>
          <w:p>
            <w:r>
              <w:rPr>
                <w:rFonts w:ascii="Arial" w:hAnsi="Arial"/>
                <w:sz w:val="18"/>
              </w:rPr>
              <w:t>Cash flows from operating activities</w:t>
            </w:r>
          </w:p>
        </w:tc>
        <w:tc>
          <w:tcPr>
            <w:tcW w:type="dxa" w:w="2160"/>
          </w:tcPr>
          <w:p/>
        </w:tc>
        <w:tc>
          <w:tcPr>
            <w:tcW w:type="dxa" w:w="2160"/>
          </w:tcPr>
          <w:p/>
        </w:tc>
        <w:tc>
          <w:tcPr>
            <w:tcW w:type="dxa" w:w="2160"/>
          </w:tcPr>
          <w:p/>
        </w:tc>
      </w:tr>
      <w:tr>
        <w:tc>
          <w:tcPr>
            <w:tcW w:type="dxa" w:w="2160"/>
          </w:tcPr>
          <w:p>
            <w:r>
              <w:rPr>
                <w:rFonts w:ascii="Arial" w:hAnsi="Arial"/>
                <w:sz w:val="18"/>
              </w:rPr>
              <w:t>Profit before tax</w:t>
            </w:r>
          </w:p>
        </w:tc>
        <w:tc>
          <w:tcPr>
            <w:tcW w:type="dxa" w:w="2160"/>
          </w:tcPr>
          <w:p/>
        </w:tc>
        <w:tc>
          <w:tcPr>
            <w:tcW w:type="dxa" w:w="2160"/>
          </w:tcPr>
          <w:p>
            <w:r>
              <w:rPr>
                <w:rFonts w:ascii="Times New Roman" w:hAnsi="Times New Roman"/>
                <w:sz w:val="20"/>
              </w:rPr>
              <w:t>2,850</w:t>
            </w:r>
          </w:p>
        </w:tc>
        <w:tc>
          <w:tcPr>
            <w:tcW w:type="dxa" w:w="2160"/>
          </w:tcPr>
          <w:p>
            <w:r>
              <w:rPr>
                <w:rFonts w:ascii="Arial" w:hAnsi="Arial"/>
                <w:sz w:val="18"/>
              </w:rPr>
              <w:t>2,150</w:t>
            </w:r>
          </w:p>
        </w:tc>
      </w:tr>
      <w:tr>
        <w:tc>
          <w:tcPr>
            <w:tcW w:type="dxa" w:w="2160"/>
          </w:tcPr>
          <w:p>
            <w:r>
              <w:rPr>
                <w:rFonts w:ascii="Times New Roman" w:hAnsi="Times New Roman"/>
                <w:sz w:val="18"/>
              </w:rPr>
              <w:t>Depreciation and amortisation</w:t>
            </w:r>
          </w:p>
        </w:tc>
        <w:tc>
          <w:tcPr>
            <w:tcW w:type="dxa" w:w="2160"/>
          </w:tcPr>
          <w:p/>
        </w:tc>
        <w:tc>
          <w:tcPr>
            <w:tcW w:type="dxa" w:w="2160"/>
          </w:tcPr>
          <w:p>
            <w:r>
              <w:rPr>
                <w:rFonts w:ascii="Verdana" w:hAnsi="Verdana"/>
                <w:sz w:val="22"/>
              </w:rPr>
              <w:t>1,300</w:t>
            </w:r>
          </w:p>
        </w:tc>
        <w:tc>
          <w:tcPr>
            <w:tcW w:type="dxa" w:w="2160"/>
          </w:tcPr>
          <w:p>
            <w:r>
              <w:rPr>
                <w:rFonts w:ascii="Times New Roman" w:hAnsi="Times New Roman"/>
                <w:sz w:val="20"/>
              </w:rPr>
              <w:t>1,250</w:t>
            </w:r>
          </w:p>
        </w:tc>
      </w:tr>
      <w:tr>
        <w:tc>
          <w:tcPr>
            <w:tcW w:type="dxa" w:w="2160"/>
          </w:tcPr>
          <w:p>
            <w:r>
              <w:rPr>
                <w:rFonts w:ascii="Calibri" w:hAnsi="Calibri"/>
                <w:sz w:val="22"/>
              </w:rPr>
              <w:t>Finance costs</w:t>
            </w:r>
          </w:p>
        </w:tc>
        <w:tc>
          <w:tcPr>
            <w:tcW w:type="dxa" w:w="2160"/>
          </w:tcPr>
          <w:p/>
        </w:tc>
        <w:tc>
          <w:tcPr>
            <w:tcW w:type="dxa" w:w="2160"/>
          </w:tcPr>
          <w:p>
            <w:r>
              <w:rPr>
                <w:rFonts w:ascii="Verdana" w:hAnsi="Verdana"/>
                <w:sz w:val="22"/>
              </w:rPr>
              <w:t>350</w:t>
            </w:r>
          </w:p>
        </w:tc>
        <w:tc>
          <w:tcPr>
            <w:tcW w:type="dxa" w:w="2160"/>
          </w:tcPr>
          <w:p>
            <w:r>
              <w:rPr>
                <w:rFonts w:ascii="Times New Roman" w:hAnsi="Times New Roman"/>
                <w:sz w:val="18"/>
              </w:rPr>
              <w:t>400</w:t>
            </w:r>
          </w:p>
        </w:tc>
      </w:tr>
      <w:tr>
        <w:tc>
          <w:tcPr>
            <w:tcW w:type="dxa" w:w="2160"/>
          </w:tcPr>
          <w:p>
            <w:r>
              <w:rPr>
                <w:rFonts w:ascii="Times New Roman" w:hAnsi="Times New Roman"/>
                <w:sz w:val="18"/>
              </w:rPr>
              <w:t>Increase in inventories</w:t>
            </w:r>
          </w:p>
        </w:tc>
        <w:tc>
          <w:tcPr>
            <w:tcW w:type="dxa" w:w="2160"/>
          </w:tcPr>
          <w:p/>
        </w:tc>
        <w:tc>
          <w:tcPr>
            <w:tcW w:type="dxa" w:w="2160"/>
          </w:tcPr>
          <w:p>
            <w:r>
              <w:rPr>
                <w:rFonts w:ascii="Calibri" w:hAnsi="Calibri"/>
                <w:sz w:val="20"/>
              </w:rPr>
              <w:t>(320)</w:t>
            </w:r>
          </w:p>
        </w:tc>
        <w:tc>
          <w:tcPr>
            <w:tcW w:type="dxa" w:w="2160"/>
          </w:tcPr>
          <w:p>
            <w:r>
              <w:rPr>
                <w:rFonts w:ascii="Arial" w:hAnsi="Arial"/>
                <w:sz w:val="20"/>
              </w:rPr>
              <w:t>(150)</w:t>
            </w:r>
          </w:p>
        </w:tc>
      </w:tr>
      <w:tr>
        <w:tc>
          <w:tcPr>
            <w:tcW w:type="dxa" w:w="2160"/>
          </w:tcPr>
          <w:p>
            <w:r>
              <w:rPr>
                <w:rFonts w:ascii="Arial" w:hAnsi="Arial"/>
                <w:sz w:val="22"/>
              </w:rPr>
              <w:t>Increase in trade receivables</w:t>
            </w:r>
          </w:p>
        </w:tc>
        <w:tc>
          <w:tcPr>
            <w:tcW w:type="dxa" w:w="2160"/>
          </w:tcPr>
          <w:p/>
        </w:tc>
        <w:tc>
          <w:tcPr>
            <w:tcW w:type="dxa" w:w="2160"/>
          </w:tcPr>
          <w:p>
            <w:r>
              <w:rPr>
                <w:rFonts w:ascii="Arial" w:hAnsi="Arial"/>
                <w:sz w:val="20"/>
              </w:rPr>
              <w:t>(240)</w:t>
            </w:r>
          </w:p>
        </w:tc>
        <w:tc>
          <w:tcPr>
            <w:tcW w:type="dxa" w:w="2160"/>
          </w:tcPr>
          <w:p>
            <w:r>
              <w:rPr>
                <w:rFonts w:ascii="Arial" w:hAnsi="Arial"/>
                <w:sz w:val="22"/>
              </w:rPr>
              <w:t>(180)</w:t>
            </w:r>
          </w:p>
        </w:tc>
      </w:tr>
      <w:tr>
        <w:tc>
          <w:tcPr>
            <w:tcW w:type="dxa" w:w="2160"/>
          </w:tcPr>
          <w:p>
            <w:r>
              <w:rPr>
                <w:rFonts w:ascii="Calibri" w:hAnsi="Calibri"/>
                <w:sz w:val="18"/>
              </w:rPr>
              <w:t>Increase in trade payables</w:t>
            </w:r>
          </w:p>
        </w:tc>
        <w:tc>
          <w:tcPr>
            <w:tcW w:type="dxa" w:w="2160"/>
          </w:tcPr>
          <w:p/>
        </w:tc>
        <w:tc>
          <w:tcPr>
            <w:tcW w:type="dxa" w:w="2160"/>
          </w:tcPr>
          <w:p>
            <w:r>
              <w:rPr>
                <w:rFonts w:ascii="Times New Roman" w:hAnsi="Times New Roman"/>
                <w:sz w:val="18"/>
              </w:rPr>
              <w:t>400</w:t>
            </w:r>
          </w:p>
        </w:tc>
        <w:tc>
          <w:tcPr>
            <w:tcW w:type="dxa" w:w="2160"/>
          </w:tcPr>
          <w:p>
            <w:r>
              <w:rPr>
                <w:rFonts w:ascii="Verdana" w:hAnsi="Verdana"/>
                <w:sz w:val="18"/>
              </w:rPr>
              <w:t>120</w:t>
            </w:r>
          </w:p>
        </w:tc>
      </w:tr>
      <w:tr>
        <w:tc>
          <w:tcPr>
            <w:tcW w:type="dxa" w:w="2160"/>
          </w:tcPr>
          <w:p>
            <w:r>
              <w:rPr>
                <w:rFonts w:ascii="Times New Roman" w:hAnsi="Times New Roman"/>
                <w:sz w:val="22"/>
              </w:rPr>
              <w:t>Cash generated from operations</w:t>
            </w:r>
          </w:p>
        </w:tc>
        <w:tc>
          <w:tcPr>
            <w:tcW w:type="dxa" w:w="2160"/>
          </w:tcPr>
          <w:p/>
        </w:tc>
        <w:tc>
          <w:tcPr>
            <w:tcW w:type="dxa" w:w="2160"/>
          </w:tcPr>
          <w:p>
            <w:r>
              <w:rPr>
                <w:rFonts w:ascii="Verdana" w:hAnsi="Verdana"/>
                <w:sz w:val="20"/>
              </w:rPr>
              <w:t>4,340</w:t>
            </w:r>
          </w:p>
        </w:tc>
        <w:tc>
          <w:tcPr>
            <w:tcW w:type="dxa" w:w="2160"/>
          </w:tcPr>
          <w:p>
            <w:r>
              <w:rPr>
                <w:rFonts w:ascii="Calibri" w:hAnsi="Calibri"/>
                <w:sz w:val="18"/>
              </w:rPr>
              <w:t>3,590</w:t>
            </w:r>
          </w:p>
        </w:tc>
      </w:tr>
      <w:tr>
        <w:tc>
          <w:tcPr>
            <w:tcW w:type="dxa" w:w="2160"/>
          </w:tcPr>
          <w:p>
            <w:r>
              <w:rPr>
                <w:rFonts w:ascii="Calibri" w:hAnsi="Calibri"/>
                <w:sz w:val="18"/>
              </w:rPr>
              <w:t>Interest paid</w:t>
            </w:r>
          </w:p>
        </w:tc>
        <w:tc>
          <w:tcPr>
            <w:tcW w:type="dxa" w:w="2160"/>
          </w:tcPr>
          <w:p/>
        </w:tc>
        <w:tc>
          <w:tcPr>
            <w:tcW w:type="dxa" w:w="2160"/>
          </w:tcPr>
          <w:p>
            <w:r>
              <w:rPr>
                <w:rFonts w:ascii="Calibri" w:hAnsi="Calibri"/>
                <w:sz w:val="20"/>
              </w:rPr>
              <w:t>(350)</w:t>
            </w:r>
          </w:p>
        </w:tc>
        <w:tc>
          <w:tcPr>
            <w:tcW w:type="dxa" w:w="2160"/>
          </w:tcPr>
          <w:p>
            <w:r>
              <w:rPr>
                <w:rFonts w:ascii="Arial" w:hAnsi="Arial"/>
                <w:sz w:val="18"/>
              </w:rPr>
              <w:t>(400)</w:t>
            </w:r>
          </w:p>
        </w:tc>
      </w:tr>
      <w:tr>
        <w:tc>
          <w:tcPr>
            <w:tcW w:type="dxa" w:w="2160"/>
          </w:tcPr>
          <w:p>
            <w:r>
              <w:rPr>
                <w:rFonts w:ascii="Calibri" w:hAnsi="Calibri"/>
                <w:sz w:val="20"/>
              </w:rPr>
              <w:t>Income tax paid</w:t>
            </w:r>
          </w:p>
        </w:tc>
        <w:tc>
          <w:tcPr>
            <w:tcW w:type="dxa" w:w="2160"/>
          </w:tcPr>
          <w:p/>
        </w:tc>
        <w:tc>
          <w:tcPr>
            <w:tcW w:type="dxa" w:w="2160"/>
          </w:tcPr>
          <w:p>
            <w:r>
              <w:rPr>
                <w:rFonts w:ascii="Times New Roman" w:hAnsi="Times New Roman"/>
                <w:sz w:val="22"/>
              </w:rPr>
              <w:t>(650)</w:t>
            </w:r>
          </w:p>
        </w:tc>
        <w:tc>
          <w:tcPr>
            <w:tcW w:type="dxa" w:w="2160"/>
          </w:tcPr>
          <w:p>
            <w:r>
              <w:rPr>
                <w:rFonts w:ascii="Calibri" w:hAnsi="Calibri"/>
                <w:sz w:val="20"/>
              </w:rPr>
              <w:t>(600)</w:t>
            </w:r>
          </w:p>
        </w:tc>
      </w:tr>
      <w:tr>
        <w:tc>
          <w:tcPr>
            <w:tcW w:type="dxa" w:w="2160"/>
          </w:tcPr>
          <w:p>
            <w:r>
              <w:rPr>
                <w:rFonts w:ascii="Verdana" w:hAnsi="Verdana"/>
                <w:sz w:val="22"/>
              </w:rPr>
              <w:t>Net cash from operating activities</w:t>
            </w:r>
          </w:p>
        </w:tc>
        <w:tc>
          <w:tcPr>
            <w:tcW w:type="dxa" w:w="2160"/>
          </w:tcPr>
          <w:p/>
        </w:tc>
        <w:tc>
          <w:tcPr>
            <w:tcW w:type="dxa" w:w="2160"/>
          </w:tcPr>
          <w:p>
            <w:r>
              <w:rPr>
                <w:rFonts w:ascii="Calibri" w:hAnsi="Calibri"/>
                <w:sz w:val="20"/>
              </w:rPr>
              <w:t>3,340</w:t>
            </w:r>
          </w:p>
        </w:tc>
        <w:tc>
          <w:tcPr>
            <w:tcW w:type="dxa" w:w="2160"/>
          </w:tcPr>
          <w:p>
            <w:r>
              <w:rPr>
                <w:rFonts w:ascii="Times New Roman" w:hAnsi="Times New Roman"/>
                <w:sz w:val="18"/>
              </w:rPr>
              <w:t>2,590</w:t>
            </w:r>
          </w:p>
        </w:tc>
      </w:tr>
      <w:tr>
        <w:tc>
          <w:tcPr>
            <w:tcW w:type="dxa" w:w="2160"/>
          </w:tcPr>
          <w:p>
            <w:r>
              <w:rPr>
                <w:rFonts w:ascii="Times New Roman" w:hAnsi="Times New Roman"/>
                <w:sz w:val="18"/>
              </w:rPr>
              <w:t>Cash flows from investing activities</w:t>
            </w:r>
          </w:p>
        </w:tc>
        <w:tc>
          <w:tcPr>
            <w:tcW w:type="dxa" w:w="2160"/>
          </w:tcPr>
          <w:p/>
        </w:tc>
        <w:tc>
          <w:tcPr>
            <w:tcW w:type="dxa" w:w="2160"/>
          </w:tcPr>
          <w:p/>
        </w:tc>
        <w:tc>
          <w:tcPr>
            <w:tcW w:type="dxa" w:w="2160"/>
          </w:tcPr>
          <w:p/>
        </w:tc>
      </w:tr>
      <w:tr>
        <w:tc>
          <w:tcPr>
            <w:tcW w:type="dxa" w:w="2160"/>
          </w:tcPr>
          <w:p>
            <w:r>
              <w:rPr>
                <w:rFonts w:ascii="Arial" w:hAnsi="Arial"/>
                <w:sz w:val="18"/>
              </w:rPr>
              <w:t>Purchase of property, plant and equipment</w:t>
            </w:r>
          </w:p>
        </w:tc>
        <w:tc>
          <w:tcPr>
            <w:tcW w:type="dxa" w:w="2160"/>
          </w:tcPr>
          <w:p/>
        </w:tc>
        <w:tc>
          <w:tcPr>
            <w:tcW w:type="dxa" w:w="2160"/>
          </w:tcPr>
          <w:p>
            <w:r>
              <w:rPr>
                <w:rFonts w:ascii="Calibri" w:hAnsi="Calibri"/>
                <w:sz w:val="22"/>
              </w:rPr>
              <w:t>(1,850)</w:t>
            </w:r>
          </w:p>
        </w:tc>
        <w:tc>
          <w:tcPr>
            <w:tcW w:type="dxa" w:w="2160"/>
          </w:tcPr>
          <w:p>
            <w:r>
              <w:rPr>
                <w:rFonts w:ascii="Verdana" w:hAnsi="Verdana"/>
                <w:sz w:val="18"/>
              </w:rPr>
              <w:t>(1,600)</w:t>
            </w:r>
          </w:p>
        </w:tc>
      </w:tr>
      <w:tr>
        <w:tc>
          <w:tcPr>
            <w:tcW w:type="dxa" w:w="2160"/>
          </w:tcPr>
          <w:p>
            <w:r>
              <w:rPr>
                <w:rFonts w:ascii="Verdana" w:hAnsi="Verdana"/>
                <w:sz w:val="18"/>
              </w:rPr>
              <w:t>Net cash used in investing activities</w:t>
            </w:r>
          </w:p>
        </w:tc>
        <w:tc>
          <w:tcPr>
            <w:tcW w:type="dxa" w:w="2160"/>
          </w:tcPr>
          <w:p/>
        </w:tc>
        <w:tc>
          <w:tcPr>
            <w:tcW w:type="dxa" w:w="2160"/>
          </w:tcPr>
          <w:p>
            <w:r>
              <w:rPr>
                <w:rFonts w:ascii="Verdana" w:hAnsi="Verdana"/>
                <w:sz w:val="22"/>
              </w:rPr>
              <w:t>(1,850)</w:t>
            </w:r>
          </w:p>
        </w:tc>
        <w:tc>
          <w:tcPr>
            <w:tcW w:type="dxa" w:w="2160"/>
          </w:tcPr>
          <w:p>
            <w:r>
              <w:rPr>
                <w:rFonts w:ascii="Verdana" w:hAnsi="Verdana"/>
                <w:sz w:val="22"/>
              </w:rPr>
              <w:t>(1,600)</w:t>
            </w:r>
          </w:p>
        </w:tc>
      </w:tr>
      <w:tr>
        <w:tc>
          <w:tcPr>
            <w:tcW w:type="dxa" w:w="2160"/>
          </w:tcPr>
          <w:p>
            <w:r>
              <w:rPr>
                <w:rFonts w:ascii="Verdana" w:hAnsi="Verdana"/>
                <w:sz w:val="22"/>
              </w:rPr>
              <w:t>Cash flows from financing activities</w:t>
            </w:r>
          </w:p>
        </w:tc>
        <w:tc>
          <w:tcPr>
            <w:tcW w:type="dxa" w:w="2160"/>
          </w:tcPr>
          <w:p/>
        </w:tc>
        <w:tc>
          <w:tcPr>
            <w:tcW w:type="dxa" w:w="2160"/>
          </w:tcPr>
          <w:p/>
        </w:tc>
        <w:tc>
          <w:tcPr>
            <w:tcW w:type="dxa" w:w="2160"/>
          </w:tcPr>
          <w:p/>
        </w:tc>
      </w:tr>
      <w:tr>
        <w:tc>
          <w:tcPr>
            <w:tcW w:type="dxa" w:w="2160"/>
          </w:tcPr>
          <w:p>
            <w:r>
              <w:rPr>
                <w:rFonts w:ascii="Times New Roman" w:hAnsi="Times New Roman"/>
                <w:sz w:val="22"/>
              </w:rPr>
              <w:t>Repayment of borrowings</w:t>
            </w:r>
          </w:p>
        </w:tc>
        <w:tc>
          <w:tcPr>
            <w:tcW w:type="dxa" w:w="2160"/>
          </w:tcPr>
          <w:p/>
        </w:tc>
        <w:tc>
          <w:tcPr>
            <w:tcW w:type="dxa" w:w="2160"/>
          </w:tcPr>
          <w:p>
            <w:r>
              <w:rPr>
                <w:rFonts w:ascii="Calibri" w:hAnsi="Calibri"/>
                <w:sz w:val="18"/>
              </w:rPr>
              <w:t>(500)</w:t>
            </w:r>
          </w:p>
        </w:tc>
        <w:tc>
          <w:tcPr>
            <w:tcW w:type="dxa" w:w="2160"/>
          </w:tcPr>
          <w:p>
            <w:r>
              <w:rPr>
                <w:rFonts w:ascii="Times New Roman" w:hAnsi="Times New Roman"/>
                <w:sz w:val="18"/>
              </w:rPr>
              <w:t>(500)</w:t>
            </w:r>
          </w:p>
        </w:tc>
      </w:tr>
      <w:tr>
        <w:tc>
          <w:tcPr>
            <w:tcW w:type="dxa" w:w="2160"/>
          </w:tcPr>
          <w:p>
            <w:r>
              <w:rPr>
                <w:rFonts w:ascii="Calibri" w:hAnsi="Calibri"/>
                <w:sz w:val="20"/>
              </w:rPr>
              <w:t>Dividends paid</w:t>
            </w:r>
          </w:p>
        </w:tc>
        <w:tc>
          <w:tcPr>
            <w:tcW w:type="dxa" w:w="2160"/>
          </w:tcPr>
          <w:p/>
        </w:tc>
        <w:tc>
          <w:tcPr>
            <w:tcW w:type="dxa" w:w="2160"/>
          </w:tcPr>
          <w:p>
            <w:r>
              <w:rPr>
                <w:rFonts w:ascii="Times New Roman" w:hAnsi="Times New Roman"/>
                <w:sz w:val="18"/>
              </w:rPr>
              <w:t>(500)</w:t>
            </w:r>
          </w:p>
        </w:tc>
        <w:tc>
          <w:tcPr>
            <w:tcW w:type="dxa" w:w="2160"/>
          </w:tcPr>
          <w:p>
            <w:r>
              <w:rPr>
                <w:rFonts w:ascii="Calibri" w:hAnsi="Calibri"/>
                <w:sz w:val="18"/>
              </w:rPr>
              <w:t>(500)</w:t>
            </w:r>
          </w:p>
        </w:tc>
      </w:tr>
      <w:tr>
        <w:tc>
          <w:tcPr>
            <w:tcW w:type="dxa" w:w="2160"/>
          </w:tcPr>
          <w:p>
            <w:r>
              <w:rPr>
                <w:rFonts w:ascii="Arial" w:hAnsi="Arial"/>
                <w:sz w:val="22"/>
              </w:rPr>
              <w:t>Net cash used in financing activities</w:t>
            </w:r>
          </w:p>
        </w:tc>
        <w:tc>
          <w:tcPr>
            <w:tcW w:type="dxa" w:w="2160"/>
          </w:tcPr>
          <w:p/>
        </w:tc>
        <w:tc>
          <w:tcPr>
            <w:tcW w:type="dxa" w:w="2160"/>
          </w:tcPr>
          <w:p>
            <w:r>
              <w:rPr>
                <w:rFonts w:ascii="Times New Roman" w:hAnsi="Times New Roman"/>
                <w:sz w:val="20"/>
              </w:rPr>
              <w:t>(1,000)</w:t>
            </w:r>
          </w:p>
        </w:tc>
        <w:tc>
          <w:tcPr>
            <w:tcW w:type="dxa" w:w="2160"/>
          </w:tcPr>
          <w:p>
            <w:r>
              <w:rPr>
                <w:rFonts w:ascii="Calibri" w:hAnsi="Calibri"/>
                <w:sz w:val="18"/>
              </w:rPr>
              <w:t>(1,000)</w:t>
            </w:r>
          </w:p>
        </w:tc>
      </w:tr>
      <w:tr>
        <w:tc>
          <w:tcPr>
            <w:tcW w:type="dxa" w:w="2160"/>
          </w:tcPr>
          <w:p>
            <w:r>
              <w:rPr>
                <w:rFonts w:ascii="Arial" w:hAnsi="Arial"/>
                <w:sz w:val="22"/>
              </w:rPr>
              <w:t>Net increase in cash and cash equivalents</w:t>
            </w:r>
          </w:p>
        </w:tc>
        <w:tc>
          <w:tcPr>
            <w:tcW w:type="dxa" w:w="2160"/>
          </w:tcPr>
          <w:p/>
        </w:tc>
        <w:tc>
          <w:tcPr>
            <w:tcW w:type="dxa" w:w="2160"/>
          </w:tcPr>
          <w:p>
            <w:r>
              <w:rPr>
                <w:rFonts w:ascii="Verdana" w:hAnsi="Verdana"/>
                <w:sz w:val="22"/>
              </w:rPr>
              <w:t>490</w:t>
            </w:r>
          </w:p>
        </w:tc>
        <w:tc>
          <w:tcPr>
            <w:tcW w:type="dxa" w:w="2160"/>
          </w:tcPr>
          <w:p>
            <w:r>
              <w:rPr>
                <w:rFonts w:ascii="Times New Roman" w:hAnsi="Times New Roman"/>
                <w:sz w:val="22"/>
              </w:rPr>
              <w:t>(10)</w:t>
            </w:r>
          </w:p>
        </w:tc>
      </w:tr>
      <w:tr>
        <w:tc>
          <w:tcPr>
            <w:tcW w:type="dxa" w:w="2160"/>
          </w:tcPr>
          <w:p>
            <w:r>
              <w:rPr>
                <w:rFonts w:ascii="Calibri" w:hAnsi="Calibri"/>
                <w:sz w:val="22"/>
              </w:rPr>
              <w:t>Cash and cash equivalents at beginning of the year</w:t>
            </w:r>
          </w:p>
        </w:tc>
        <w:tc>
          <w:tcPr>
            <w:tcW w:type="dxa" w:w="2160"/>
          </w:tcPr>
          <w:p/>
        </w:tc>
        <w:tc>
          <w:tcPr>
            <w:tcW w:type="dxa" w:w="2160"/>
          </w:tcPr>
          <w:p>
            <w:r>
              <w:rPr>
                <w:rFonts w:ascii="Times New Roman" w:hAnsi="Times New Roman"/>
                <w:sz w:val="18"/>
              </w:rPr>
              <w:t>1,460</w:t>
            </w:r>
          </w:p>
        </w:tc>
        <w:tc>
          <w:tcPr>
            <w:tcW w:type="dxa" w:w="2160"/>
          </w:tcPr>
          <w:p>
            <w:r>
              <w:rPr>
                <w:rFonts w:ascii="Verdana" w:hAnsi="Verdana"/>
                <w:sz w:val="18"/>
              </w:rPr>
              <w:t>1,470</w:t>
            </w:r>
          </w:p>
        </w:tc>
      </w:tr>
      <w:tr>
        <w:tc>
          <w:tcPr>
            <w:tcW w:type="dxa" w:w="2160"/>
          </w:tcPr>
          <w:p>
            <w:r>
              <w:rPr>
                <w:rFonts w:ascii="Calibri" w:hAnsi="Calibri"/>
                <w:sz w:val="20"/>
              </w:rPr>
              <w:t>Cash and cash equivalents at end of the year</w:t>
            </w:r>
          </w:p>
        </w:tc>
        <w:tc>
          <w:tcPr>
            <w:tcW w:type="dxa" w:w="2160"/>
          </w:tcPr>
          <w:p>
            <w:r>
              <w:rPr>
                <w:rFonts w:ascii="Verdana" w:hAnsi="Verdana"/>
                <w:sz w:val="18"/>
              </w:rPr>
              <w:t>9</w:t>
            </w:r>
          </w:p>
        </w:tc>
        <w:tc>
          <w:tcPr>
            <w:tcW w:type="dxa" w:w="2160"/>
          </w:tcPr>
          <w:p>
            <w:r>
              <w:rPr>
                <w:rFonts w:ascii="Times New Roman" w:hAnsi="Times New Roman"/>
                <w:sz w:val="20"/>
              </w:rPr>
              <w:t>1,950</w:t>
            </w:r>
          </w:p>
        </w:tc>
        <w:tc>
          <w:tcPr>
            <w:tcW w:type="dxa" w:w="2160"/>
          </w:tcPr>
          <w:p>
            <w:r>
              <w:rPr>
                <w:rFonts w:ascii="Times New Roman" w:hAnsi="Times New Roman"/>
                <w:sz w:val="22"/>
              </w:rPr>
              <w:t>1,460</w:t>
            </w:r>
          </w:p>
        </w:tc>
      </w:tr>
    </w:tbl>
    <w:p>
      <w:r>
        <w:rPr>
          <w:rFonts w:ascii="Times New Roman" w:hAnsi="Times New Roman"/>
          <w:b/>
          <w:sz w:val="26"/>
        </w:rPr>
        <w:t>Notes to the Financial Statements</w:t>
      </w:r>
    </w:p>
    <w:p>
      <w:r>
        <w:rPr>
          <w:rFonts w:ascii="Arial" w:hAnsi="Arial"/>
          <w:b w:val="0"/>
          <w:sz w:val="20"/>
        </w:rPr>
        <w:t>For the year ended 31 December 2025</w:t>
      </w:r>
    </w:p>
    <w:p>
      <w:r>
        <w:rPr>
          <w:rFonts w:ascii="Calibri" w:hAnsi="Calibri"/>
          <w:b/>
          <w:sz w:val="22"/>
        </w:rPr>
        <w:t>1. General information</w:t>
      </w:r>
    </w:p>
    <w:p>
      <w:r>
        <w:rPr>
          <w:rFonts w:ascii="Calibri" w:hAnsi="Calibri"/>
          <w:b w:val="0"/>
          <w:sz w:val="22"/>
        </w:rPr>
        <w:t>Northwind Trading Limited is a private company incorporated and domiciled in the country. Its registered office is at 1 Harbour Road.</w:t>
      </w:r>
    </w:p>
    <w:p>
      <w:r>
        <w:rPr>
          <w:rFonts w:ascii="Times New Roman" w:hAnsi="Times New Roman"/>
          <w:b/>
          <w:sz w:val="18"/>
        </w:rPr>
        <w:t>2. Basis of preparation</w:t>
      </w:r>
    </w:p>
    <w:p>
      <w:r>
        <w:rPr>
          <w:rFonts w:ascii="Arial" w:hAnsi="Arial"/>
          <w:b w:val="0"/>
          <w:sz w:val="24"/>
        </w:rPr>
        <w:t>These financial statements have been prepared in accordance with International Financial Reporting Standards (IFRS) on the historical cost basis. They are presented in US dollars, rounded to the nearest thousand.</w:t>
      </w:r>
    </w:p>
    <w:p>
      <w:r>
        <w:rPr>
          <w:rFonts w:ascii="Times New Roman" w:hAnsi="Times New Roman"/>
          <w:b/>
          <w:sz w:val="24"/>
        </w:rPr>
        <w:t>3. Significant accounting policies</w:t>
      </w:r>
    </w:p>
    <w:p>
      <w:r>
        <w:rPr>
          <w:rFonts w:ascii="Calibri" w:hAnsi="Calibri"/>
          <w:b/>
          <w:sz w:val="20"/>
        </w:rPr>
        <w:t>3.1 Revenue</w:t>
      </w:r>
    </w:p>
    <w:p>
      <w:r>
        <w:rPr>
          <w:rFonts w:ascii="Arial" w:hAnsi="Arial"/>
          <w:b w:val="0"/>
          <w:sz w:val="18"/>
        </w:rPr>
        <w:t>Revenue is recognised in accordance with IAS 18 when the significant risks and rewards of ownership have transferred to the buyer. Revenue is measured at the fair value of the consideration recieved, net of discounts.</w:t>
      </w:r>
    </w:p>
    <w:p>
      <w:r>
        <w:rPr>
          <w:rFonts w:ascii="Arial" w:hAnsi="Arial"/>
          <w:b/>
          <w:sz w:val="22"/>
        </w:rPr>
        <w:t>3.2 Property, plant and equipment</w:t>
      </w:r>
    </w:p>
    <w:p>
      <w:r>
        <w:rPr>
          <w:rFonts w:ascii="Verdana" w:hAnsi="Verdana"/>
          <w:b w:val="0"/>
          <w:sz w:val="20"/>
        </w:rPr>
        <w:t>Property, plant and equipment is stated at cost less accumulated depreciaton and impairment. Depreciation is recognized on a straight-line basis over the estimated useful lives.</w:t>
      </w:r>
    </w:p>
    <w:p>
      <w:r>
        <w:rPr>
          <w:rFonts w:ascii="Verdana" w:hAnsi="Verdana"/>
          <w:b/>
          <w:sz w:val="18"/>
        </w:rPr>
        <w:t>4. Critical accounting estimates and judgements</w:t>
      </w:r>
    </w:p>
    <w:p>
      <w:r>
        <w:rPr>
          <w:rFonts w:ascii="Times New Roman" w:hAnsi="Times New Roman"/>
          <w:b w:val="0"/>
          <w:sz w:val="18"/>
        </w:rPr>
        <w:t>The preparation of financial statements requires management to make judgements and estimates that affect the reported amounts of assets and liabilites.</w:t>
      </w:r>
    </w:p>
    <w:p>
      <w:r>
        <w:rPr>
          <w:rFonts w:ascii="Calibri" w:hAnsi="Calibri"/>
          <w:b/>
          <w:sz w:val="22"/>
        </w:rPr>
        <w:t>5 Property, plant and equipment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rFonts w:ascii="Arial" w:hAnsi="Arial"/>
                <w:b w:val="0"/>
                <w:sz w:val="22"/>
              </w:rPr>
              <w:t>Land and buildings</w:t>
            </w:r>
          </w:p>
        </w:tc>
        <w:tc>
          <w:tcPr>
            <w:tcW w:type="dxa" w:w="2160"/>
          </w:tcPr>
          <w:p>
            <w:r>
              <w:rPr>
                <w:rFonts w:ascii="Calibri" w:hAnsi="Calibri"/>
                <w:b w:val="0"/>
                <w:sz w:val="22"/>
              </w:rPr>
              <w:t>Plant and machinery</w:t>
            </w:r>
          </w:p>
        </w:tc>
        <w:tc>
          <w:tcPr>
            <w:tcW w:type="dxa" w:w="2160"/>
          </w:tcPr>
          <w:p>
            <w:r>
              <w:rPr>
                <w:rFonts w:ascii="Verdana" w:hAnsi="Verdana"/>
                <w:b w:val="0"/>
                <w:sz w:val="20"/>
              </w:rPr>
              <w:t>Total</w:t>
            </w:r>
          </w:p>
        </w:tc>
      </w:tr>
      <w:tr>
        <w:tc>
          <w:tcPr>
            <w:tcW w:type="dxa" w:w="2160"/>
          </w:tcPr>
          <w:p/>
        </w:tc>
        <w:tc>
          <w:tcPr>
            <w:tcW w:type="dxa" w:w="2160"/>
          </w:tcPr>
          <w:p>
            <w:r>
              <w:rPr>
                <w:rFonts w:ascii="Verdana" w:hAnsi="Verdana"/>
                <w:b/>
                <w:sz w:val="18"/>
              </w:rPr>
              <w:t>$'000</w:t>
            </w:r>
          </w:p>
        </w:tc>
        <w:tc>
          <w:tcPr>
            <w:tcW w:type="dxa" w:w="2160"/>
          </w:tcPr>
          <w:p>
            <w:r>
              <w:rPr>
                <w:rFonts w:ascii="Calibri" w:hAnsi="Calibri"/>
                <w:b w:val="0"/>
                <w:sz w:val="18"/>
              </w:rPr>
              <w:t>$'000</w:t>
            </w:r>
          </w:p>
        </w:tc>
        <w:tc>
          <w:tcPr>
            <w:tcW w:type="dxa" w:w="2160"/>
          </w:tcPr>
          <w:p>
            <w:r>
              <w:rPr>
                <w:rFonts w:ascii="Verdana" w:hAnsi="Verdana"/>
                <w:b w:val="0"/>
                <w:sz w:val="22"/>
              </w:rPr>
              <w:t>$'000</w:t>
            </w:r>
          </w:p>
        </w:tc>
      </w:tr>
      <w:tr>
        <w:tc>
          <w:tcPr>
            <w:tcW w:type="dxa" w:w="2160"/>
          </w:tcPr>
          <w:p>
            <w:r>
              <w:rPr>
                <w:rFonts w:ascii="Calibri" w:hAnsi="Calibri"/>
                <w:sz w:val="22"/>
              </w:rPr>
              <w:t>Cost at 1 January 2025</w:t>
            </w:r>
          </w:p>
        </w:tc>
        <w:tc>
          <w:tcPr>
            <w:tcW w:type="dxa" w:w="2160"/>
          </w:tcPr>
          <w:p>
            <w:r>
              <w:rPr>
                <w:rFonts w:ascii="Arial" w:hAnsi="Arial"/>
                <w:sz w:val="22"/>
              </w:rPr>
              <w:t>8,000</w:t>
            </w:r>
          </w:p>
        </w:tc>
        <w:tc>
          <w:tcPr>
            <w:tcW w:type="dxa" w:w="2160"/>
          </w:tcPr>
          <w:p>
            <w:r>
              <w:rPr>
                <w:rFonts w:ascii="Calibri" w:hAnsi="Calibri"/>
                <w:sz w:val="18"/>
              </w:rPr>
              <w:t>9,600</w:t>
            </w:r>
          </w:p>
        </w:tc>
        <w:tc>
          <w:tcPr>
            <w:tcW w:type="dxa" w:w="2160"/>
          </w:tcPr>
          <w:p>
            <w:r>
              <w:rPr>
                <w:rFonts w:ascii="Arial" w:hAnsi="Arial"/>
                <w:sz w:val="18"/>
              </w:rPr>
              <w:t>17,600</w:t>
            </w:r>
          </w:p>
        </w:tc>
      </w:tr>
      <w:tr>
        <w:tc>
          <w:tcPr>
            <w:tcW w:type="dxa" w:w="2160"/>
          </w:tcPr>
          <w:p>
            <w:r>
              <w:rPr>
                <w:rFonts w:ascii="Calibri" w:hAnsi="Calibri"/>
                <w:sz w:val="22"/>
              </w:rPr>
              <w:t>Additions</w:t>
            </w:r>
          </w:p>
        </w:tc>
        <w:tc>
          <w:tcPr>
            <w:tcW w:type="dxa" w:w="2160"/>
          </w:tcPr>
          <w:p>
            <w:r>
              <w:rPr>
                <w:rFonts w:ascii="Times New Roman" w:hAnsi="Times New Roman"/>
                <w:sz w:val="18"/>
              </w:rPr>
              <w:t>400</w:t>
            </w:r>
          </w:p>
        </w:tc>
        <w:tc>
          <w:tcPr>
            <w:tcW w:type="dxa" w:w="2160"/>
          </w:tcPr>
          <w:p>
            <w:r>
              <w:rPr>
                <w:rFonts w:ascii="Verdana" w:hAnsi="Verdana"/>
                <w:sz w:val="20"/>
              </w:rPr>
              <w:t>1,450</w:t>
            </w:r>
          </w:p>
        </w:tc>
        <w:tc>
          <w:tcPr>
            <w:tcW w:type="dxa" w:w="2160"/>
          </w:tcPr>
          <w:p>
            <w:r>
              <w:rPr>
                <w:rFonts w:ascii="Arial" w:hAnsi="Arial"/>
                <w:sz w:val="22"/>
              </w:rPr>
              <w:t>1,850</w:t>
            </w:r>
          </w:p>
        </w:tc>
      </w:tr>
      <w:tr>
        <w:tc>
          <w:tcPr>
            <w:tcW w:type="dxa" w:w="2160"/>
          </w:tcPr>
          <w:p>
            <w:r>
              <w:rPr>
                <w:rFonts w:ascii="Arial" w:hAnsi="Arial"/>
                <w:sz w:val="22"/>
              </w:rPr>
              <w:t>Cost at 31 December 2025</w:t>
            </w:r>
          </w:p>
        </w:tc>
        <w:tc>
          <w:tcPr>
            <w:tcW w:type="dxa" w:w="2160"/>
          </w:tcPr>
          <w:p>
            <w:r>
              <w:rPr>
                <w:rFonts w:ascii="Calibri" w:hAnsi="Calibri"/>
                <w:sz w:val="20"/>
              </w:rPr>
              <w:t>8,400</w:t>
            </w:r>
          </w:p>
        </w:tc>
        <w:tc>
          <w:tcPr>
            <w:tcW w:type="dxa" w:w="2160"/>
          </w:tcPr>
          <w:p>
            <w:r>
              <w:rPr>
                <w:rFonts w:ascii="Times New Roman" w:hAnsi="Times New Roman"/>
                <w:sz w:val="18"/>
              </w:rPr>
              <w:t>11,050</w:t>
            </w:r>
          </w:p>
        </w:tc>
        <w:tc>
          <w:tcPr>
            <w:tcW w:type="dxa" w:w="2160"/>
          </w:tcPr>
          <w:p>
            <w:r>
              <w:rPr>
                <w:rFonts w:ascii="Verdana" w:hAnsi="Verdana"/>
                <w:sz w:val="18"/>
              </w:rPr>
              <w:t>19,450</w:t>
            </w:r>
          </w:p>
        </w:tc>
      </w:tr>
      <w:tr>
        <w:tc>
          <w:tcPr>
            <w:tcW w:type="dxa" w:w="2160"/>
          </w:tcPr>
          <w:p>
            <w:r>
              <w:rPr>
                <w:rFonts w:ascii="Arial" w:hAnsi="Arial"/>
                <w:sz w:val="22"/>
              </w:rPr>
              <w:t>Accumulated depreciation</w:t>
            </w:r>
          </w:p>
        </w:tc>
        <w:tc>
          <w:tcPr>
            <w:tcW w:type="dxa" w:w="2160"/>
          </w:tcPr>
          <w:p>
            <w:r>
              <w:rPr>
                <w:rFonts w:ascii="Arial" w:hAnsi="Arial"/>
                <w:sz w:val="22"/>
              </w:rPr>
              <w:t>(1,600)</w:t>
            </w:r>
          </w:p>
        </w:tc>
        <w:tc>
          <w:tcPr>
            <w:tcW w:type="dxa" w:w="2160"/>
          </w:tcPr>
          <w:p>
            <w:r>
              <w:rPr>
                <w:rFonts w:ascii="Verdana" w:hAnsi="Verdana"/>
                <w:sz w:val="20"/>
              </w:rPr>
              <w:t>(5,350)</w:t>
            </w:r>
          </w:p>
        </w:tc>
        <w:tc>
          <w:tcPr>
            <w:tcW w:type="dxa" w:w="2160"/>
          </w:tcPr>
          <w:p>
            <w:r>
              <w:rPr>
                <w:rFonts w:ascii="Arial" w:hAnsi="Arial"/>
                <w:sz w:val="20"/>
              </w:rPr>
              <w:t>(6,950)</w:t>
            </w:r>
          </w:p>
        </w:tc>
      </w:tr>
      <w:tr>
        <w:tc>
          <w:tcPr>
            <w:tcW w:type="dxa" w:w="2160"/>
          </w:tcPr>
          <w:p>
            <w:r>
              <w:rPr>
                <w:rFonts w:ascii="Calibri" w:hAnsi="Calibri"/>
                <w:sz w:val="22"/>
              </w:rPr>
              <w:t>Carrying amount at 31 December 2025</w:t>
            </w:r>
          </w:p>
        </w:tc>
        <w:tc>
          <w:tcPr>
            <w:tcW w:type="dxa" w:w="2160"/>
          </w:tcPr>
          <w:p>
            <w:r>
              <w:rPr>
                <w:rFonts w:ascii="Calibri" w:hAnsi="Calibri"/>
                <w:sz w:val="18"/>
              </w:rPr>
              <w:t>6,800</w:t>
            </w:r>
          </w:p>
        </w:tc>
        <w:tc>
          <w:tcPr>
            <w:tcW w:type="dxa" w:w="2160"/>
          </w:tcPr>
          <w:p>
            <w:r>
              <w:rPr>
                <w:rFonts w:ascii="Verdana" w:hAnsi="Verdana"/>
                <w:sz w:val="20"/>
              </w:rPr>
              <w:t>5,700</w:t>
            </w:r>
          </w:p>
        </w:tc>
        <w:tc>
          <w:tcPr>
            <w:tcW w:type="dxa" w:w="2160"/>
          </w:tcPr>
          <w:p>
            <w:r>
              <w:rPr>
                <w:rFonts w:ascii="Verdana" w:hAnsi="Verdana"/>
                <w:sz w:val="18"/>
              </w:rPr>
              <w:t>12,500</w:t>
            </w:r>
          </w:p>
        </w:tc>
      </w:tr>
    </w:tbl>
    <w:p>
      <w:r>
        <w:rPr>
          <w:rFonts w:ascii="Times New Roman" w:hAnsi="Times New Roman"/>
          <w:b/>
          <w:sz w:val="24"/>
        </w:rPr>
        <w:t>6. Intangible assets</w:t>
      </w:r>
    </w:p>
    <w:p>
      <w:r>
        <w:rPr>
          <w:rFonts w:ascii="Calibri" w:hAnsi="Calibri"/>
          <w:b w:val="0"/>
          <w:sz w:val="18"/>
        </w:rPr>
        <w:t>Intangible assets comprise software licences with a carrying amount of $1,250,000 (2024: $1,400,000).</w:t>
      </w:r>
    </w:p>
    <w:p>
      <w:r>
        <w:rPr>
          <w:rFonts w:ascii="Calibri" w:hAnsi="Calibri"/>
          <w:b/>
          <w:sz w:val="18"/>
        </w:rPr>
        <w:t>7. Inventories</w:t>
      </w:r>
    </w:p>
    <w:p>
      <w:r>
        <w:rPr>
          <w:rFonts w:ascii="Times New Roman" w:hAnsi="Times New Roman"/>
          <w:b w:val="0"/>
          <w:sz w:val="22"/>
        </w:rPr>
        <w:t>Inventories comprise finished goods held for resale.</w:t>
      </w:r>
    </w:p>
    <w:p>
      <w:r>
        <w:rPr>
          <w:rFonts w:ascii="Calibri" w:hAnsi="Calibri"/>
          <w:b/>
          <w:sz w:val="22"/>
        </w:rPr>
        <w:t>8. Trade and other receivables</w:t>
      </w:r>
    </w:p>
    <w:p>
      <w:r>
        <w:rPr>
          <w:rFonts w:ascii="Verdana" w:hAnsi="Verdana"/>
          <w:b w:val="0"/>
          <w:sz w:val="18"/>
        </w:rPr>
        <w:t>Trade receivables are non-interest bearing and are generally on 30-day terms.</w:t>
      </w:r>
    </w:p>
    <w:p>
      <w:r>
        <w:rPr>
          <w:rFonts w:ascii="Verdana" w:hAnsi="Verdana"/>
          <w:b/>
          <w:sz w:val="18"/>
        </w:rPr>
        <w:t>9. Cash and cash equivalents</w:t>
      </w:r>
    </w:p>
    <w:p>
      <w:r>
        <w:rPr>
          <w:rFonts w:ascii="Arial" w:hAnsi="Arial"/>
          <w:b w:val="0"/>
          <w:sz w:val="22"/>
        </w:rPr>
        <w:t>Cash and cash equivalents comprise cash at bank and short-term deposits.</w:t>
      </w:r>
    </w:p>
    <w:p>
      <w:r>
        <w:rPr>
          <w:rFonts w:ascii="Verdana" w:hAnsi="Verdana"/>
          <w:b/>
          <w:sz w:val="20"/>
        </w:rPr>
        <w:t>10. Share capital</w:t>
      </w:r>
    </w:p>
    <w:p>
      <w:r>
        <w:rPr>
          <w:rFonts w:ascii="Times New Roman" w:hAnsi="Times New Roman"/>
          <w:b w:val="0"/>
          <w:sz w:val="22"/>
        </w:rPr>
        <w:t>5,000,000 ordinary shares of $1 each, fully paid.</w:t>
      </w:r>
    </w:p>
    <w:p>
      <w:r>
        <w:rPr>
          <w:rFonts w:ascii="Verdana" w:hAnsi="Verdana"/>
          <w:b/>
          <w:sz w:val="24"/>
        </w:rPr>
        <w:t>12. Trade and other payables</w:t>
      </w:r>
    </w:p>
    <w:p>
      <w:r>
        <w:rPr>
          <w:rFonts w:ascii="Arial" w:hAnsi="Arial"/>
          <w:b w:val="0"/>
          <w:sz w:val="24"/>
        </w:rPr>
        <w:t>Trade creditors are settled on 45-day terms.</w:t>
      </w:r>
    </w:p>
    <w:p>
      <w:r>
        <w:rPr>
          <w:rFonts w:ascii="Times New Roman" w:hAnsi="Times New Roman"/>
          <w:b/>
          <w:sz w:val="20"/>
        </w:rPr>
        <w:t>13. Revenue</w:t>
      </w:r>
    </w:p>
    <w:p>
      <w:r>
        <w:rPr>
          <w:rFonts w:ascii="Verdana" w:hAnsi="Verdana"/>
          <w:b w:val="0"/>
          <w:sz w:val="18"/>
        </w:rPr>
        <w:t>Revenue arises from the sale of goods.</w:t>
      </w:r>
    </w:p>
    <w:p>
      <w:r>
        <w:rPr>
          <w:rFonts w:ascii="Times New Roman" w:hAnsi="Times New Roman"/>
          <w:b/>
          <w:sz w:val="18"/>
        </w:rPr>
        <w:t>14. Income tax</w:t>
      </w:r>
    </w:p>
    <w:p>
      <w:r>
        <w:rPr>
          <w:rFonts w:ascii="Arial" w:hAnsi="Arial"/>
          <w:b w:val="0"/>
          <w:sz w:val="24"/>
        </w:rPr>
        <w:t>The tax charge is based on the profit for the year at the standard 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