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Summary descriptives table by groups of `demo_center'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5070"/>
        <w:gridCol w:w="1732"/>
        <w:gridCol w:w="1732"/>
        <w:gridCol w:w="1670"/>
        <w:gridCol w:w="1273"/>
      </w:tblGrid>
      <w:tr>
        <w:trPr>
          <w:trHeight w:val="614" w:hRule="auto"/>
          <w:tblHeader/>
        </w:trPr>
        header 1
        <w:tc>
          <w:tcPr>
            <w:tcBorders>
              <w:bottom w:val="none" w:sz="0" w:space="0" w:color="FFFFFF"/>
              <w:top w:val="single" w:sz="1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FFFFFF"/>
              <w:top w:val="single" w:sz="1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  [ALL]    </w:t>
            </w:r>
          </w:p>
        </w:tc>
        <w:tc>
          <w:tcPr>
            <w:tcBorders>
              <w:bottom w:val="none" w:sz="0" w:space="0" w:color="FFFFFF"/>
              <w:top w:val="single" w:sz="1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   ICPS    </w:t>
            </w:r>
          </w:p>
        </w:tc>
        <w:tc>
          <w:tcPr>
            <w:tcBorders>
              <w:bottom w:val="none" w:sz="0" w:space="0" w:color="FFFFFF"/>
              <w:top w:val="single" w:sz="1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Lariboisiere</w:t>
            </w:r>
          </w:p>
        </w:tc>
        <w:tc>
          <w:tcPr>
            <w:tcBorders>
              <w:bottom w:val="none" w:sz="0" w:space="0" w:color="FFFFFF"/>
              <w:top w:val="single" w:sz="1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p.overall</w:t>
            </w:r>
          </w:p>
        </w:tc>
      </w:tr>
      <w:tr>
        <w:trPr>
          <w:trHeight w:val="573" w:hRule="auto"/>
          <w:tblHeader/>
        </w:trPr>
        header 2
        <w:tc>
          <w:tcPr>
            <w:tcBorders>
              <w:bottom w:val="single" w:sz="16" w:space="0" w:color="000000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tru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true"/>
                <w:b w:val="true"/>
                <w:u w:val="none"/>
                <w:sz w:val="22"/>
                <w:szCs w:val="22"/>
                <w:color w:val="000000"/>
              </w:rPr>
              <w:t xml:space="preserve">   N=6082   </w:t>
            </w:r>
          </w:p>
        </w:tc>
        <w:tc>
          <w:tcPr>
            <w:tcBorders>
              <w:bottom w:val="single" w:sz="16" w:space="0" w:color="000000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true"/>
                <w:b w:val="true"/>
                <w:u w:val="none"/>
                <w:sz w:val="22"/>
                <w:szCs w:val="22"/>
                <w:color w:val="000000"/>
              </w:rPr>
              <w:t xml:space="preserve">   N=5214   </w:t>
            </w:r>
          </w:p>
        </w:tc>
        <w:tc>
          <w:tcPr>
            <w:tcBorders>
              <w:bottom w:val="single" w:sz="16" w:space="0" w:color="000000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true"/>
                <w:b w:val="true"/>
                <w:u w:val="none"/>
                <w:sz w:val="22"/>
                <w:szCs w:val="22"/>
                <w:color w:val="000000"/>
              </w:rPr>
              <w:t xml:space="preserve">   N=868    </w:t>
            </w:r>
          </w:p>
        </w:tc>
        <w:tc>
          <w:tcPr>
            <w:tcBorders>
              <w:bottom w:val="single" w:sz="16" w:space="0" w:color="000000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true"/>
                <w:b w:val="tru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8" w:hRule="auto"/>
        </w:trPr>
        body 1
        <w:tc>
          <w:tcPr>
            <w:tcBorders>
              <w:bottom w:val="none" w:sz="0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demo_age</w:t>
            </w:r>
          </w:p>
        </w:tc>
        <w:tc>
          <w:tcPr>
            <w:tcBorders>
              <w:bottom w:val="none" w:sz="0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64.5 (11.8) </w:t>
            </w:r>
          </w:p>
        </w:tc>
        <w:tc>
          <w:tcPr>
            <w:tcBorders>
              <w:bottom w:val="none" w:sz="0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64.4 (11.9) </w:t>
            </w:r>
          </w:p>
        </w:tc>
        <w:tc>
          <w:tcPr>
            <w:tcBorders>
              <w:bottom w:val="none" w:sz="0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65.3 (11.4) </w:t>
            </w:r>
          </w:p>
        </w:tc>
        <w:tc>
          <w:tcPr>
            <w:tcBorders>
              <w:bottom w:val="none" w:sz="0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0.026  </w:t>
            </w:r>
          </w:p>
        </w:tc>
      </w:tr>
      <w:tr>
        <w:trPr>
          <w:trHeight w:val="618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demo_gender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4419 (72.7%)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3738 (71.7%)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681 (78.5%)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&lt;0.001  </w:t>
            </w:r>
          </w:p>
        </w:tc>
      </w:tr>
      <w:tr>
        <w:trPr>
          <w:trHeight w:val="61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demo_BMI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27.7 (5.33)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27.7 (5.34)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27.8 (5.24)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0.658  </w:t>
            </w:r>
          </w:p>
        </w:tc>
      </w:tr>
      <w:tr>
        <w:trPr>
          <w:trHeight w:val="61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CV_risk_diabete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2309 (38.0%)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1850 (35.5%)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459 (52.9%)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&lt;0.001  </w:t>
            </w:r>
          </w:p>
        </w:tc>
      </w:tr>
      <w:tr>
        <w:trPr>
          <w:trHeight w:val="616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CV_risk_HTA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3144 (51.7%)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2698 (51.7%)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446 (51.4%)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0.872  </w:t>
            </w:r>
          </w:p>
        </w:tc>
      </w:tr>
      <w:tr>
        <w:trPr>
          <w:trHeight w:val="62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CV_risk_obesity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1687 (27.7%)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1452 (27.8%)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235 (27.1%)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0.667  </w:t>
            </w:r>
          </w:p>
        </w:tc>
      </w:tr>
      <w:tr>
        <w:trPr>
          <w:trHeight w:val="62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CV_risk_dyslipidemia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3005 (49.4%)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2571 (49.3%)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434 (50.0%)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0.734  </w:t>
            </w:r>
          </w:p>
        </w:tc>
      </w:tr>
      <w:tr>
        <w:trPr>
          <w:trHeight w:val="621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CV_risk_Smoking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1285 (21.1%)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1092 (20.9%)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193 (22.2%)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0.413  </w:t>
            </w:r>
          </w:p>
        </w:tc>
      </w:tr>
      <w:tr>
        <w:trPr>
          <w:trHeight w:val="61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history_med_MI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2354 (38.7%)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1929 (37.0%)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425 (49.0%)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&lt;0.001  </w:t>
            </w:r>
          </w:p>
        </w:tc>
      </w:tr>
      <w:tr>
        <w:trPr>
          <w:trHeight w:val="616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history_coronary_procedure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5394 (88.7%)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4657 (89.3%)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737 (84.9%)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&lt;0.001  </w:t>
            </w:r>
          </w:p>
        </w:tc>
      </w:tr>
      <w:tr>
        <w:trPr>
          <w:trHeight w:val="62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history_interv_PCI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380 (6.25%)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278 (5.33%)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 (11.8%)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&lt;0.001  </w:t>
            </w:r>
          </w:p>
        </w:tc>
      </w:tr>
      <w:tr>
        <w:trPr>
          <w:trHeight w:val="62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history_interv_CABG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5085 (83.6%)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4439 (85.1%)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646 (74.4%)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&lt;0.001  </w:t>
            </w:r>
          </w:p>
        </w:tc>
      </w:tr>
      <w:tr>
        <w:trPr>
          <w:trHeight w:val="616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med_periph_atheroma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344 (5.66%)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294 (5.64%)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50 (5.76%)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0.949  </w:t>
            </w:r>
          </w:p>
        </w:tc>
      </w:tr>
      <w:tr>
        <w:trPr>
          <w:trHeight w:val="616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history_stroke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 (3.06%)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 (3.07%)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26 (3.00%)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0.992  </w:t>
            </w:r>
          </w:p>
        </w:tc>
      </w:tr>
      <w:tr>
        <w:trPr>
          <w:trHeight w:val="616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med_pacemaker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41 (0.67%)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37 (0.71%)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4 (0.46%)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0.545  </w:t>
            </w:r>
          </w:p>
        </w:tc>
      </w:tr>
      <w:tr>
        <w:trPr>
          <w:trHeight w:val="616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med_CKD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 (1.99%)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 (2.13%)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10 (1.15%)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0.076  </w:t>
            </w:r>
          </w:p>
        </w:tc>
      </w:tr>
      <w:tr>
        <w:trPr>
          <w:trHeight w:val="616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history_hospit_HF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368 (6.05%)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306 (5.87%)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62 (7.14%)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0.167  </w:t>
            </w:r>
          </w:p>
        </w:tc>
      </w:tr>
      <w:tr>
        <w:trPr>
          <w:trHeight w:val="616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history_AFib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453 (7.45%)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395 (7.58%)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58 (6.68%)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0.390  </w:t>
            </w:r>
          </w:p>
        </w:tc>
      </w:tr>
      <w:tr>
        <w:trPr>
          <w:trHeight w:val="616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clini_NYHA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753 (12.4%)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645 (12.4%)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 (12.4%)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0.997  </w:t>
            </w:r>
          </w:p>
        </w:tc>
      </w:tr>
      <w:tr>
        <w:trPr>
          <w:trHeight w:val="616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clini_cardiac_rythm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426 (7.00%)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367 (7.04%)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59 (6.80%)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0.852  </w:t>
            </w:r>
          </w:p>
        </w:tc>
      </w:tr>
      <w:tr>
        <w:trPr>
          <w:trHeight w:val="616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outcome_revascularisation_90days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2773 (45.6%)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2235 (42.9%)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538 (62.0%)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&lt;0.001  </w:t>
            </w:r>
          </w:p>
        </w:tc>
      </w:tr>
      <w:tr>
        <w:trPr>
          <w:trHeight w:val="616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CMR_LVEF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43.7 (5.70)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43.8 (5.53)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43.1 (6.61)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0.003  </w:t>
            </w:r>
          </w:p>
        </w:tc>
      </w:tr>
      <w:tr>
        <w:trPr>
          <w:trHeight w:val="616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CMR_LVEDV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103 (21.5)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103 (20.9)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104 (25.0)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0.189  </w:t>
            </w:r>
          </w:p>
        </w:tc>
      </w:tr>
      <w:tr>
        <w:trPr>
          <w:trHeight w:val="616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CMR_LVESV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58.6 (17.8)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58.4 (17.3)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59.9 (20.3)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0.035  </w:t>
            </w:r>
          </w:p>
        </w:tc>
      </w:tr>
      <w:tr>
        <w:trPr>
          <w:trHeight w:val="616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CMR_LV_mass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91.0 (19.5)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91.0 (19.4)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91.6 (19.8)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0.399  </w:t>
            </w:r>
          </w:p>
        </w:tc>
      </w:tr>
      <w:tr>
        <w:trPr>
          <w:trHeight w:val="62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CMR_RV_dysfunction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218 (3.58%)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174 (3.34%)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44 (5.07%)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0.015  </w:t>
            </w:r>
          </w:p>
        </w:tc>
      </w:tr>
      <w:tr>
        <w:trPr>
          <w:trHeight w:val="619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CMR_LGE_presence_ischemic_and_midwall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354 (5.82%)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307 (5.89%)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47 (5.41%)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0.636  </w:t>
            </w:r>
          </w:p>
        </w:tc>
      </w:tr>
      <w:tr>
        <w:trPr>
          <w:trHeight w:val="619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CMR_LGE_ischemic_presence: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&lt;0.001  </w:t>
            </w:r>
          </w:p>
        </w:tc>
      </w:tr>
      <w:tr>
        <w:trPr>
          <w:trHeight w:val="616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No_ischemic_LGE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2491 (41.0%)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2314 (44.4%)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177 (20.4%)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6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Presence_of_ischemic_LGE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3591 (59.0%)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2900 (55.6%)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691 (79.6%)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6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CMR_LGE_ischemic_extent_count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1.83 (1.96)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1.74 (1.96)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2.37 (1.85)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&lt;0.001  </w:t>
            </w:r>
          </w:p>
        </w:tc>
      </w:tr>
      <w:tr>
        <w:trPr>
          <w:trHeight w:val="621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CMR_LGE_ischemic_extent_categ: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&lt;0.001  </w:t>
            </w:r>
          </w:p>
        </w:tc>
      </w:tr>
      <w:tr>
        <w:trPr>
          <w:trHeight w:val="616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A_No_ischemic_LGE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2491 (41.0%)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2314 (44.4%)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177 (20.4%)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B_1_2_segments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1392 (22.9%)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1102 (21.1%)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290 (33.4%)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21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C_3_5_segments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1953 (32.1%)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1596 (30.6%)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357 (41.1%)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D_more6_segments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246 (4.04%)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 (3.87%)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44 (5.07%)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2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CMR_LGE_ischemic_transmurality: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&lt;0.001  </w:t>
            </w:r>
          </w:p>
        </w:tc>
      </w:tr>
      <w:tr>
        <w:trPr>
          <w:trHeight w:val="616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A_No_ischemic_LGE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2491 (41.0%)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2314 (44.4%)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177 (20.4%)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6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B_Subendocardial&lt;50%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1698 (27.9%)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1355 (26.0%)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343 (39.5%)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6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C_Subendocardial≥50%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1549 (25.5%)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1268 (24.3%)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281 (32.4%)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6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D_Transmural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344 (5.66%)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277 (5.31%)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67 (7.72%)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00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CMR_LGE_ischemic_location_4: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&lt;0.001  </w:t>
            </w:r>
          </w:p>
        </w:tc>
      </w:tr>
      <w:tr>
        <w:trPr>
          <w:trHeight w:val="616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A_No_ischemic_LGE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2491 (41.0%)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2314 (44.4%)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177 (20.4%)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6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B_Neither_anterior_nor_septal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2662 (43.8%)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2136 (41.0%)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526 (60.6%)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9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C_Anterior_without_septal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422 (6.94%)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351 (6.73%)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71 (8.18%)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9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D_Septal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507 (8.34%)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413 (7.92%)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94 (10.8%)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6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CMR_LGE_ischemic_anterior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786 (12.9%)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651 (12.5%)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 (15.6%)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0.015  </w:t>
            </w:r>
          </w:p>
        </w:tc>
      </w:tr>
      <w:tr>
        <w:trPr>
          <w:trHeight w:val="619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CMR_LGE_ischemic_septal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507 (8.34%)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413 (7.92%)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94 (10.8%)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0.005  </w:t>
            </w:r>
          </w:p>
        </w:tc>
      </w:tr>
      <w:tr>
        <w:trPr>
          <w:trHeight w:val="616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CMR_LGE_ischemic_inferior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1214 (20.0%)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970 (18.6%)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244 (28.1%)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&lt;0.001  </w:t>
            </w:r>
          </w:p>
        </w:tc>
      </w:tr>
      <w:tr>
        <w:trPr>
          <w:trHeight w:val="616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CMR_LGE_ischemic_lateral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1195 (19.6%)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974 (18.7%)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221 (25.5%)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&lt;0.001  </w:t>
            </w:r>
          </w:p>
        </w:tc>
      </w:tr>
      <w:tr>
        <w:trPr>
          <w:trHeight w:val="619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CMR_LGE_ischemic_Apical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1168 (19.2%)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960 (18.4%)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208 (24.0%)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&lt;0.001  </w:t>
            </w:r>
          </w:p>
        </w:tc>
      </w:tr>
      <w:tr>
        <w:trPr>
          <w:trHeight w:val="619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CMR_LGE_midwall_presence: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&lt;0.001  </w:t>
            </w:r>
          </w:p>
        </w:tc>
      </w:tr>
      <w:tr>
        <w:trPr>
          <w:trHeight w:val="616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A_No_midwall_LGE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5380 (88.5%)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4581 (87.9%)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799 (92.1%)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6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B_Presence_of_midwall_LGE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702 (11.5%)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633 (12.1%)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69 (7.95%)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6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CMR_LGE_midwall_extent_count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 (0.39)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 (0.39)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 (0.35)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0.001  </w:t>
            </w:r>
          </w:p>
        </w:tc>
      </w:tr>
      <w:tr>
        <w:trPr>
          <w:trHeight w:val="621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CMR_LGE_midwall_extent_categ: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0.001  </w:t>
            </w:r>
          </w:p>
        </w:tc>
      </w:tr>
      <w:tr>
        <w:trPr>
          <w:trHeight w:val="616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5380 (88.5%)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4581 (87.9%)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799 (92.1%)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6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Low_=1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610 (10.0%)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553 (10.6%)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57 (6.57%)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8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High_&gt;1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92 (1.51%)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80 (1.53%)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12 (1.38%)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00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CMR_LGE_midwall_location_3: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0.002  </w:t>
            </w:r>
          </w:p>
        </w:tc>
      </w:tr>
      <w:tr>
        <w:trPr>
          <w:trHeight w:val="616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No_midwall_LGE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5380 (88.5%)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4581 (87.9%)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799 (92.1%)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6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Midwall_LGE_not_at_risk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471 (7.74%)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426 (8.17%)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45 (5.18%)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9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At_risk_midwall_LGE_(septal_and/or_lateral)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231 (3.80%)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207 (3.97%)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24 (2.76%)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00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CMR_LGE_midwall_location_4: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0.004  </w:t>
            </w:r>
          </w:p>
        </w:tc>
      </w:tr>
      <w:tr>
        <w:trPr>
          <w:trHeight w:val="616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No_midwall_LGE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5380 (88.5%)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4581 (87.9%)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799 (92.1%)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6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Midwall_LGE_not_at_risk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471 (7.74%)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426 (8.17%)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45 (5.18%)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6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Lateral_midwall_LGE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 (1.94%)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 (1.99%)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14 (1.61%)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9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Septal_Midwall_LGE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 (1.86%)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103 (1.98%)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10 (1.15%)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6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CMR_LGE_midwall_anterior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 (2.30%)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132 (2.53%)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8 (0.92%)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0.005  </w:t>
            </w:r>
          </w:p>
        </w:tc>
      </w:tr>
      <w:tr>
        <w:trPr>
          <w:trHeight w:val="619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CMR_LGE_midwall_septal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 (1.86%)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103 (1.98%)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10 (1.15%)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0.127  </w:t>
            </w:r>
          </w:p>
        </w:tc>
      </w:tr>
      <w:tr>
        <w:trPr>
          <w:trHeight w:val="616" w:hRule="auto"/>
        </w:trPr>
        body71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CMR_LGE_midwall_inferior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 (3.49%)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191 (3.66%)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21 (2.42%)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0.080  </w:t>
            </w:r>
          </w:p>
        </w:tc>
      </w:tr>
      <w:tr>
        <w:trPr>
          <w:trHeight w:val="616" w:hRule="auto"/>
        </w:trPr>
        body72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CMR_LGE_midwall_lateral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 (2.04%)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 (2.11%)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14 (1.61%)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0.407  </w:t>
            </w:r>
          </w:p>
        </w:tc>
      </w:tr>
      <w:tr>
        <w:trPr>
          <w:trHeight w:val="619" w:hRule="auto"/>
        </w:trPr>
        body73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CMR_LGE_midwall_apical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(2.40%) 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 (2.44%) 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19 (2.19%) 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0.749  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2024-06-21T14:55:27Z</dcterms:created>
  <dcterms:modified xsi:type="dcterms:W3CDTF">2024-06-21T14:55:27Z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