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100"/>
        <w:gridCol w:w="3140"/>
      </w:tblGrid>
      <w:tr>
        <w:tc>
          <w:tcPr>
            <w:tcW w:type="dxa" w:w="7100"/>
            <w:tcBorders>
              <w:top w:val="none" w:color="FFFFFF" w:sz="0"/>
              <w:left w:val="none" w:color="FFFFFF" w:sz="0"/>
              <w:bottom w:val="none" w:color="FFFFFF" w:sz="0"/>
              <w:right w:val="none" w:color="FFFFFF" w:sz="0"/>
            </w:tcBorders>
            <w:shd w:fill="1B3A5C" w:val="clear"/>
            <w:tcMar>
              <w:top w:type="dxa" w:w="160"/>
              <w:left w:type="dxa" w:w="240"/>
              <w:bottom w:type="dxa" w:w="160"/>
              <w:right w:type="dxa" w:w="160"/>
            </w:tcMar>
            <w:vAlign w:val="center"/>
          </w:tcPr>
          <w:p>
            <w:pPr>
              <w:spacing w:after="30" w:before="80"/>
              <w:jc w:val="left"/>
            </w:pPr>
            <w:r>
              <w:rPr>
                <w:rFonts w:ascii="Calibri" w:cs="Calibri" w:eastAsia="Calibri" w:hAnsi="Calibri"/>
                <w:b/>
                <w:bCs/>
                <w:color w:val="FFFFFF"/>
                <w:sz w:val="28"/>
                <w:szCs w:val="28"/>
              </w:rPr>
              <w:t xml:space="preserve">MYANMAR THILAWA SEZ HOLDINGS PUBLIC CO., LTD.</w:t>
            </w:r>
          </w:p>
          <w:p>
            <w:pPr>
              <w:spacing w:after="80" w:before="0"/>
              <w:jc w:val="left"/>
            </w:pPr>
            <w:r>
              <w:rPr>
                <w:rFonts w:ascii="Calibri" w:cs="Calibri" w:eastAsia="Calibri" w:hAnsi="Calibri"/>
                <w:color w:val="D4E0EC"/>
                <w:sz w:val="19"/>
                <w:szCs w:val="19"/>
              </w:rPr>
              <w:t xml:space="preserve">YSX: MTSH  |  Special Economic Zone Developer  |  Yangon, Myanmar</w:t>
            </w:r>
          </w:p>
        </w:tc>
        <w:tc>
          <w:tcPr>
            <w:tcW w:type="dxa" w:w="3140"/>
            <w:tcBorders>
              <w:top w:val="none" w:color="FFFFFF" w:sz="0"/>
              <w:left w:val="none" w:color="FFFFFF" w:sz="0"/>
              <w:bottom w:val="none" w:color="FFFFFF" w:sz="0"/>
              <w:right w:val="none" w:color="FFFFFF" w:sz="0"/>
            </w:tcBorders>
            <w:shd w:fill="0D2137" w:val="clear"/>
            <w:tcMar>
              <w:top w:type="dxa" w:w="100"/>
              <w:left w:type="dxa" w:w="100"/>
              <w:bottom w:type="dxa" w:w="100"/>
              <w:right w:type="dxa" w:w="100"/>
            </w:tcMar>
            <w:vAlign w:val="center"/>
          </w:tcPr>
          <w:p>
            <w:pPr>
              <w:spacing w:after="20" w:before="60"/>
              <w:jc w:val="center"/>
            </w:pPr>
            <w:r>
              <w:rPr>
                <w:rFonts w:ascii="Calibri" w:cs="Calibri" w:eastAsia="Calibri" w:hAnsi="Calibri"/>
                <w:b/>
                <w:bCs/>
                <w:color w:val="D4E0EC"/>
                <w:sz w:val="16"/>
                <w:szCs w:val="16"/>
              </w:rPr>
              <w:t xml:space="preserve">INITIATING COVERAGE</w:t>
            </w:r>
          </w:p>
          <w:p>
            <w:pPr>
              <w:spacing w:after="10" w:before="0"/>
              <w:jc w:val="center"/>
            </w:pPr>
            <w:r>
              <w:rPr>
                <w:rFonts w:ascii="Calibri" w:cs="Calibri" w:eastAsia="Calibri" w:hAnsi="Calibri"/>
                <w:b/>
                <w:bCs/>
                <w:color w:val="FFFFFF"/>
                <w:sz w:val="52"/>
                <w:szCs w:val="52"/>
              </w:rPr>
              <w:t xml:space="preserve">BUY</w:t>
            </w:r>
          </w:p>
          <w:p>
            <w:pPr>
              <w:spacing w:after="10" w:before="0"/>
              <w:jc w:val="center"/>
            </w:pPr>
            <w:r>
              <w:rPr>
                <w:rFonts w:ascii="Calibri" w:cs="Calibri" w:eastAsia="Calibri" w:hAnsi="Calibri"/>
                <w:color w:val="D4E0EC"/>
                <w:sz w:val="15"/>
                <w:szCs w:val="15"/>
              </w:rPr>
              <w:t xml:space="preserve">12-Month Price Target</w:t>
            </w:r>
          </w:p>
          <w:p>
            <w:pPr>
              <w:spacing w:after="60" w:before="0"/>
              <w:jc w:val="center"/>
            </w:pPr>
            <w:r>
              <w:rPr>
                <w:rFonts w:ascii="Calibri" w:cs="Calibri" w:eastAsia="Calibri" w:hAnsi="Calibri"/>
                <w:b/>
                <w:bCs/>
                <w:color w:val="B8972A"/>
                <w:sz w:val="22"/>
                <w:szCs w:val="22"/>
              </w:rPr>
              <w:t xml:space="preserve">MMK 3,800 / share</w:t>
            </w:r>
          </w:p>
        </w:tc>
      </w:tr>
    </w:tbl>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60"/>
        <w:gridCol w:w="2560"/>
        <w:gridCol w:w="2560"/>
        <w:gridCol w:w="2560"/>
      </w:tblGrid>
      <w:tr>
        <w:tc>
          <w:tcPr>
            <w:tcW w:type="dxa" w:w="2560"/>
            <w:tcBorders>
              <w:top w:val="none" w:color="FFFFFF" w:sz="0"/>
              <w:left w:val="none" w:color="FFFFFF" w:sz="0"/>
              <w:bottom w:val="none" w:color="FFFFFF" w:sz="0"/>
              <w:right w:val="none" w:color="FFFFFF" w:sz="0"/>
            </w:tcBorders>
            <w:shd w:fill="F2F4F7" w:val="clear"/>
            <w:tcMar>
              <w:top w:type="dxa" w:w="70"/>
              <w:left w:type="dxa" w:w="120"/>
              <w:bottom w:type="dxa" w:w="70"/>
              <w:right w:type="dxa" w:w="120"/>
            </w:tcMar>
            <w:vAlign w:val="center"/>
          </w:tcPr>
          <w:p>
            <w:pPr>
              <w:spacing w:after="0" w:before="0"/>
              <w:jc w:val="center"/>
            </w:pPr>
            <w:r>
              <w:rPr>
                <w:rFonts w:ascii="Calibri" w:cs="Calibri" w:eastAsia="Calibri" w:hAnsi="Calibri"/>
                <w:color w:val="666666"/>
                <w:sz w:val="16"/>
                <w:szCs w:val="16"/>
              </w:rPr>
              <w:t xml:space="preserve">Report Date</w:t>
            </w:r>
          </w:p>
        </w:tc>
        <w:tc>
          <w:tcPr>
            <w:tcW w:type="dxa" w:w="2560"/>
            <w:tcBorders>
              <w:top w:val="none" w:color="FFFFFF" w:sz="0"/>
              <w:left w:val="none" w:color="FFFFFF" w:sz="0"/>
              <w:bottom w:val="none" w:color="FFFFFF" w:sz="0"/>
              <w:right w:val="none" w:color="FFFFFF" w:sz="0"/>
            </w:tcBorders>
            <w:shd w:fill="F2F4F7" w:val="clear"/>
            <w:tcMar>
              <w:top w:type="dxa" w:w="70"/>
              <w:left w:type="dxa" w:w="120"/>
              <w:bottom w:type="dxa" w:w="70"/>
              <w:right w:type="dxa" w:w="120"/>
            </w:tcMar>
            <w:vAlign w:val="center"/>
          </w:tcPr>
          <w:p>
            <w:pPr>
              <w:spacing w:after="0" w:before="0"/>
              <w:jc w:val="center"/>
            </w:pPr>
            <w:r>
              <w:rPr>
                <w:rFonts w:ascii="Calibri" w:cs="Calibri" w:eastAsia="Calibri" w:hAnsi="Calibri"/>
                <w:b/>
                <w:bCs/>
                <w:color w:val="1B3A5C"/>
                <w:sz w:val="17"/>
                <w:szCs w:val="17"/>
              </w:rPr>
              <w:t xml:space="preserve">April 2026</w:t>
            </w:r>
          </w:p>
        </w:tc>
        <w:tc>
          <w:tcPr>
            <w:tcW w:type="dxa" w:w="2560"/>
            <w:tcBorders>
              <w:top w:val="none" w:color="FFFFFF" w:sz="0"/>
              <w:left w:val="none" w:color="FFFFFF" w:sz="0"/>
              <w:bottom w:val="none" w:color="FFFFFF" w:sz="0"/>
              <w:right w:val="none" w:color="FFFFFF" w:sz="0"/>
            </w:tcBorders>
            <w:shd w:fill="F2F4F7" w:val="clear"/>
            <w:tcMar>
              <w:top w:type="dxa" w:w="70"/>
              <w:left w:type="dxa" w:w="120"/>
              <w:bottom w:type="dxa" w:w="70"/>
              <w:right w:type="dxa" w:w="120"/>
            </w:tcMar>
            <w:vAlign w:val="center"/>
          </w:tcPr>
          <w:p>
            <w:pPr>
              <w:spacing w:after="0" w:before="0"/>
              <w:jc w:val="center"/>
            </w:pPr>
            <w:r>
              <w:rPr>
                <w:rFonts w:ascii="Calibri" w:cs="Calibri" w:eastAsia="Calibri" w:hAnsi="Calibri"/>
                <w:color w:val="666666"/>
                <w:sz w:val="16"/>
                <w:szCs w:val="16"/>
              </w:rPr>
              <w:t xml:space="preserve">Analyst</w:t>
            </w:r>
          </w:p>
        </w:tc>
        <w:tc>
          <w:tcPr>
            <w:tcW w:type="dxa" w:w="2560"/>
            <w:tcBorders>
              <w:top w:val="none" w:color="FFFFFF" w:sz="0"/>
              <w:left w:val="none" w:color="FFFFFF" w:sz="0"/>
              <w:bottom w:val="none" w:color="FFFFFF" w:sz="0"/>
              <w:right w:val="none" w:color="FFFFFF" w:sz="0"/>
            </w:tcBorders>
            <w:shd w:fill="F2F4F7" w:val="clear"/>
            <w:tcMar>
              <w:top w:type="dxa" w:w="70"/>
              <w:left w:type="dxa" w:w="120"/>
              <w:bottom w:type="dxa" w:w="70"/>
              <w:right w:type="dxa" w:w="120"/>
            </w:tcMar>
            <w:vAlign w:val="center"/>
          </w:tcPr>
          <w:p>
            <w:pPr>
              <w:spacing w:after="0" w:before="0"/>
              <w:jc w:val="center"/>
            </w:pPr>
            <w:r>
              <w:rPr>
                <w:rFonts w:ascii="Calibri" w:cs="Calibri" w:eastAsia="Calibri" w:hAnsi="Calibri"/>
                <w:b/>
                <w:bCs/>
                <w:color w:val="1B3A5C"/>
                <w:sz w:val="17"/>
                <w:szCs w:val="17"/>
              </w:rPr>
              <w:t xml:space="preserve">Aung Khant Zaw</w:t>
            </w:r>
          </w:p>
        </w:tc>
      </w:tr>
    </w:tbl>
    <w:p>
      <w:pPr>
        <w:spacing w:after="100" w:before="0"/>
        <w:jc w:val="left"/>
      </w:pPr>
      <w:r>
        <w:rPr>
          <w:rFonts w:ascii="Calibri" w:cs="Calibri" w:eastAsia="Calibri" w:hAnsi="Calibri"/>
          <w:color w:val="000000"/>
          <w:sz w:val="20"/>
          <w:szCs w:val="20"/>
        </w:rPr>
        <w:t xml:space="preserve"/>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00"/>
        <w:gridCol w:w="3120"/>
        <w:gridCol w:w="2000"/>
        <w:gridCol w:w="312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left"/>
            </w:pPr>
            <w:r>
              <w:rPr>
                <w:rFonts w:ascii="Calibri" w:cs="Calibri" w:eastAsia="Calibri" w:hAnsi="Calibri"/>
                <w:b/>
                <w:bCs/>
                <w:color w:val="FFFFFF"/>
                <w:sz w:val="17"/>
                <w:szCs w:val="17"/>
              </w:rPr>
              <w:t xml:space="preserve">MARKET DATA</w:t>
            </w:r>
          </w:p>
        </w:tc>
        <w:tc>
          <w:tcPr>
            <w:tcW w:type="dxa" w:w="312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left"/>
            </w:pPr>
            <w:r>
              <w:rPr>
                <w:rFonts w:ascii="Calibri" w:cs="Calibri" w:eastAsia="Calibri" w:hAnsi="Calibri"/>
                <w:i/>
                <w:iCs/>
                <w:color w:val="666666"/>
                <w:sz w:val="16"/>
                <w:szCs w:val="16"/>
              </w:rPr>
              <w:t xml:space="preserve">(Approximate – verify from YSX)</w:t>
            </w:r>
          </w:p>
        </w:tc>
        <w:tc>
          <w:tcPr>
            <w:tcW w:type="dxa" w:w="20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left"/>
            </w:pPr>
            <w:r>
              <w:rPr>
                <w:rFonts w:ascii="Calibri" w:cs="Calibri" w:eastAsia="Calibri" w:hAnsi="Calibri"/>
                <w:b/>
                <w:bCs/>
                <w:color w:val="FFFFFF"/>
                <w:sz w:val="17"/>
                <w:szCs w:val="17"/>
              </w:rPr>
              <w:t xml:space="preserve">VALUATION MULTIPLES</w:t>
            </w:r>
          </w:p>
        </w:tc>
        <w:tc>
          <w:tcPr>
            <w:tcW w:type="dxa" w:w="312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left"/>
            </w:pPr>
            <w:r>
              <w:rPr>
                <w:rFonts w:ascii="Calibri" w:cs="Calibri" w:eastAsia="Calibri" w:hAnsi="Calibri"/>
                <w:i/>
                <w:iCs/>
                <w:color w:val="666666"/>
                <w:sz w:val="16"/>
                <w:szCs w:val="16"/>
              </w:rPr>
              <w:t xml:space="preserve">(Estimated — Illustrative)</w:t>
            </w:r>
          </w:p>
        </w:tc>
      </w:tr>
      <w:tr>
        <w:tc>
          <w:tcPr>
            <w:tcW w:type="dxa" w:w="20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Current Price</w:t>
            </w:r>
          </w:p>
        </w:tc>
        <w:tc>
          <w:tcPr>
            <w:tcW w:type="dxa" w:w="312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color w:val="000000"/>
                <w:sz w:val="18"/>
                <w:szCs w:val="18"/>
              </w:rPr>
              <w:t xml:space="preserve">MMK ~3,200 / share</w:t>
            </w:r>
          </w:p>
        </w:tc>
        <w:tc>
          <w:tcPr>
            <w:tcW w:type="dxa" w:w="20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P/E (FY2024E)</w:t>
            </w:r>
          </w:p>
        </w:tc>
        <w:tc>
          <w:tcPr>
            <w:tcW w:type="dxa" w:w="312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color w:val="000000"/>
                <w:sz w:val="18"/>
                <w:szCs w:val="18"/>
              </w:rPr>
              <w:t xml:space="preserve">~11.0x</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52-Week Range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color w:val="000000"/>
                <w:sz w:val="18"/>
                <w:szCs w:val="18"/>
              </w:rPr>
              <w:t xml:space="preserve">MMK ~2,800 – ~4,000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P/B (FY2024E)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color w:val="000000"/>
                <w:sz w:val="18"/>
                <w:szCs w:val="18"/>
              </w:rPr>
              <w:t xml:space="preserve">~1.0x</w:t>
            </w:r>
          </w:p>
        </w:tc>
      </w:tr>
      <w:tr>
        <w:tc>
          <w:tcPr>
            <w:tcW w:type="dxa" w:w="20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Market Cap (est.)</w:t>
            </w:r>
          </w:p>
        </w:tc>
        <w:tc>
          <w:tcPr>
            <w:tcW w:type="dxa" w:w="312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color w:val="000000"/>
                <w:sz w:val="18"/>
                <w:szCs w:val="18"/>
              </w:rPr>
              <w:t xml:space="preserve">~MMK 125 billion</w:t>
            </w:r>
          </w:p>
        </w:tc>
        <w:tc>
          <w:tcPr>
            <w:tcW w:type="dxa" w:w="20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EV/EBITDA (FY2024E)</w:t>
            </w:r>
          </w:p>
        </w:tc>
        <w:tc>
          <w:tcPr>
            <w:tcW w:type="dxa" w:w="312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color w:val="000000"/>
                <w:sz w:val="18"/>
                <w:szCs w:val="18"/>
              </w:rPr>
              <w:t xml:space="preserve">~8.5x</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Shares Outstanding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color w:val="000000"/>
                <w:sz w:val="18"/>
                <w:szCs w:val="18"/>
              </w:rPr>
              <w:t xml:space="preserve">~38.9 million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Dividend Yield (FY2024)</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color w:val="000000"/>
                <w:sz w:val="18"/>
                <w:szCs w:val="18"/>
              </w:rPr>
              <w:t xml:space="preserve">~1.6%</w:t>
            </w:r>
          </w:p>
        </w:tc>
      </w:tr>
      <w:tr>
        <w:tc>
          <w:tcPr>
            <w:tcW w:type="dxa" w:w="20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Fiscal Year End</w:t>
            </w:r>
          </w:p>
        </w:tc>
        <w:tc>
          <w:tcPr>
            <w:tcW w:type="dxa" w:w="312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color w:val="000000"/>
                <w:sz w:val="18"/>
                <w:szCs w:val="18"/>
              </w:rPr>
              <w:t xml:space="preserve">March 31</w:t>
            </w:r>
          </w:p>
        </w:tc>
        <w:tc>
          <w:tcPr>
            <w:tcW w:type="dxa" w:w="20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Dividend per Share (FY2024)</w:t>
            </w:r>
          </w:p>
        </w:tc>
        <w:tc>
          <w:tcPr>
            <w:tcW w:type="dxa" w:w="312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color w:val="000000"/>
                <w:sz w:val="18"/>
                <w:szCs w:val="18"/>
              </w:rPr>
              <w:t xml:space="preserve">MMK 50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Exchange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color w:val="000000"/>
                <w:sz w:val="18"/>
                <w:szCs w:val="18"/>
              </w:rPr>
              <w:t xml:space="preserve">Yangon Stock Exchange (YSX)</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Price / Target Upside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color w:val="000000"/>
                <w:sz w:val="18"/>
                <w:szCs w:val="18"/>
              </w:rPr>
              <w:t xml:space="preserve">+18.8%</w:t>
            </w:r>
          </w:p>
        </w:tc>
      </w:tr>
    </w:tbl>
    <w:p>
      <w:pPr>
        <w:spacing w:after="80" w:before="0"/>
        <w:jc w:val="left"/>
      </w:pPr>
      <w:r>
        <w:rPr>
          <w:rFonts w:ascii="Calibri" w:cs="Calibri" w:eastAsia="Calibri" w:hAnsi="Calibri"/>
          <w:color w:val="000000"/>
          <w:sz w:val="20"/>
          <w:szCs w:val="20"/>
        </w:rPr>
        <w:t xml:space="preserve"/>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1B3A5C" w:sz="4"/>
              <w:left w:val="single" w:color="1B3A5C" w:sz="4"/>
              <w:bottom w:val="single" w:color="1B3A5C" w:sz="4"/>
              <w:right w:val="single" w:color="1B3A5C" w:sz="4"/>
            </w:tcBorders>
            <w:shd w:fill="F0F6FF" w:val="clear"/>
            <w:tcMar>
              <w:top w:type="dxa" w:w="120"/>
              <w:left w:type="dxa" w:w="180"/>
              <w:bottom w:type="dxa" w:w="120"/>
              <w:right w:type="dxa" w:w="180"/>
            </w:tcMar>
            <w:vAlign w:val="center"/>
          </w:tcPr>
          <w:p>
            <w:pPr>
              <w:spacing w:after="40" w:before="60"/>
              <w:jc w:val="left"/>
            </w:pPr>
            <w:r>
              <w:rPr>
                <w:rFonts w:ascii="Calibri" w:cs="Calibri" w:eastAsia="Calibri" w:hAnsi="Calibri"/>
                <w:b/>
                <w:bCs/>
                <w:color w:val="B8972A"/>
                <w:sz w:val="18"/>
                <w:szCs w:val="18"/>
              </w:rPr>
              <w:t xml:space="preserve">INVESTMENT THESIS SUMMARY</w:t>
            </w:r>
          </w:p>
          <w:p>
            <w:pPr>
              <w:spacing w:after="60" w:before="0"/>
              <w:jc w:val="both"/>
            </w:pPr>
            <w:r>
              <w:rPr>
                <w:rFonts w:ascii="Calibri" w:cs="Calibri" w:eastAsia="Calibri" w:hAnsi="Calibri"/>
                <w:color w:val="000000"/>
                <w:sz w:val="19"/>
                <w:szCs w:val="19"/>
              </w:rPr>
              <w:t xml:space="preserve">We initiate coverage of MTSH with a BUY rating and a 12-month price target of MMK 3,800/share, implying approximately 18.8% upside from current levels. MTSH is the sole Myanmar-listed vehicle providing direct exposure to the Thilawa SEZ — Myanmar's premier Japanese-backed industrial park and the country's flagship FDI gateway. With over US$2 billion in cumulative FDI attracted, 100+ tenant companies from 27 nations, Zone B expansion underway, and a consistent dividend track record, MTSH offers a compelling combination of FDI-linked recurring income, a strategic location asset, and long-term Zone B development optionality at a reasonable valuation.</w:t>
            </w:r>
          </w:p>
        </w:tc>
      </w:tr>
    </w:tbl>
    <w:p>
      <w:pPr>
        <w:spacing w:after="80" w:before="0"/>
        <w:jc w:val="left"/>
      </w:pPr>
      <w:r>
        <w:rPr>
          <w:rFonts w:ascii="Calibri" w:cs="Calibri" w:eastAsia="Calibri" w:hAnsi="Calibri"/>
          <w:color w:val="000000"/>
          <w:sz w:val="20"/>
          <w:szCs w:val="20"/>
        </w:rPr>
        <w:t xml:space="preserve"/>
      </w:r>
    </w:p>
    <w:p>
      <w:pPr>
        <w:spacing w:after="40" w:before="220"/>
        <w:jc w:val="left"/>
      </w:pPr>
      <w:r>
        <w:rPr>
          <w:rFonts w:ascii="Calibri" w:cs="Calibri" w:eastAsia="Calibri" w:hAnsi="Calibri"/>
          <w:b/>
          <w:bCs/>
          <w:color w:val="1B3A5C"/>
          <w:sz w:val="22"/>
          <w:szCs w:val="22"/>
        </w:rPr>
        <w:t xml:space="preserve">1.  COMPANY OVERVIEW</w:t>
      </w:r>
    </w:p>
    <w:p>
      <w:pPr>
        <w:pBdr>
          <w:bottom w:val="single" w:color="B8972A" w:sz="8" w:space="1"/>
        </w:pBdr>
        <w:spacing w:after="80" w:before="0"/>
        <w:jc w:val="left"/>
      </w:pPr>
      <w:r>
        <w:rPr>
          <w:rFonts w:ascii="Calibri" w:cs="Calibri" w:eastAsia="Calibri" w:hAnsi="Calibri"/>
          <w:color w:val="000000"/>
          <w:sz w:val="20"/>
          <w:szCs w:val="20"/>
        </w:rPr>
        <w:t xml:space="preserve"/>
      </w:r>
    </w:p>
    <w:p>
      <w:pPr>
        <w:spacing w:after="60" w:before="80"/>
        <w:jc w:val="both"/>
      </w:pPr>
      <w:r>
        <w:rPr>
          <w:rFonts w:ascii="Calibri" w:cs="Calibri" w:eastAsia="Calibri" w:hAnsi="Calibri"/>
          <w:color w:val="000000"/>
          <w:sz w:val="19"/>
          <w:szCs w:val="19"/>
        </w:rPr>
        <w:t xml:space="preserve">Myanmar Thilawa SEZ Holdings Public Co., Ltd. (MTSH) is a Myanmar-listed holding company established in 2013 by a consortium of nine prominent Myanmar private sector shareholders. It serves as the Myanmar private sector's vehicle for participating in the Thilawa Special Economic Zone (SEZ) — Myanmar's first and only international-standard SEZ, developed through a landmark public-private partnership between the Myanmar and Japanese governments.</w:t>
      </w:r>
    </w:p>
    <w:p>
      <w:pPr>
        <w:spacing w:after="40" w:before="220"/>
        <w:jc w:val="left"/>
      </w:pPr>
      <w:r>
        <w:rPr>
          <w:rFonts w:ascii="Calibri" w:cs="Calibri" w:eastAsia="Calibri" w:hAnsi="Calibri"/>
          <w:b/>
          <w:bCs/>
          <w:color w:val="1B3A5C"/>
          <w:sz w:val="22"/>
          <w:szCs w:val="22"/>
        </w:rPr>
        <w:t xml:space="preserve">OWNERSHIP STRUCTURE OF MYANMAR JAPAN THILAWA DEVELOPMENT LTD. (MJTD)</w:t>
      </w:r>
    </w:p>
    <w:p>
      <w:pPr>
        <w:pBdr>
          <w:bottom w:val="single" w:color="B8972A" w:sz="8" w:space="1"/>
        </w:pBdr>
        <w:spacing w:after="80" w:before="0"/>
        <w:jc w:val="left"/>
      </w:pPr>
      <w:r>
        <w:rPr>
          <w:rFonts w:ascii="Calibri" w:cs="Calibri" w:eastAsia="Calibri" w:hAnsi="Calibri"/>
          <w:color w:val="000000"/>
          <w:sz w:val="20"/>
          <w:szCs w:val="20"/>
        </w:rPr>
        <w:t xml:space="preserve"/>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gridCol w:w="2740"/>
      </w:tblGrid>
      <w:tr>
        <w:trPr>
          <w:tblHeader/>
        </w:trPr>
        <w:tc>
          <w:tcPr>
            <w:tcW w:type="dxa" w:w="45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left"/>
            </w:pPr>
            <w:r>
              <w:rPr>
                <w:rFonts w:ascii="Calibri" w:cs="Calibri" w:eastAsia="Calibri" w:hAnsi="Calibri"/>
                <w:b/>
                <w:bCs/>
                <w:color w:val="FFFFFF"/>
                <w:sz w:val="18"/>
                <w:szCs w:val="18"/>
              </w:rPr>
              <w:t xml:space="preserve">Shareholder</w:t>
            </w:r>
          </w:p>
        </w:tc>
        <w:tc>
          <w:tcPr>
            <w:tcW w:type="dxa" w:w="30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center"/>
            </w:pPr>
            <w:r>
              <w:rPr>
                <w:rFonts w:ascii="Calibri" w:cs="Calibri" w:eastAsia="Calibri" w:hAnsi="Calibri"/>
                <w:b/>
                <w:bCs/>
                <w:color w:val="FFFFFF"/>
                <w:sz w:val="18"/>
                <w:szCs w:val="18"/>
              </w:rPr>
              <w:t xml:space="preserve">Stake</w:t>
            </w:r>
          </w:p>
        </w:tc>
        <w:tc>
          <w:tcPr>
            <w:tcW w:type="dxa" w:w="274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left"/>
            </w:pPr>
            <w:r>
              <w:rPr>
                <w:rFonts w:ascii="Calibri" w:cs="Calibri" w:eastAsia="Calibri" w:hAnsi="Calibri"/>
                <w:b/>
                <w:bCs/>
                <w:color w:val="FFFFFF"/>
                <w:sz w:val="18"/>
                <w:szCs w:val="18"/>
              </w:rPr>
              <w:t xml:space="preserve">Nature</w:t>
            </w:r>
          </w:p>
        </w:tc>
      </w:tr>
      <w:tr>
        <w:tc>
          <w:tcPr>
            <w:tcW w:type="dxa" w:w="45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Myanmar Thilawa SEZ Holdings (MTSH)</w:t>
            </w:r>
          </w:p>
        </w:tc>
        <w:tc>
          <w:tcPr>
            <w:tcW w:type="dxa" w:w="30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bCs/>
                <w:color w:val="1B3A5C"/>
                <w:sz w:val="18"/>
                <w:szCs w:val="18"/>
              </w:rPr>
              <w:t xml:space="preserve">41%</w:t>
            </w:r>
          </w:p>
        </w:tc>
        <w:tc>
          <w:tcPr>
            <w:tcW w:type="dxa" w:w="274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color w:val="000000"/>
                <w:sz w:val="18"/>
                <w:szCs w:val="18"/>
              </w:rPr>
              <w:t xml:space="preserve">Myanmar Private Sector</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b w:val="false"/>
                <w:bCs w:val="false"/>
                <w:color w:val="000000"/>
                <w:sz w:val="18"/>
                <w:szCs w:val="18"/>
              </w:rPr>
              <w:t xml:space="preserve">MMS Thilawa Development Co., Ltd.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b/>
                <w:bCs/>
                <w:color w:val="1B3A5C"/>
                <w:sz w:val="18"/>
                <w:szCs w:val="18"/>
              </w:rPr>
              <w:t xml:space="preserve">39%</w:t>
            </w:r>
          </w:p>
        </w:tc>
        <w:tc>
          <w:tcPr>
            <w:tcW w:type="dxa" w:w="27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color w:val="000000"/>
                <w:sz w:val="18"/>
                <w:szCs w:val="18"/>
              </w:rPr>
              <w:t xml:space="preserve">Japanese Private Consortium (Mitsubishi, Marubeni, Sumitomo)</w:t>
            </w:r>
          </w:p>
        </w:tc>
      </w:tr>
      <w:tr>
        <w:tc>
          <w:tcPr>
            <w:tcW w:type="dxa" w:w="45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val="false"/>
                <w:bCs w:val="false"/>
                <w:color w:val="000000"/>
                <w:sz w:val="18"/>
                <w:szCs w:val="18"/>
              </w:rPr>
              <w:t xml:space="preserve">Thilawa SEZ Management Committee (TSMC)</w:t>
            </w:r>
          </w:p>
        </w:tc>
        <w:tc>
          <w:tcPr>
            <w:tcW w:type="dxa" w:w="30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bCs/>
                <w:color w:val="1B3A5C"/>
                <w:sz w:val="18"/>
                <w:szCs w:val="18"/>
              </w:rPr>
              <w:t xml:space="preserve">10%</w:t>
            </w:r>
          </w:p>
        </w:tc>
        <w:tc>
          <w:tcPr>
            <w:tcW w:type="dxa" w:w="274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color w:val="000000"/>
                <w:sz w:val="18"/>
                <w:szCs w:val="18"/>
              </w:rPr>
              <w:t xml:space="preserve">Myanmar Government</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b w:val="false"/>
                <w:bCs w:val="false"/>
                <w:color w:val="000000"/>
                <w:sz w:val="18"/>
                <w:szCs w:val="18"/>
              </w:rPr>
              <w:t xml:space="preserve">Japan International Cooperation Agency (JICA)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b/>
                <w:bCs/>
                <w:color w:val="1B3A5C"/>
                <w:sz w:val="18"/>
                <w:szCs w:val="18"/>
              </w:rPr>
              <w:t xml:space="preserve">10%</w:t>
            </w:r>
          </w:p>
        </w:tc>
        <w:tc>
          <w:tcPr>
            <w:tcW w:type="dxa" w:w="27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color w:val="000000"/>
                <w:sz w:val="18"/>
                <w:szCs w:val="18"/>
              </w:rPr>
              <w:t xml:space="preserve">Japanese Government</w:t>
            </w:r>
          </w:p>
        </w:tc>
      </w:tr>
    </w:tbl>
    <w:p>
      <w:pPr>
        <w:spacing w:after="40" w:before="60"/>
        <w:jc w:val="left"/>
      </w:pPr>
      <w:r>
        <w:rPr>
          <w:rFonts w:ascii="Calibri" w:cs="Calibri" w:eastAsia="Calibri" w:hAnsi="Calibri"/>
          <w:color w:val="000000"/>
          <w:sz w:val="20"/>
          <w:szCs w:val="20"/>
        </w:rPr>
        <w:t xml:space="preserve"/>
      </w:r>
    </w:p>
    <w:p>
      <w:pPr>
        <w:spacing w:after="40" w:before="60"/>
        <w:jc w:val="left"/>
      </w:pPr>
      <w:r>
        <w:rPr>
          <w:rFonts w:ascii="Calibri" w:cs="Calibri" w:eastAsia="Calibri" w:hAnsi="Calibri"/>
          <w:b/>
          <w:bCs/>
          <w:color w:val="000000"/>
          <w:sz w:val="19"/>
          <w:szCs w:val="19"/>
        </w:rPr>
        <w:t xml:space="preserve">MTSH's two key operating subsidiaries are:</w:t>
      </w:r>
    </w:p>
    <w:p>
      <w:pPr>
        <w:pStyle w:val="ListParagraph"/>
        <w:numPr>
          <w:ilvl w:val="0"/>
          <w:numId w:val="2"/>
        </w:numPr>
        <w:spacing w:after="30" w:before="30"/>
        <w:jc w:val="left"/>
      </w:pPr>
      <w:r>
        <w:rPr>
          <w:rFonts w:ascii="Calibri" w:cs="Calibri" w:eastAsia="Calibri" w:hAnsi="Calibri"/>
          <w:b/>
          <w:bCs/>
          <w:color w:val="000000"/>
          <w:sz w:val="19"/>
          <w:szCs w:val="19"/>
        </w:rPr>
        <w:t xml:space="preserve">MJTD:</w:t>
      </w:r>
      <w:r>
        <w:rPr>
          <w:rFonts w:ascii="Calibri" w:cs="Calibri" w:eastAsia="Calibri" w:hAnsi="Calibri"/>
          <w:color w:val="000000"/>
          <w:sz w:val="19"/>
          <w:szCs w:val="19"/>
        </w:rPr>
        <w:t xml:space="preserve"> Myanmar Japan Thilawa Development Ltd. (MJTD) — responsible for the development, construction, marketing, lease, sale, and operation of Zone A and Zone B industrial park projects within the Thilawa SEZ.</w:t>
      </w:r>
    </w:p>
    <w:p>
      <w:pPr>
        <w:pStyle w:val="ListParagraph"/>
        <w:numPr>
          <w:ilvl w:val="0"/>
          <w:numId w:val="2"/>
        </w:numPr>
        <w:spacing w:after="30" w:before="30"/>
        <w:jc w:val="left"/>
      </w:pPr>
      <w:r>
        <w:rPr>
          <w:rFonts w:ascii="Calibri" w:cs="Calibri" w:eastAsia="Calibri" w:hAnsi="Calibri"/>
          <w:b/>
          <w:bCs/>
          <w:color w:val="000000"/>
          <w:sz w:val="19"/>
          <w:szCs w:val="19"/>
        </w:rPr>
        <w:t xml:space="preserve">TPD:</w:t>
      </w:r>
      <w:r>
        <w:rPr>
          <w:rFonts w:ascii="Calibri" w:cs="Calibri" w:eastAsia="Calibri" w:hAnsi="Calibri"/>
          <w:color w:val="000000"/>
          <w:sz w:val="19"/>
          <w:szCs w:val="19"/>
        </w:rPr>
        <w:t xml:space="preserve"> Thilawa Property Development Ltd. (TPD) — engaged in development, construction, marketing, sale, and operation of residential and commercial components within the Thilawa SEZ Zone A project.</w:t>
      </w:r>
    </w:p>
    <w:p>
      <w:pPr>
        <w:spacing w:after="60" w:before="40"/>
        <w:jc w:val="left"/>
      </w:pPr>
      <w:r>
        <w:rPr>
          <w:rFonts w:ascii="Calibri" w:cs="Calibri" w:eastAsia="Calibri" w:hAnsi="Calibri"/>
          <w:color w:val="000000"/>
          <w:sz w:val="20"/>
          <w:szCs w:val="20"/>
        </w:rPr>
        <w:t xml:space="preserve"/>
      </w:r>
    </w:p>
    <w:p>
      <w:pPr>
        <w:spacing w:after="40" w:before="220"/>
        <w:jc w:val="left"/>
      </w:pPr>
      <w:r>
        <w:rPr>
          <w:rFonts w:ascii="Calibri" w:cs="Calibri" w:eastAsia="Calibri" w:hAnsi="Calibri"/>
          <w:b/>
          <w:bCs/>
          <w:color w:val="1B3A5C"/>
          <w:sz w:val="22"/>
          <w:szCs w:val="22"/>
        </w:rPr>
        <w:t xml:space="preserve">2.  THE THILAWA SEZ — STRATEGIC ASSET OVERVIEW</w:t>
      </w:r>
    </w:p>
    <w:p>
      <w:pPr>
        <w:pBdr>
          <w:bottom w:val="single" w:color="B8972A" w:sz="8" w:space="1"/>
        </w:pBdr>
        <w:spacing w:after="80" w:before="0"/>
        <w:jc w:val="left"/>
      </w:pPr>
      <w:r>
        <w:rPr>
          <w:rFonts w:ascii="Calibri" w:cs="Calibri" w:eastAsia="Calibri" w:hAnsi="Calibri"/>
          <w:color w:val="000000"/>
          <w:sz w:val="20"/>
          <w:szCs w:val="20"/>
        </w:rPr>
        <w:t xml:space="preserve"/>
      </w:r>
    </w:p>
    <w:p>
      <w:pPr>
        <w:spacing w:after="60" w:before="80"/>
        <w:jc w:val="both"/>
      </w:pPr>
      <w:r>
        <w:rPr>
          <w:rFonts w:ascii="Calibri" w:cs="Calibri" w:eastAsia="Calibri" w:hAnsi="Calibri"/>
          <w:color w:val="000000"/>
          <w:sz w:val="19"/>
          <w:szCs w:val="19"/>
        </w:rPr>
        <w:t xml:space="preserve">The Thilawa SEZ is located approximately 25 km south-east of Yangon — Myanmar's largest commercial city and primary economic hub — adjacent to the Myanmar International Terminals Thilawa (MITT) seaport and approximately 30 km from Yangon International Airport. This strategic location provides industrial tenants with direct access to Myanmar's primary import/export gateway, making Thilawa uniquely competitive for both export-oriented manufacturers and domestic-demand-oriented businesses.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00"/>
        <w:gridCol w:w="3870"/>
        <w:gridCol w:w="387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left"/>
            </w:pPr>
            <w:r>
              <w:rPr>
                <w:rFonts w:ascii="Calibri" w:cs="Calibri" w:eastAsia="Calibri" w:hAnsi="Calibri"/>
                <w:color w:val="000000"/>
                <w:sz w:val="18"/>
                <w:szCs w:val="18"/>
              </w:rPr>
              <w:t xml:space="preserve"/>
            </w:r>
          </w:p>
        </w:tc>
        <w:tc>
          <w:tcPr>
            <w:tcW w:type="dxa" w:w="387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center"/>
            </w:pPr>
            <w:r>
              <w:rPr>
                <w:rFonts w:ascii="Calibri" w:cs="Calibri" w:eastAsia="Calibri" w:hAnsi="Calibri"/>
                <w:b/>
                <w:bCs/>
                <w:color w:val="FFFFFF"/>
                <w:sz w:val="19"/>
                <w:szCs w:val="19"/>
              </w:rPr>
              <w:t xml:space="preserve">Zone A  (Phase 1)</w:t>
            </w:r>
          </w:p>
        </w:tc>
        <w:tc>
          <w:tcPr>
            <w:tcW w:type="dxa" w:w="3870"/>
            <w:tcBorders>
              <w:top w:val="single" w:color="CCCCCC" w:sz="1"/>
              <w:left w:val="single" w:color="CCCCCC" w:sz="1"/>
              <w:bottom w:val="single" w:color="CCCCCC" w:sz="1"/>
              <w:right w:val="single" w:color="CCCCCC" w:sz="1"/>
            </w:tcBorders>
            <w:shd w:fill="0D2137" w:val="clear"/>
            <w:tcMar>
              <w:top w:type="dxa" w:w="70"/>
              <w:left w:type="dxa" w:w="120"/>
              <w:bottom w:type="dxa" w:w="70"/>
              <w:right w:type="dxa" w:w="120"/>
            </w:tcMar>
            <w:vAlign w:val="center"/>
          </w:tcPr>
          <w:p>
            <w:pPr>
              <w:spacing w:after="0" w:before="0"/>
              <w:jc w:val="center"/>
            </w:pPr>
            <w:r>
              <w:rPr>
                <w:rFonts w:ascii="Calibri" w:cs="Calibri" w:eastAsia="Calibri" w:hAnsi="Calibri"/>
                <w:b/>
                <w:bCs/>
                <w:color w:val="FFFFFF"/>
                <w:sz w:val="19"/>
                <w:szCs w:val="19"/>
              </w:rPr>
              <w:t xml:space="preserve">Zone B  (Phase 2)</w:t>
            </w:r>
          </w:p>
        </w:tc>
      </w:tr>
      <w:tr>
        <w:tc>
          <w:tcPr>
            <w:tcW w:type="dxa" w:w="25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Area</w:t>
            </w:r>
          </w:p>
        </w:tc>
        <w:tc>
          <w:tcPr>
            <w:tcW w:type="dxa" w:w="387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~396 hectares</w:t>
            </w:r>
          </w:p>
        </w:tc>
        <w:tc>
          <w:tcPr>
            <w:tcW w:type="dxa" w:w="3870"/>
            <w:tcBorders>
              <w:top w:val="single" w:color="CCCCCC" w:sz="1"/>
              <w:left w:val="single" w:color="CCCCCC" w:sz="1"/>
              <w:bottom w:val="single" w:color="CCCCCC" w:sz="1"/>
              <w:right w:val="single" w:color="CCCCCC" w:sz="1"/>
            </w:tcBorders>
            <w:shd w:fill="E8F4ED"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~700 hectares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Operational Since</w:t>
            </w:r>
          </w:p>
        </w:tc>
        <w:tc>
          <w:tcPr>
            <w:tcW w:type="dxa" w:w="38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September 2015</w:t>
            </w:r>
          </w:p>
        </w:tc>
        <w:tc>
          <w:tcPr>
            <w:tcW w:type="dxa" w:w="3870"/>
            <w:tcBorders>
              <w:top w:val="single" w:color="CCCCCC" w:sz="1"/>
              <w:left w:val="single" w:color="CCCCCC" w:sz="1"/>
              <w:bottom w:val="single" w:color="CCCCCC" w:sz="1"/>
              <w:right w:val="single" w:color="CCCCCC" w:sz="1"/>
            </w:tcBorders>
            <w:shd w:fill="F5FBF7"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February 2017 (Phase 1 opened)</w:t>
            </w:r>
          </w:p>
        </w:tc>
      </w:tr>
      <w:tr>
        <w:tc>
          <w:tcPr>
            <w:tcW w:type="dxa" w:w="25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Zone A Sales Status</w:t>
            </w:r>
          </w:p>
        </w:tc>
        <w:tc>
          <w:tcPr>
            <w:tcW w:type="dxa" w:w="387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~94.6% divested by FY2017</w:t>
            </w:r>
          </w:p>
        </w:tc>
        <w:tc>
          <w:tcPr>
            <w:tcW w:type="dxa" w:w="3870"/>
            <w:tcBorders>
              <w:top w:val="single" w:color="CCCCCC" w:sz="1"/>
              <w:left w:val="single" w:color="CCCCCC" w:sz="1"/>
              <w:bottom w:val="single" w:color="CCCCCC" w:sz="1"/>
              <w:right w:val="single" w:color="CCCCCC" w:sz="1"/>
            </w:tcBorders>
            <w:shd w:fill="E8F4ED"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Ongoing development &amp; leasing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Tenants / Countries</w:t>
            </w:r>
          </w:p>
        </w:tc>
        <w:tc>
          <w:tcPr>
            <w:tcW w:type="dxa" w:w="38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100+ companies, 27 countries</w:t>
            </w:r>
          </w:p>
        </w:tc>
        <w:tc>
          <w:tcPr>
            <w:tcW w:type="dxa" w:w="3870"/>
            <w:tcBorders>
              <w:top w:val="single" w:color="CCCCCC" w:sz="1"/>
              <w:left w:val="single" w:color="CCCCCC" w:sz="1"/>
              <w:bottom w:val="single" w:color="CCCCCC" w:sz="1"/>
              <w:right w:val="single" w:color="CCCCCC" w:sz="1"/>
            </w:tcBorders>
            <w:shd w:fill="F5FBF7"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Significant leasing progress</w:t>
            </w:r>
          </w:p>
        </w:tc>
      </w:tr>
      <w:tr>
        <w:tc>
          <w:tcPr>
            <w:tcW w:type="dxa" w:w="25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Anchor Investors</w:t>
            </w:r>
          </w:p>
        </w:tc>
        <w:tc>
          <w:tcPr>
            <w:tcW w:type="dxa" w:w="387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Japan, Singapore, Korea, Taiwan</w:t>
            </w:r>
          </w:p>
        </w:tc>
        <w:tc>
          <w:tcPr>
            <w:tcW w:type="dxa" w:w="3870"/>
            <w:tcBorders>
              <w:top w:val="single" w:color="CCCCCC" w:sz="1"/>
              <w:left w:val="single" w:color="CCCCCC" w:sz="1"/>
              <w:bottom w:val="single" w:color="CCCCCC" w:sz="1"/>
              <w:right w:val="single" w:color="CCCCCC" w:sz="1"/>
            </w:tcBorders>
            <w:shd w:fill="E8F4ED"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Japan-led consortium</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Status</w:t>
            </w:r>
          </w:p>
        </w:tc>
        <w:tc>
          <w:tcPr>
            <w:tcW w:type="dxa" w:w="387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Mature — recurring lease income</w:t>
            </w:r>
          </w:p>
        </w:tc>
        <w:tc>
          <w:tcPr>
            <w:tcW w:type="dxa" w:w="3870"/>
            <w:tcBorders>
              <w:top w:val="single" w:color="CCCCCC" w:sz="1"/>
              <w:left w:val="single" w:color="CCCCCC" w:sz="1"/>
              <w:bottom w:val="single" w:color="CCCCCC" w:sz="1"/>
              <w:right w:val="single" w:color="CCCCCC" w:sz="1"/>
            </w:tcBorders>
            <w:shd w:fill="F5FBF7"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Growth catalyst — key upside driver</w:t>
            </w:r>
          </w:p>
        </w:tc>
      </w:tr>
    </w:tbl>
    <w:p>
      <w:pPr>
        <w:spacing w:after="60" w:before="60"/>
        <w:jc w:val="left"/>
      </w:pPr>
      <w:r>
        <w:rPr>
          <w:rFonts w:ascii="Calibri" w:cs="Calibri" w:eastAsia="Calibri" w:hAnsi="Calibri"/>
          <w:color w:val="000000"/>
          <w:sz w:val="20"/>
          <w:szCs w:val="20"/>
        </w:rPr>
        <w:t xml:space="preserve"/>
      </w:r>
    </w:p>
    <w:p>
      <w:pPr>
        <w:spacing w:after="40" w:before="220"/>
        <w:jc w:val="left"/>
      </w:pPr>
      <w:r>
        <w:rPr>
          <w:rFonts w:ascii="Calibri" w:cs="Calibri" w:eastAsia="Calibri" w:hAnsi="Calibri"/>
          <w:b/>
          <w:bCs/>
          <w:color w:val="1B3A5C"/>
          <w:sz w:val="22"/>
          <w:szCs w:val="22"/>
        </w:rPr>
        <w:t xml:space="preserve">3.  PORTER'S FIVE FORCES ANALYSIS</w:t>
      </w:r>
    </w:p>
    <w:p>
      <w:pPr>
        <w:pBdr>
          <w:bottom w:val="single" w:color="B8972A" w:sz="8" w:space="1"/>
        </w:pBdr>
        <w:spacing w:after="80" w:before="0"/>
        <w:jc w:val="left"/>
      </w:pPr>
      <w:r>
        <w:rPr>
          <w:rFonts w:ascii="Calibri" w:cs="Calibri" w:eastAsia="Calibri" w:hAnsi="Calibri"/>
          <w:color w:val="000000"/>
          <w:sz w:val="20"/>
          <w:szCs w:val="20"/>
        </w:rPr>
        <w:t xml:space="preserve"/>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44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left"/>
            </w:pPr>
            <w:r>
              <w:rPr>
                <w:rFonts w:ascii="Calibri" w:cs="Calibri" w:eastAsia="Calibri" w:hAnsi="Calibri"/>
                <w:b/>
                <w:bCs/>
                <w:color w:val="FFFFFF"/>
                <w:sz w:val="18"/>
                <w:szCs w:val="18"/>
              </w:rPr>
              <w:t xml:space="preserve">Force</w:t>
            </w:r>
          </w:p>
        </w:tc>
        <w:tc>
          <w:tcPr>
            <w:tcW w:type="dxa" w:w="12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center"/>
            </w:pPr>
            <w:r>
              <w:rPr>
                <w:rFonts w:ascii="Calibri" w:cs="Calibri" w:eastAsia="Calibri" w:hAnsi="Calibri"/>
                <w:b/>
                <w:bCs/>
                <w:color w:val="FFFFFF"/>
                <w:sz w:val="18"/>
                <w:szCs w:val="18"/>
              </w:rPr>
              <w:t xml:space="preserve">Intensity</w:t>
            </w:r>
          </w:p>
        </w:tc>
        <w:tc>
          <w:tcPr>
            <w:tcW w:type="dxa" w:w="644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left"/>
            </w:pPr>
            <w:r>
              <w:rPr>
                <w:rFonts w:ascii="Calibri" w:cs="Calibri" w:eastAsia="Calibri" w:hAnsi="Calibri"/>
                <w:b/>
                <w:bCs/>
                <w:color w:val="FFFFFF"/>
                <w:sz w:val="18"/>
                <w:szCs w:val="18"/>
              </w:rPr>
              <w:t xml:space="preserve">Analysis</w:t>
            </w:r>
          </w:p>
        </w:tc>
      </w:tr>
      <w:tr>
        <w:tc>
          <w:tcPr>
            <w:tcW w:type="dxa" w:w="26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Competitive Rivalry</w:t>
            </w:r>
          </w:p>
        </w:tc>
        <w:tc>
          <w:tcPr>
            <w:tcW w:type="dxa" w:w="12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bCs/>
                <w:color w:val="1A6B3C"/>
                <w:sz w:val="17"/>
                <w:szCs w:val="17"/>
              </w:rPr>
              <w:t xml:space="preserve">LOW</w:t>
            </w:r>
          </w:p>
        </w:tc>
        <w:tc>
          <w:tcPr>
            <w:tcW w:type="dxa" w:w="644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both"/>
            </w:pPr>
            <w:r>
              <w:rPr>
                <w:rFonts w:ascii="Calibri" w:cs="Calibri" w:eastAsia="Calibri" w:hAnsi="Calibri"/>
                <w:color w:val="000000"/>
                <w:sz w:val="18"/>
                <w:szCs w:val="18"/>
              </w:rPr>
              <w:t xml:space="preserve">MTSH is Myanmar's only listed SEZ operator. Thilawa SEZ is the sole operational international-standard SEZ in Myanmar, giving it a de facto monopoly on industrial park space meeting global FDI requirements. Other industrial zones exist but lack Japanese government-backed hard infrastructure and international certification.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Threat of New Entrants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b/>
                <w:bCs/>
                <w:color w:val="1A6B3C"/>
                <w:sz w:val="17"/>
                <w:szCs w:val="17"/>
              </w:rPr>
              <w:t xml:space="preserve">LOW</w:t>
            </w:r>
          </w:p>
        </w:tc>
        <w:tc>
          <w:tcPr>
            <w:tcW w:type="dxa" w:w="6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both"/>
            </w:pPr>
            <w:r>
              <w:rPr>
                <w:rFonts w:ascii="Calibri" w:cs="Calibri" w:eastAsia="Calibri" w:hAnsi="Calibri"/>
                <w:color w:val="000000"/>
                <w:sz w:val="18"/>
                <w:szCs w:val="18"/>
              </w:rPr>
              <w:t xml:space="preserve">Extremely high barriers: multi-billion kyat land acquisition, 2,500+ hectare development, Myanmar-Japan bilateral government frameworks, JICA funding, and long regulatory timelines. The Kyaukphyu SEZ (Chinese-backed) is a future competitor but faces significant infrastructure and political delays. No new entrant is near-operational.</w:t>
            </w:r>
          </w:p>
        </w:tc>
      </w:tr>
      <w:tr>
        <w:tc>
          <w:tcPr>
            <w:tcW w:type="dxa" w:w="26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Bargaining Power of Buyers</w:t>
            </w:r>
          </w:p>
        </w:tc>
        <w:tc>
          <w:tcPr>
            <w:tcW w:type="dxa" w:w="12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bCs/>
                <w:color w:val="B06A00"/>
                <w:sz w:val="17"/>
                <w:szCs w:val="17"/>
              </w:rPr>
              <w:t xml:space="preserve">MODERATE</w:t>
            </w:r>
          </w:p>
        </w:tc>
        <w:tc>
          <w:tcPr>
            <w:tcW w:type="dxa" w:w="644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both"/>
            </w:pPr>
            <w:r>
              <w:rPr>
                <w:rFonts w:ascii="Calibri" w:cs="Calibri" w:eastAsia="Calibri" w:hAnsi="Calibri"/>
                <w:color w:val="000000"/>
                <w:sz w:val="18"/>
                <w:szCs w:val="18"/>
              </w:rPr>
              <w:t xml:space="preserve">Multi-national tenant companies (Japanese, Korean, Singaporean manufacturers) have alternatives in Vietnam, Thailand, and Cambodia. However, Myanmar's low labour costs, direct port access, and tax concessions under the SEZ Law provide compelling offsets. Tenant switching costs are high once factory infrastructure is built.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Bargaining Power of Suppliers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b/>
                <w:bCs/>
                <w:color w:val="1A6B3C"/>
                <w:sz w:val="17"/>
                <w:szCs w:val="17"/>
              </w:rPr>
              <w:t xml:space="preserve">LOW</w:t>
            </w:r>
          </w:p>
        </w:tc>
        <w:tc>
          <w:tcPr>
            <w:tcW w:type="dxa" w:w="6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both"/>
            </w:pPr>
            <w:r>
              <w:rPr>
                <w:rFonts w:ascii="Calibri" w:cs="Calibri" w:eastAsia="Calibri" w:hAnsi="Calibri"/>
                <w:color w:val="000000"/>
                <w:sz w:val="18"/>
                <w:szCs w:val="18"/>
              </w:rPr>
              <w:t xml:space="preserve">Construction contractors and utility providers have limited leverage given the scale and government backing of the project. JICA-funded infrastructure reduces dependency on private utility suppliers. Land supply is controlled entirely by MTSH/MJTD within Zone A and Zone B boundaries.</w:t>
            </w:r>
          </w:p>
        </w:tc>
      </w:tr>
      <w:tr>
        <w:tc>
          <w:tcPr>
            <w:tcW w:type="dxa" w:w="26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Threat of Substitutes</w:t>
            </w:r>
          </w:p>
        </w:tc>
        <w:tc>
          <w:tcPr>
            <w:tcW w:type="dxa" w:w="12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bCs/>
                <w:color w:val="B06A00"/>
                <w:sz w:val="17"/>
                <w:szCs w:val="17"/>
              </w:rPr>
              <w:t xml:space="preserve">MODERATE</w:t>
            </w:r>
          </w:p>
        </w:tc>
        <w:tc>
          <w:tcPr>
            <w:tcW w:type="dxa" w:w="644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both"/>
            </w:pPr>
            <w:r>
              <w:rPr>
                <w:rFonts w:ascii="Calibri" w:cs="Calibri" w:eastAsia="Calibri" w:hAnsi="Calibri"/>
                <w:color w:val="000000"/>
                <w:sz w:val="18"/>
                <w:szCs w:val="18"/>
              </w:rPr>
              <w:t xml:space="preserve">Competing SEZ destinations in ASEAN (Vietnam's industrial parks, Thailand's EEC zone, Cambodia's SEZs) serve as substitutes for prospective FDI. Post-2021 political uncertainty in Myanmar has caused some FDI redirection. However, existing tenants face high relocation costs, anchoring Zone A income. Zone B's long-term competitiveness depends on political normalization.</w:t>
            </w:r>
          </w:p>
        </w:tc>
      </w:tr>
    </w:tbl>
    <w:p>
      <w:pPr>
        <w:spacing w:after="60" w:before="60"/>
        <w:jc w:val="left"/>
      </w:pPr>
      <w:r>
        <w:rPr>
          <w:rFonts w:ascii="Calibri" w:cs="Calibri" w:eastAsia="Calibri" w:hAnsi="Calibri"/>
          <w:color w:val="000000"/>
          <w:sz w:val="20"/>
          <w:szCs w:val="20"/>
        </w:rPr>
        <w:t xml:space="preserve"/>
      </w:r>
    </w:p>
    <w:p>
      <w:pPr>
        <w:spacing w:after="40" w:before="220"/>
        <w:jc w:val="left"/>
      </w:pPr>
      <w:r>
        <w:rPr>
          <w:rFonts w:ascii="Calibri" w:cs="Calibri" w:eastAsia="Calibri" w:hAnsi="Calibri"/>
          <w:b/>
          <w:bCs/>
          <w:color w:val="1B3A5C"/>
          <w:sz w:val="22"/>
          <w:szCs w:val="22"/>
        </w:rPr>
        <w:t xml:space="preserve">4.  FINANCIAL SUMMARY  (MMK BILLIONS — APPROXIMATE; VERIFY FROM YSX DISCLOSURES)</w:t>
      </w:r>
    </w:p>
    <w:p>
      <w:pPr>
        <w:pBdr>
          <w:bottom w:val="single" w:color="B8972A" w:sz="8" w:space="1"/>
        </w:pBdr>
        <w:spacing w:after="80" w:before="0"/>
        <w:jc w:val="left"/>
      </w:pPr>
      <w:r>
        <w:rPr>
          <w:rFonts w:ascii="Calibri" w:cs="Calibri" w:eastAsia="Calibri" w:hAnsi="Calibri"/>
          <w:color w:val="000000"/>
          <w:sz w:val="20"/>
          <w:szCs w:val="20"/>
        </w:rPr>
        <w:t xml:space="preserve"/>
      </w:r>
    </w:p>
    <w:p>
      <w:pPr>
        <w:spacing w:after="80" w:before="60"/>
        <w:jc w:val="both"/>
      </w:pPr>
      <w:r>
        <w:rPr>
          <w:rFonts w:ascii="Calibri" w:cs="Calibri" w:eastAsia="Calibri" w:hAnsi="Calibri"/>
          <w:i/>
          <w:iCs/>
          <w:color w:val="666666"/>
          <w:sz w:val="18"/>
          <w:szCs w:val="18"/>
        </w:rPr>
        <w:t xml:space="preserve">MTSH reports in Myanmar Kyat (MMK) with a fiscal year ending March 31. The company's primary income stream is dividends and profit shares received from MJTD and TPD. Due to limited public data availability, the figures below are analyst estimates based on disclosed dividend data, YSX filings, and industry benchmarking. Investors should verify all figures from MTSH's official annual reports on the YSX website (ysx-mm.com).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00"/>
        <w:gridCol w:w="1760"/>
        <w:gridCol w:w="1760"/>
        <w:gridCol w:w="1760"/>
        <w:gridCol w:w="17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left"/>
            </w:pPr>
            <w:r>
              <w:rPr>
                <w:rFonts w:ascii="Calibri" w:cs="Calibri" w:eastAsia="Calibri" w:hAnsi="Calibri"/>
                <w:b/>
                <w:bCs/>
                <w:color w:val="FFFFFF"/>
                <w:sz w:val="18"/>
                <w:szCs w:val="18"/>
              </w:rPr>
              <w:t xml:space="preserve">Metric  (MMK bn)</w:t>
            </w:r>
          </w:p>
        </w:tc>
        <w:tc>
          <w:tcPr>
            <w:tcW w:type="dxa" w:w="176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center"/>
            </w:pPr>
            <w:r>
              <w:rPr>
                <w:rFonts w:ascii="Calibri" w:cs="Calibri" w:eastAsia="Calibri" w:hAnsi="Calibri"/>
                <w:b/>
                <w:bCs/>
                <w:color w:val="FFFFFF"/>
                <w:sz w:val="18"/>
                <w:szCs w:val="18"/>
              </w:rPr>
              <w:t xml:space="preserve">FY2022A</w:t>
            </w:r>
          </w:p>
        </w:tc>
        <w:tc>
          <w:tcPr>
            <w:tcW w:type="dxa" w:w="176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center"/>
            </w:pPr>
            <w:r>
              <w:rPr>
                <w:rFonts w:ascii="Calibri" w:cs="Calibri" w:eastAsia="Calibri" w:hAnsi="Calibri"/>
                <w:b/>
                <w:bCs/>
                <w:color w:val="FFFFFF"/>
                <w:sz w:val="18"/>
                <w:szCs w:val="18"/>
              </w:rPr>
              <w:t xml:space="preserve">FY2023A</w:t>
            </w:r>
          </w:p>
        </w:tc>
        <w:tc>
          <w:tcPr>
            <w:tcW w:type="dxa" w:w="176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center"/>
            </w:pPr>
            <w:r>
              <w:rPr>
                <w:rFonts w:ascii="Calibri" w:cs="Calibri" w:eastAsia="Calibri" w:hAnsi="Calibri"/>
                <w:b/>
                <w:bCs/>
                <w:color w:val="FFFFFF"/>
                <w:sz w:val="18"/>
                <w:szCs w:val="18"/>
              </w:rPr>
              <w:t xml:space="preserve">FY2024A</w:t>
            </w:r>
          </w:p>
        </w:tc>
        <w:tc>
          <w:tcPr>
            <w:tcW w:type="dxa" w:w="176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center"/>
            </w:pPr>
            <w:r>
              <w:rPr>
                <w:rFonts w:ascii="Calibri" w:cs="Calibri" w:eastAsia="Calibri" w:hAnsi="Calibri"/>
                <w:b/>
                <w:bCs/>
                <w:color w:val="FFFFFF"/>
                <w:sz w:val="18"/>
                <w:szCs w:val="18"/>
              </w:rPr>
              <w:t xml:space="preserve">FY2025E</w:t>
            </w:r>
          </w:p>
        </w:tc>
      </w:tr>
      <w:tr>
        <w:tc>
          <w:tcPr>
            <w:tcW w:type="dxa" w:w="32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Revenue (est.)</w:t>
            </w:r>
          </w:p>
        </w:tc>
        <w:tc>
          <w:tcPr>
            <w:tcW w:type="dxa" w:w="176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bCs/>
                <w:color w:val="000000"/>
                <w:sz w:val="18"/>
                <w:szCs w:val="18"/>
              </w:rPr>
              <w:t xml:space="preserve">~9.0</w:t>
            </w:r>
          </w:p>
        </w:tc>
        <w:tc>
          <w:tcPr>
            <w:tcW w:type="dxa" w:w="176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bCs/>
                <w:color w:val="000000"/>
                <w:sz w:val="18"/>
                <w:szCs w:val="18"/>
              </w:rPr>
              <w:t xml:space="preserve">~10.5</w:t>
            </w:r>
          </w:p>
        </w:tc>
        <w:tc>
          <w:tcPr>
            <w:tcW w:type="dxa" w:w="176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bCs/>
                <w:color w:val="000000"/>
                <w:sz w:val="18"/>
                <w:szCs w:val="18"/>
              </w:rPr>
              <w:t xml:space="preserve">~11.4</w:t>
            </w:r>
          </w:p>
        </w:tc>
        <w:tc>
          <w:tcPr>
            <w:tcW w:type="dxa" w:w="1760"/>
            <w:tcBorders>
              <w:top w:val="single" w:color="CCCCCC" w:sz="1"/>
              <w:left w:val="single" w:color="CCCCCC" w:sz="1"/>
              <w:bottom w:val="single" w:color="CCCCCC" w:sz="1"/>
              <w:right w:val="single" w:color="CCCCCC" w:sz="1"/>
            </w:tcBorders>
            <w:shd w:fill="EDFBF2" w:val="clear"/>
            <w:tcMar>
              <w:top w:type="dxa" w:w="70"/>
              <w:left w:type="dxa" w:w="120"/>
              <w:bottom w:type="dxa" w:w="70"/>
              <w:right w:type="dxa" w:w="120"/>
            </w:tcMar>
            <w:vAlign w:val="center"/>
          </w:tcPr>
          <w:p>
            <w:pPr>
              <w:spacing w:after="0" w:before="0"/>
              <w:jc w:val="center"/>
            </w:pPr>
            <w:r>
              <w:rPr>
                <w:rFonts w:ascii="Calibri" w:cs="Calibri" w:eastAsia="Calibri" w:hAnsi="Calibri"/>
                <w:b/>
                <w:bCs/>
                <w:color w:val="1A6B3C"/>
                <w:sz w:val="18"/>
                <w:szCs w:val="18"/>
              </w:rPr>
              <w:t xml:space="preserve">~12.0</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b w:val="false"/>
                <w:bCs w:val="false"/>
                <w:color w:val="333333"/>
                <w:sz w:val="18"/>
                <w:szCs w:val="18"/>
              </w:rPr>
              <w:t xml:space="preserve">Gross Profit (est.)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b w:val="false"/>
                <w:bCs w:val="false"/>
                <w:color w:val="000000"/>
                <w:sz w:val="18"/>
                <w:szCs w:val="18"/>
              </w:rPr>
              <w:t xml:space="preserve">~5.8</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b w:val="false"/>
                <w:bCs w:val="false"/>
                <w:color w:val="000000"/>
                <w:sz w:val="18"/>
                <w:szCs w:val="18"/>
              </w:rPr>
              <w:t xml:space="preserve">~7.2</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b w:val="false"/>
                <w:bCs w:val="false"/>
                <w:color w:val="000000"/>
                <w:sz w:val="18"/>
                <w:szCs w:val="18"/>
              </w:rPr>
              <w:t xml:space="preserve">~8.0</w:t>
            </w:r>
          </w:p>
        </w:tc>
        <w:tc>
          <w:tcPr>
            <w:tcW w:type="dxa" w:w="1760"/>
            <w:tcBorders>
              <w:top w:val="single" w:color="CCCCCC" w:sz="1"/>
              <w:left w:val="single" w:color="CCCCCC" w:sz="1"/>
              <w:bottom w:val="single" w:color="CCCCCC" w:sz="1"/>
              <w:right w:val="single" w:color="CCCCCC" w:sz="1"/>
            </w:tcBorders>
            <w:shd w:fill="EDFBF2" w:val="clear"/>
            <w:tcMar>
              <w:top w:type="dxa" w:w="70"/>
              <w:left w:type="dxa" w:w="120"/>
              <w:bottom w:type="dxa" w:w="70"/>
              <w:right w:type="dxa" w:w="120"/>
            </w:tcMar>
            <w:vAlign w:val="center"/>
          </w:tcPr>
          <w:p>
            <w:pPr>
              <w:spacing w:after="0" w:before="0"/>
              <w:jc w:val="center"/>
            </w:pPr>
            <w:r>
              <w:rPr>
                <w:rFonts w:ascii="Calibri" w:cs="Calibri" w:eastAsia="Calibri" w:hAnsi="Calibri"/>
                <w:b w:val="false"/>
                <w:bCs w:val="false"/>
                <w:color w:val="1A6B3C"/>
                <w:sz w:val="18"/>
                <w:szCs w:val="18"/>
              </w:rPr>
              <w:t xml:space="preserve">~8.5</w:t>
            </w:r>
          </w:p>
        </w:tc>
      </w:tr>
      <w:tr>
        <w:tc>
          <w:tcPr>
            <w:tcW w:type="dxa" w:w="32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val="false"/>
                <w:bCs w:val="false"/>
                <w:color w:val="333333"/>
                <w:sz w:val="18"/>
                <w:szCs w:val="18"/>
              </w:rPr>
              <w:t xml:space="preserve">  Gross Margin %</w:t>
            </w:r>
          </w:p>
        </w:tc>
        <w:tc>
          <w:tcPr>
            <w:tcW w:type="dxa" w:w="176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val="false"/>
                <w:bCs w:val="false"/>
                <w:color w:val="000000"/>
                <w:sz w:val="18"/>
                <w:szCs w:val="18"/>
              </w:rPr>
              <w:t xml:space="preserve">~64%</w:t>
            </w:r>
          </w:p>
        </w:tc>
        <w:tc>
          <w:tcPr>
            <w:tcW w:type="dxa" w:w="176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val="false"/>
                <w:bCs w:val="false"/>
                <w:color w:val="000000"/>
                <w:sz w:val="18"/>
                <w:szCs w:val="18"/>
              </w:rPr>
              <w:t xml:space="preserve">~69%</w:t>
            </w:r>
          </w:p>
        </w:tc>
        <w:tc>
          <w:tcPr>
            <w:tcW w:type="dxa" w:w="176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val="false"/>
                <w:bCs w:val="false"/>
                <w:color w:val="000000"/>
                <w:sz w:val="18"/>
                <w:szCs w:val="18"/>
              </w:rPr>
              <w:t xml:space="preserve">~70%</w:t>
            </w:r>
          </w:p>
        </w:tc>
        <w:tc>
          <w:tcPr>
            <w:tcW w:type="dxa" w:w="1760"/>
            <w:tcBorders>
              <w:top w:val="single" w:color="CCCCCC" w:sz="1"/>
              <w:left w:val="single" w:color="CCCCCC" w:sz="1"/>
              <w:bottom w:val="single" w:color="CCCCCC" w:sz="1"/>
              <w:right w:val="single" w:color="CCCCCC" w:sz="1"/>
            </w:tcBorders>
            <w:shd w:fill="EDFBF2" w:val="clear"/>
            <w:tcMar>
              <w:top w:type="dxa" w:w="70"/>
              <w:left w:type="dxa" w:w="120"/>
              <w:bottom w:type="dxa" w:w="70"/>
              <w:right w:type="dxa" w:w="120"/>
            </w:tcMar>
            <w:vAlign w:val="center"/>
          </w:tcPr>
          <w:p>
            <w:pPr>
              <w:spacing w:after="0" w:before="0"/>
              <w:jc w:val="center"/>
            </w:pPr>
            <w:r>
              <w:rPr>
                <w:rFonts w:ascii="Calibri" w:cs="Calibri" w:eastAsia="Calibri" w:hAnsi="Calibri"/>
                <w:b w:val="false"/>
                <w:bCs w:val="false"/>
                <w:color w:val="1A6B3C"/>
                <w:sz w:val="18"/>
                <w:szCs w:val="18"/>
              </w:rPr>
              <w:t xml:space="preserve">~71%</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EBITDA (est.)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b/>
                <w:bCs/>
                <w:color w:val="000000"/>
                <w:sz w:val="18"/>
                <w:szCs w:val="18"/>
              </w:rPr>
              <w:t xml:space="preserve">~6.5</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b/>
                <w:bCs/>
                <w:color w:val="000000"/>
                <w:sz w:val="18"/>
                <w:szCs w:val="18"/>
              </w:rPr>
              <w:t xml:space="preserve">~8.1</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b/>
                <w:bCs/>
                <w:color w:val="000000"/>
                <w:sz w:val="18"/>
                <w:szCs w:val="18"/>
              </w:rPr>
              <w:t xml:space="preserve">~9.0</w:t>
            </w:r>
          </w:p>
        </w:tc>
        <w:tc>
          <w:tcPr>
            <w:tcW w:type="dxa" w:w="1760"/>
            <w:tcBorders>
              <w:top w:val="single" w:color="CCCCCC" w:sz="1"/>
              <w:left w:val="single" w:color="CCCCCC" w:sz="1"/>
              <w:bottom w:val="single" w:color="CCCCCC" w:sz="1"/>
              <w:right w:val="single" w:color="CCCCCC" w:sz="1"/>
            </w:tcBorders>
            <w:shd w:fill="EDFBF2" w:val="clear"/>
            <w:tcMar>
              <w:top w:type="dxa" w:w="70"/>
              <w:left w:type="dxa" w:w="120"/>
              <w:bottom w:type="dxa" w:w="70"/>
              <w:right w:type="dxa" w:w="120"/>
            </w:tcMar>
            <w:vAlign w:val="center"/>
          </w:tcPr>
          <w:p>
            <w:pPr>
              <w:spacing w:after="0" w:before="0"/>
              <w:jc w:val="center"/>
            </w:pPr>
            <w:r>
              <w:rPr>
                <w:rFonts w:ascii="Calibri" w:cs="Calibri" w:eastAsia="Calibri" w:hAnsi="Calibri"/>
                <w:b/>
                <w:bCs/>
                <w:color w:val="1A6B3C"/>
                <w:sz w:val="18"/>
                <w:szCs w:val="18"/>
              </w:rPr>
              <w:t xml:space="preserve">~9.6</w:t>
            </w:r>
          </w:p>
        </w:tc>
      </w:tr>
      <w:tr>
        <w:tc>
          <w:tcPr>
            <w:tcW w:type="dxa" w:w="32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  EBITDA Margin %</w:t>
            </w:r>
          </w:p>
        </w:tc>
        <w:tc>
          <w:tcPr>
            <w:tcW w:type="dxa" w:w="176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bCs/>
                <w:color w:val="000000"/>
                <w:sz w:val="18"/>
                <w:szCs w:val="18"/>
              </w:rPr>
              <w:t xml:space="preserve">~72%</w:t>
            </w:r>
          </w:p>
        </w:tc>
        <w:tc>
          <w:tcPr>
            <w:tcW w:type="dxa" w:w="176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bCs/>
                <w:color w:val="000000"/>
                <w:sz w:val="18"/>
                <w:szCs w:val="18"/>
              </w:rPr>
              <w:t xml:space="preserve">~77%</w:t>
            </w:r>
          </w:p>
        </w:tc>
        <w:tc>
          <w:tcPr>
            <w:tcW w:type="dxa" w:w="176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bCs/>
                <w:color w:val="000000"/>
                <w:sz w:val="18"/>
                <w:szCs w:val="18"/>
              </w:rPr>
              <w:t xml:space="preserve">~79%</w:t>
            </w:r>
          </w:p>
        </w:tc>
        <w:tc>
          <w:tcPr>
            <w:tcW w:type="dxa" w:w="1760"/>
            <w:tcBorders>
              <w:top w:val="single" w:color="CCCCCC" w:sz="1"/>
              <w:left w:val="single" w:color="CCCCCC" w:sz="1"/>
              <w:bottom w:val="single" w:color="CCCCCC" w:sz="1"/>
              <w:right w:val="single" w:color="CCCCCC" w:sz="1"/>
            </w:tcBorders>
            <w:shd w:fill="EDFBF2" w:val="clear"/>
            <w:tcMar>
              <w:top w:type="dxa" w:w="70"/>
              <w:left w:type="dxa" w:w="120"/>
              <w:bottom w:type="dxa" w:w="70"/>
              <w:right w:type="dxa" w:w="120"/>
            </w:tcMar>
            <w:vAlign w:val="center"/>
          </w:tcPr>
          <w:p>
            <w:pPr>
              <w:spacing w:after="0" w:before="0"/>
              <w:jc w:val="center"/>
            </w:pPr>
            <w:r>
              <w:rPr>
                <w:rFonts w:ascii="Calibri" w:cs="Calibri" w:eastAsia="Calibri" w:hAnsi="Calibri"/>
                <w:b/>
                <w:bCs/>
                <w:color w:val="1A6B3C"/>
                <w:sz w:val="18"/>
                <w:szCs w:val="18"/>
              </w:rPr>
              <w:t xml:space="preserve">~80%</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Net Profit (est.)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b/>
                <w:bCs/>
                <w:color w:val="000000"/>
                <w:sz w:val="18"/>
                <w:szCs w:val="18"/>
              </w:rPr>
              <w:t xml:space="preserve">~8.5</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b/>
                <w:bCs/>
                <w:color w:val="000000"/>
                <w:sz w:val="18"/>
                <w:szCs w:val="18"/>
              </w:rPr>
              <w:t xml:space="preserve">~10.0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b/>
                <w:bCs/>
                <w:color w:val="000000"/>
                <w:sz w:val="18"/>
                <w:szCs w:val="18"/>
              </w:rPr>
              <w:t xml:space="preserve">~11.4</w:t>
            </w:r>
          </w:p>
        </w:tc>
        <w:tc>
          <w:tcPr>
            <w:tcW w:type="dxa" w:w="1760"/>
            <w:tcBorders>
              <w:top w:val="single" w:color="CCCCCC" w:sz="1"/>
              <w:left w:val="single" w:color="CCCCCC" w:sz="1"/>
              <w:bottom w:val="single" w:color="CCCCCC" w:sz="1"/>
              <w:right w:val="single" w:color="CCCCCC" w:sz="1"/>
            </w:tcBorders>
            <w:shd w:fill="EDFBF2" w:val="clear"/>
            <w:tcMar>
              <w:top w:type="dxa" w:w="70"/>
              <w:left w:type="dxa" w:w="120"/>
              <w:bottom w:type="dxa" w:w="70"/>
              <w:right w:type="dxa" w:w="120"/>
            </w:tcMar>
            <w:vAlign w:val="center"/>
          </w:tcPr>
          <w:p>
            <w:pPr>
              <w:spacing w:after="0" w:before="0"/>
              <w:jc w:val="center"/>
            </w:pPr>
            <w:r>
              <w:rPr>
                <w:rFonts w:ascii="Calibri" w:cs="Calibri" w:eastAsia="Calibri" w:hAnsi="Calibri"/>
                <w:b/>
                <w:bCs/>
                <w:color w:val="1A6B3C"/>
                <w:sz w:val="18"/>
                <w:szCs w:val="18"/>
              </w:rPr>
              <w:t xml:space="preserve">~12.2</w:t>
            </w:r>
          </w:p>
        </w:tc>
      </w:tr>
      <w:tr>
        <w:tc>
          <w:tcPr>
            <w:tcW w:type="dxa" w:w="32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val="false"/>
                <w:bCs w:val="false"/>
                <w:color w:val="333333"/>
                <w:sz w:val="18"/>
                <w:szCs w:val="18"/>
              </w:rPr>
              <w:t xml:space="preserve">  Net Margin %</w:t>
            </w:r>
          </w:p>
        </w:tc>
        <w:tc>
          <w:tcPr>
            <w:tcW w:type="dxa" w:w="176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val="false"/>
                <w:bCs w:val="false"/>
                <w:color w:val="000000"/>
                <w:sz w:val="18"/>
                <w:szCs w:val="18"/>
              </w:rPr>
              <w:t xml:space="preserve">~94%</w:t>
            </w:r>
          </w:p>
        </w:tc>
        <w:tc>
          <w:tcPr>
            <w:tcW w:type="dxa" w:w="176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val="false"/>
                <w:bCs w:val="false"/>
                <w:color w:val="000000"/>
                <w:sz w:val="18"/>
                <w:szCs w:val="18"/>
              </w:rPr>
              <w:t xml:space="preserve">~95%</w:t>
            </w:r>
          </w:p>
        </w:tc>
        <w:tc>
          <w:tcPr>
            <w:tcW w:type="dxa" w:w="176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val="false"/>
                <w:bCs w:val="false"/>
                <w:color w:val="000000"/>
                <w:sz w:val="18"/>
                <w:szCs w:val="18"/>
              </w:rPr>
              <w:t xml:space="preserve">~100%</w:t>
            </w:r>
          </w:p>
        </w:tc>
        <w:tc>
          <w:tcPr>
            <w:tcW w:type="dxa" w:w="1760"/>
            <w:tcBorders>
              <w:top w:val="single" w:color="CCCCCC" w:sz="1"/>
              <w:left w:val="single" w:color="CCCCCC" w:sz="1"/>
              <w:bottom w:val="single" w:color="CCCCCC" w:sz="1"/>
              <w:right w:val="single" w:color="CCCCCC" w:sz="1"/>
            </w:tcBorders>
            <w:shd w:fill="EDFBF2" w:val="clear"/>
            <w:tcMar>
              <w:top w:type="dxa" w:w="70"/>
              <w:left w:type="dxa" w:w="120"/>
              <w:bottom w:type="dxa" w:w="70"/>
              <w:right w:type="dxa" w:w="120"/>
            </w:tcMar>
            <w:vAlign w:val="center"/>
          </w:tcPr>
          <w:p>
            <w:pPr>
              <w:spacing w:after="0" w:before="0"/>
              <w:jc w:val="center"/>
            </w:pPr>
            <w:r>
              <w:rPr>
                <w:rFonts w:ascii="Calibri" w:cs="Calibri" w:eastAsia="Calibri" w:hAnsi="Calibri"/>
                <w:b w:val="false"/>
                <w:bCs w:val="false"/>
                <w:color w:val="1A6B3C"/>
                <w:sz w:val="18"/>
                <w:szCs w:val="18"/>
              </w:rPr>
              <w:t xml:space="preserve">~102%</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b w:val="false"/>
                <w:bCs w:val="false"/>
                <w:color w:val="333333"/>
                <w:sz w:val="18"/>
                <w:szCs w:val="18"/>
              </w:rPr>
              <w:t xml:space="preserve">Dividend Per Share (MMK)</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b w:val="false"/>
                <w:bCs w:val="false"/>
                <w:color w:val="000000"/>
                <w:sz w:val="18"/>
                <w:szCs w:val="18"/>
              </w:rPr>
              <w:t xml:space="preserve">100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b w:val="false"/>
                <w:bCs w:val="false"/>
                <w:color w:val="000000"/>
                <w:sz w:val="18"/>
                <w:szCs w:val="18"/>
              </w:rPr>
              <w:t xml:space="preserve">50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b w:val="false"/>
                <w:bCs w:val="false"/>
                <w:color w:val="000000"/>
                <w:sz w:val="18"/>
                <w:szCs w:val="18"/>
              </w:rPr>
              <w:t xml:space="preserve">50</w:t>
            </w:r>
          </w:p>
        </w:tc>
        <w:tc>
          <w:tcPr>
            <w:tcW w:type="dxa" w:w="1760"/>
            <w:tcBorders>
              <w:top w:val="single" w:color="CCCCCC" w:sz="1"/>
              <w:left w:val="single" w:color="CCCCCC" w:sz="1"/>
              <w:bottom w:val="single" w:color="CCCCCC" w:sz="1"/>
              <w:right w:val="single" w:color="CCCCCC" w:sz="1"/>
            </w:tcBorders>
            <w:shd w:fill="EDFBF2" w:val="clear"/>
            <w:tcMar>
              <w:top w:type="dxa" w:w="70"/>
              <w:left w:type="dxa" w:w="120"/>
              <w:bottom w:type="dxa" w:w="70"/>
              <w:right w:type="dxa" w:w="120"/>
            </w:tcMar>
            <w:vAlign w:val="center"/>
          </w:tcPr>
          <w:p>
            <w:pPr>
              <w:spacing w:after="0" w:before="0"/>
              <w:jc w:val="center"/>
            </w:pPr>
            <w:r>
              <w:rPr>
                <w:rFonts w:ascii="Calibri" w:cs="Calibri" w:eastAsia="Calibri" w:hAnsi="Calibri"/>
                <w:b w:val="false"/>
                <w:bCs w:val="false"/>
                <w:color w:val="1A6B3C"/>
                <w:sz w:val="18"/>
                <w:szCs w:val="18"/>
              </w:rPr>
              <w:t xml:space="preserve">~60E</w:t>
            </w:r>
          </w:p>
        </w:tc>
      </w:tr>
      <w:tr>
        <w:tc>
          <w:tcPr>
            <w:tcW w:type="dxa" w:w="32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val="false"/>
                <w:bCs w:val="false"/>
                <w:color w:val="333333"/>
                <w:sz w:val="18"/>
                <w:szCs w:val="18"/>
              </w:rPr>
              <w:t xml:space="preserve">Total Dividend Payout</w:t>
            </w:r>
          </w:p>
        </w:tc>
        <w:tc>
          <w:tcPr>
            <w:tcW w:type="dxa" w:w="176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val="false"/>
                <w:bCs w:val="false"/>
                <w:color w:val="000000"/>
                <w:sz w:val="18"/>
                <w:szCs w:val="18"/>
              </w:rPr>
              <w:t xml:space="preserve">~3.9</w:t>
            </w:r>
          </w:p>
        </w:tc>
        <w:tc>
          <w:tcPr>
            <w:tcW w:type="dxa" w:w="176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val="false"/>
                <w:bCs w:val="false"/>
                <w:color w:val="000000"/>
                <w:sz w:val="18"/>
                <w:szCs w:val="18"/>
              </w:rPr>
              <w:t xml:space="preserve">~1.9</w:t>
            </w:r>
          </w:p>
        </w:tc>
        <w:tc>
          <w:tcPr>
            <w:tcW w:type="dxa" w:w="176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val="false"/>
                <w:bCs w:val="false"/>
                <w:color w:val="000000"/>
                <w:sz w:val="18"/>
                <w:szCs w:val="18"/>
              </w:rPr>
              <w:t xml:space="preserve">~1.9</w:t>
            </w:r>
          </w:p>
        </w:tc>
        <w:tc>
          <w:tcPr>
            <w:tcW w:type="dxa" w:w="1760"/>
            <w:tcBorders>
              <w:top w:val="single" w:color="CCCCCC" w:sz="1"/>
              <w:left w:val="single" w:color="CCCCCC" w:sz="1"/>
              <w:bottom w:val="single" w:color="CCCCCC" w:sz="1"/>
              <w:right w:val="single" w:color="CCCCCC" w:sz="1"/>
            </w:tcBorders>
            <w:shd w:fill="EDFBF2" w:val="clear"/>
            <w:tcMar>
              <w:top w:type="dxa" w:w="70"/>
              <w:left w:type="dxa" w:w="120"/>
              <w:bottom w:type="dxa" w:w="70"/>
              <w:right w:type="dxa" w:w="120"/>
            </w:tcMar>
            <w:vAlign w:val="center"/>
          </w:tcPr>
          <w:p>
            <w:pPr>
              <w:spacing w:after="0" w:before="0"/>
              <w:jc w:val="center"/>
            </w:pPr>
            <w:r>
              <w:rPr>
                <w:rFonts w:ascii="Calibri" w:cs="Calibri" w:eastAsia="Calibri" w:hAnsi="Calibri"/>
                <w:b w:val="false"/>
                <w:bCs w:val="false"/>
                <w:color w:val="1A6B3C"/>
                <w:sz w:val="18"/>
                <w:szCs w:val="18"/>
              </w:rPr>
              <w:t xml:space="preserve">~2.3E</w:t>
            </w:r>
          </w:p>
        </w:tc>
      </w:tr>
    </w:tbl>
    <w:p>
      <w:pPr>
        <w:spacing w:after="60" w:before="60"/>
        <w:jc w:val="left"/>
      </w:pPr>
      <w:r>
        <w:rPr>
          <w:rFonts w:ascii="Calibri" w:cs="Calibri" w:eastAsia="Calibri" w:hAnsi="Calibri"/>
          <w:i/>
          <w:iCs/>
          <w:color w:val="666666"/>
          <w:sz w:val="16"/>
          <w:szCs w:val="16"/>
        </w:rPr>
        <w:t xml:space="preserve">E = Analyst estimate. All figures in MMK billions unless stated. Net margin &gt;100% reflects investment income from subsidiaries exceeding reported revenue base.</w:t>
      </w:r>
    </w:p>
    <w:p>
      <w:pPr>
        <w:spacing w:after="40" w:before="220"/>
        <w:jc w:val="left"/>
      </w:pPr>
      <w:r>
        <w:rPr>
          <w:rFonts w:ascii="Calibri" w:cs="Calibri" w:eastAsia="Calibri" w:hAnsi="Calibri"/>
          <w:b/>
          <w:bCs/>
          <w:color w:val="1B3A5C"/>
          <w:sz w:val="22"/>
          <w:szCs w:val="22"/>
        </w:rPr>
        <w:t xml:space="preserve">5.  VALUATION ANALYSIS</w:t>
      </w:r>
    </w:p>
    <w:p>
      <w:pPr>
        <w:pBdr>
          <w:bottom w:val="single" w:color="B8972A" w:sz="8" w:space="1"/>
        </w:pBdr>
        <w:spacing w:after="80" w:before="0"/>
        <w:jc w:val="left"/>
      </w:pPr>
      <w:r>
        <w:rPr>
          <w:rFonts w:ascii="Calibri" w:cs="Calibri" w:eastAsia="Calibri" w:hAnsi="Calibri"/>
          <w:color w:val="000000"/>
          <w:sz w:val="20"/>
          <w:szCs w:val="20"/>
        </w:rPr>
        <w:t xml:space="preserve"/>
      </w:r>
    </w:p>
    <w:p>
      <w:pPr>
        <w:spacing w:after="80" w:before="80"/>
        <w:jc w:val="both"/>
      </w:pPr>
      <w:r>
        <w:rPr>
          <w:rFonts w:ascii="Calibri" w:cs="Calibri" w:eastAsia="Calibri" w:hAnsi="Calibri"/>
          <w:color w:val="000000"/>
          <w:sz w:val="19"/>
          <w:szCs w:val="19"/>
        </w:rPr>
        <w:t xml:space="preserve">We derive our 12-month price target of MMK 3,800/share using a blended valuation approach across three methodologies. All multiples are estimates based on comparable SEZ operators and Myanmar market benchmarks. Investors should verify market price and financial data from YSX before making investment decisions.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680"/>
        <w:gridCol w:w="112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left"/>
            </w:pPr>
            <w:r>
              <w:rPr>
                <w:rFonts w:ascii="Calibri" w:cs="Calibri" w:eastAsia="Calibri" w:hAnsi="Calibri"/>
                <w:b/>
                <w:bCs/>
                <w:color w:val="FFFFFF"/>
                <w:sz w:val="18"/>
                <w:szCs w:val="18"/>
              </w:rPr>
              <w:t xml:space="preserve">Methodology</w:t>
            </w:r>
          </w:p>
        </w:tc>
        <w:tc>
          <w:tcPr>
            <w:tcW w:type="dxa" w:w="168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center"/>
            </w:pPr>
            <w:r>
              <w:rPr>
                <w:rFonts w:ascii="Calibri" w:cs="Calibri" w:eastAsia="Calibri" w:hAnsi="Calibri"/>
                <w:b/>
                <w:bCs/>
                <w:color w:val="FFFFFF"/>
                <w:sz w:val="18"/>
                <w:szCs w:val="18"/>
              </w:rPr>
              <w:t xml:space="preserve">Metric</w:t>
            </w:r>
          </w:p>
        </w:tc>
        <w:tc>
          <w:tcPr>
            <w:tcW w:type="dxa" w:w="168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center"/>
            </w:pPr>
            <w:r>
              <w:rPr>
                <w:rFonts w:ascii="Calibri" w:cs="Calibri" w:eastAsia="Calibri" w:hAnsi="Calibri"/>
                <w:b/>
                <w:bCs/>
                <w:color w:val="FFFFFF"/>
                <w:sz w:val="18"/>
                <w:szCs w:val="18"/>
              </w:rPr>
              <w:t xml:space="preserve">Applied Multiple</w:t>
            </w:r>
          </w:p>
        </w:tc>
        <w:tc>
          <w:tcPr>
            <w:tcW w:type="dxa" w:w="168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center"/>
            </w:pPr>
            <w:r>
              <w:rPr>
                <w:rFonts w:ascii="Calibri" w:cs="Calibri" w:eastAsia="Calibri" w:hAnsi="Calibri"/>
                <w:b/>
                <w:bCs/>
                <w:color w:val="FFFFFF"/>
                <w:sz w:val="18"/>
                <w:szCs w:val="18"/>
              </w:rPr>
              <w:t xml:space="preserve">Base Value</w:t>
            </w:r>
          </w:p>
        </w:tc>
        <w:tc>
          <w:tcPr>
            <w:tcW w:type="dxa" w:w="168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center"/>
            </w:pPr>
            <w:r>
              <w:rPr>
                <w:rFonts w:ascii="Calibri" w:cs="Calibri" w:eastAsia="Calibri" w:hAnsi="Calibri"/>
                <w:b/>
                <w:bCs/>
                <w:color w:val="FFFFFF"/>
                <w:sz w:val="18"/>
                <w:szCs w:val="18"/>
              </w:rPr>
              <w:t xml:space="preserve">Implied Price</w:t>
            </w:r>
          </w:p>
        </w:tc>
        <w:tc>
          <w:tcPr>
            <w:tcW w:type="dxa" w:w="112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center"/>
            </w:pPr>
            <w:r>
              <w:rPr>
                <w:rFonts w:ascii="Calibri" w:cs="Calibri" w:eastAsia="Calibri" w:hAnsi="Calibri"/>
                <w:b/>
                <w:bCs/>
                <w:color w:val="FFFFFF"/>
                <w:sz w:val="18"/>
                <w:szCs w:val="18"/>
              </w:rPr>
              <w:t xml:space="preserve">Weight</w:t>
            </w:r>
          </w:p>
        </w:tc>
      </w:tr>
      <w:tr>
        <w:tc>
          <w:tcPr>
            <w:tcW w:type="dxa" w:w="24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P/E Multiple</w:t>
            </w:r>
          </w:p>
        </w:tc>
        <w:tc>
          <w:tcPr>
            <w:tcW w:type="dxa" w:w="168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FY2024E EPS: ~MMK 293</w:t>
            </w:r>
          </w:p>
        </w:tc>
        <w:tc>
          <w:tcPr>
            <w:tcW w:type="dxa" w:w="168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12.5x</w:t>
            </w:r>
          </w:p>
        </w:tc>
        <w:tc>
          <w:tcPr>
            <w:tcW w:type="dxa" w:w="168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EPS ~293</w:t>
            </w:r>
          </w:p>
        </w:tc>
        <w:tc>
          <w:tcPr>
            <w:tcW w:type="dxa" w:w="168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~MMK 3,660</w:t>
            </w:r>
          </w:p>
        </w:tc>
        <w:tc>
          <w:tcPr>
            <w:tcW w:type="dxa" w:w="112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bCs/>
                <w:color w:val="1B3A5C"/>
                <w:sz w:val="18"/>
                <w:szCs w:val="18"/>
              </w:rPr>
              <w:t xml:space="preserve">40%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P/B Multiple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FY2024E BVPS: ~MMK 3,200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1.1x</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BVPS ~3,200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~MMK 3,520</w:t>
            </w:r>
          </w:p>
        </w:tc>
        <w:tc>
          <w:tcPr>
            <w:tcW w:type="dxa" w:w="1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b/>
                <w:bCs/>
                <w:color w:val="1B3A5C"/>
                <w:sz w:val="18"/>
                <w:szCs w:val="18"/>
              </w:rPr>
              <w:t xml:space="preserve">30%</w:t>
            </w:r>
          </w:p>
        </w:tc>
      </w:tr>
      <w:tr>
        <w:tc>
          <w:tcPr>
            <w:tcW w:type="dxa" w:w="24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EV/EBITDA</w:t>
            </w:r>
          </w:p>
        </w:tc>
        <w:tc>
          <w:tcPr>
            <w:tcW w:type="dxa" w:w="168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FY2024E EBITDA: ~MMK 9.0bn</w:t>
            </w:r>
          </w:p>
        </w:tc>
        <w:tc>
          <w:tcPr>
            <w:tcW w:type="dxa" w:w="168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9.0x</w:t>
            </w:r>
          </w:p>
        </w:tc>
        <w:tc>
          <w:tcPr>
            <w:tcW w:type="dxa" w:w="168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EBITDA/share ~231</w:t>
            </w:r>
          </w:p>
        </w:tc>
        <w:tc>
          <w:tcPr>
            <w:tcW w:type="dxa" w:w="168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color w:val="000000"/>
                <w:sz w:val="18"/>
                <w:szCs w:val="18"/>
              </w:rPr>
              <w:t xml:space="preserve">~MMK 4,200</w:t>
            </w:r>
          </w:p>
        </w:tc>
        <w:tc>
          <w:tcPr>
            <w:tcW w:type="dxa" w:w="112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bCs/>
                <w:color w:val="1B3A5C"/>
                <w:sz w:val="18"/>
                <w:szCs w:val="18"/>
              </w:rPr>
              <w:t xml:space="preserve">30%</w:t>
            </w:r>
          </w:p>
        </w:tc>
      </w:tr>
      <w:tr>
        <w:tc>
          <w:tcPr>
            <w:tcW w:type="dxa" w:w="2400"/>
            <w:tcBorders>
              <w:top w:val="single" w:color="CCCCCC" w:sz="1"/>
              <w:left w:val="single" w:color="CCCCCC" w:sz="1"/>
              <w:bottom w:val="single" w:color="CCCCCC" w:sz="1"/>
              <w:right w:val="single" w:color="CCCCCC" w:sz="1"/>
            </w:tcBorders>
            <w:shd w:fill="0D2137" w:val="clear"/>
            <w:tcMar>
              <w:top w:type="dxa" w:w="70"/>
              <w:left w:type="dxa" w:w="120"/>
              <w:bottom w:type="dxa" w:w="70"/>
              <w:right w:type="dxa" w:w="120"/>
            </w:tcMar>
            <w:vAlign w:val="center"/>
          </w:tcPr>
          <w:p>
            <w:pPr>
              <w:spacing w:after="0" w:before="0"/>
              <w:jc w:val="left"/>
            </w:pPr>
            <w:r>
              <w:rPr>
                <w:rFonts w:ascii="Calibri" w:cs="Calibri" w:eastAsia="Calibri" w:hAnsi="Calibri"/>
                <w:b/>
                <w:bCs/>
                <w:color w:val="FFFFFF"/>
                <w:sz w:val="19"/>
                <w:szCs w:val="19"/>
              </w:rPr>
              <w:t xml:space="preserve">BLENDED TARGET PRICE</w:t>
            </w:r>
          </w:p>
        </w:tc>
        <w:tc>
          <w:tcPr>
            <w:tcW w:type="dxa" w:w="5040"/>
            <w:gridSpan w:val="3"/>
            <w:tcBorders>
              <w:top w:val="single" w:color="CCCCCC" w:sz="1"/>
              <w:left w:val="single" w:color="CCCCCC" w:sz="1"/>
              <w:bottom w:val="single" w:color="CCCCCC" w:sz="1"/>
              <w:right w:val="single" w:color="CCCCCC" w:sz="1"/>
            </w:tcBorders>
            <w:shd w:fill="0D2137" w:val="clear"/>
            <w:tcMar>
              <w:top w:type="dxa" w:w="70"/>
              <w:left w:type="dxa" w:w="120"/>
              <w:bottom w:type="dxa" w:w="70"/>
              <w:right w:type="dxa" w:w="120"/>
            </w:tcMar>
            <w:vAlign w:val="center"/>
          </w:tcPr>
          <w:p>
            <w:pPr>
              <w:spacing w:after="0" w:before="0"/>
              <w:jc w:val="center"/>
            </w:pPr>
            <w:r>
              <w:rPr>
                <w:rFonts w:ascii="Calibri" w:cs="Calibri" w:eastAsia="Calibri" w:hAnsi="Calibri"/>
                <w:color w:val="D4E0EC"/>
                <w:sz w:val="18"/>
                <w:szCs w:val="18"/>
              </w:rPr>
              <w:t xml:space="preserve">Weighted Average of 3 Methodologies</w:t>
            </w:r>
          </w:p>
        </w:tc>
        <w:tc>
          <w:tcPr>
            <w:tcW w:type="dxa" w:w="1680"/>
            <w:tcBorders>
              <w:top w:val="single" w:color="CCCCCC" w:sz="1"/>
              <w:left w:val="single" w:color="CCCCCC" w:sz="1"/>
              <w:bottom w:val="single" w:color="CCCCCC" w:sz="1"/>
              <w:right w:val="single" w:color="CCCCCC" w:sz="1"/>
            </w:tcBorders>
            <w:shd w:fill="0D2137" w:val="clear"/>
            <w:tcMar>
              <w:top w:type="dxa" w:w="70"/>
              <w:left w:type="dxa" w:w="120"/>
              <w:bottom w:type="dxa" w:w="70"/>
              <w:right w:type="dxa" w:w="120"/>
            </w:tcMar>
            <w:vAlign w:val="center"/>
          </w:tcPr>
          <w:p>
            <w:pPr>
              <w:spacing w:after="0" w:before="0"/>
              <w:jc w:val="center"/>
            </w:pPr>
            <w:r>
              <w:rPr>
                <w:rFonts w:ascii="Calibri" w:cs="Calibri" w:eastAsia="Calibri" w:hAnsi="Calibri"/>
                <w:b/>
                <w:bCs/>
                <w:color w:val="B8972A"/>
                <w:sz w:val="20"/>
                <w:szCs w:val="20"/>
              </w:rPr>
              <w:t xml:space="preserve">MMK 3,800 / share</w:t>
            </w:r>
          </w:p>
        </w:tc>
        <w:tc>
          <w:tcPr>
            <w:tcW w:type="dxa" w:w="1120"/>
            <w:tcBorders>
              <w:top w:val="single" w:color="CCCCCC" w:sz="1"/>
              <w:left w:val="single" w:color="CCCCCC" w:sz="1"/>
              <w:bottom w:val="single" w:color="CCCCCC" w:sz="1"/>
              <w:right w:val="single" w:color="CCCCCC" w:sz="1"/>
            </w:tcBorders>
            <w:shd w:fill="0D2137" w:val="clear"/>
            <w:tcMar>
              <w:top w:type="dxa" w:w="70"/>
              <w:left w:type="dxa" w:w="120"/>
              <w:bottom w:type="dxa" w:w="70"/>
              <w:right w:type="dxa" w:w="120"/>
            </w:tcMar>
            <w:vAlign w:val="center"/>
          </w:tcPr>
          <w:p>
            <w:pPr>
              <w:spacing w:after="0" w:before="0"/>
              <w:jc w:val="center"/>
            </w:pPr>
            <w:r>
              <w:rPr>
                <w:rFonts w:ascii="Calibri" w:cs="Calibri" w:eastAsia="Calibri" w:hAnsi="Calibri"/>
                <w:b/>
                <w:bCs/>
                <w:color w:val="FFFFFF"/>
                <w:sz w:val="19"/>
                <w:szCs w:val="19"/>
              </w:rPr>
              <w:t xml:space="preserve">100%</w:t>
            </w:r>
          </w:p>
        </w:tc>
      </w:tr>
    </w:tbl>
    <w:p>
      <w:pPr>
        <w:spacing w:after="60" w:before="60"/>
        <w:jc w:val="left"/>
      </w:pPr>
      <w:r>
        <w:rPr>
          <w:rFonts w:ascii="Calibri" w:cs="Calibri" w:eastAsia="Calibri" w:hAnsi="Calibri"/>
          <w:color w:val="000000"/>
          <w:sz w:val="20"/>
          <w:szCs w:val="20"/>
        </w:rPr>
        <w:t xml:space="preserve"/>
      </w:r>
    </w:p>
    <w:p>
      <w:pPr>
        <w:spacing w:after="40" w:before="220"/>
        <w:jc w:val="left"/>
      </w:pPr>
      <w:r>
        <w:rPr>
          <w:rFonts w:ascii="Calibri" w:cs="Calibri" w:eastAsia="Calibri" w:hAnsi="Calibri"/>
          <w:b/>
          <w:bCs/>
          <w:color w:val="1B3A5C"/>
          <w:sz w:val="22"/>
          <w:szCs w:val="22"/>
        </w:rPr>
        <w:t xml:space="preserve">6.  KEY INVESTMENT CATALYSTS</w:t>
      </w:r>
    </w:p>
    <w:p>
      <w:pPr>
        <w:pBdr>
          <w:bottom w:val="single" w:color="B8972A" w:sz="8" w:space="1"/>
        </w:pBdr>
        <w:spacing w:after="80" w:before="0"/>
        <w:jc w:val="left"/>
      </w:pPr>
      <w:r>
        <w:rPr>
          <w:rFonts w:ascii="Calibri" w:cs="Calibri" w:eastAsia="Calibri" w:hAnsi="Calibri"/>
          <w:color w:val="000000"/>
          <w:sz w:val="20"/>
          <w:szCs w:val="20"/>
        </w:rPr>
        <w:t xml:space="preserve"/>
      </w:r>
    </w:p>
    <w:p>
      <w:pPr>
        <w:pStyle w:val="ListParagraph"/>
        <w:numPr>
          <w:ilvl w:val="0"/>
          <w:numId w:val="2"/>
        </w:numPr>
        <w:spacing w:after="30" w:before="30"/>
        <w:jc w:val="left"/>
      </w:pPr>
      <w:r>
        <w:rPr>
          <w:rFonts w:ascii="Calibri" w:cs="Calibri" w:eastAsia="Calibri" w:hAnsi="Calibri"/>
          <w:b/>
          <w:bCs/>
          <w:color w:val="000000"/>
          <w:sz w:val="19"/>
          <w:szCs w:val="19"/>
        </w:rPr>
        <w:t xml:space="preserve">Zone B Expansion —</w:t>
      </w:r>
      <w:r>
        <w:rPr>
          <w:rFonts w:ascii="Calibri" w:cs="Calibri" w:eastAsia="Calibri" w:hAnsi="Calibri"/>
          <w:color w:val="000000"/>
          <w:sz w:val="19"/>
          <w:szCs w:val="19"/>
        </w:rPr>
        <w:t xml:space="preserve"> Zone B leasing momentum: Expansion into the 700-hectare Zone B project represents the largest growth driver. Progressive tenant signings translate directly into MJTD dividend income flowing to MTSH.</w:t>
      </w:r>
    </w:p>
    <w:p>
      <w:pPr>
        <w:pStyle w:val="ListParagraph"/>
        <w:numPr>
          <w:ilvl w:val="0"/>
          <w:numId w:val="2"/>
        </w:numPr>
        <w:spacing w:after="30" w:before="30"/>
        <w:jc w:val="left"/>
      </w:pPr>
      <w:r>
        <w:rPr>
          <w:rFonts w:ascii="Calibri" w:cs="Calibri" w:eastAsia="Calibri" w:hAnsi="Calibri"/>
          <w:b/>
          <w:bCs/>
          <w:color w:val="000000"/>
          <w:sz w:val="19"/>
          <w:szCs w:val="19"/>
        </w:rPr>
        <w:t xml:space="preserve">FDI Anchoring —</w:t>
      </w:r>
      <w:r>
        <w:rPr>
          <w:rFonts w:ascii="Calibri" w:cs="Calibri" w:eastAsia="Calibri" w:hAnsi="Calibri"/>
          <w:color w:val="000000"/>
          <w:sz w:val="19"/>
          <w:szCs w:val="19"/>
        </w:rPr>
        <w:t xml:space="preserve"> FDI resilience: Despite Myanmar's challenging post-2021 political environment, Thilawa SEZ has maintained operations as established Japanese and Singaporean manufacturers are anchored by sunk infrastructure costs.</w:t>
      </w:r>
    </w:p>
    <w:p>
      <w:pPr>
        <w:pStyle w:val="ListParagraph"/>
        <w:numPr>
          <w:ilvl w:val="0"/>
          <w:numId w:val="2"/>
        </w:numPr>
        <w:spacing w:after="30" w:before="30"/>
        <w:jc w:val="left"/>
      </w:pPr>
      <w:r>
        <w:rPr>
          <w:rFonts w:ascii="Calibri" w:cs="Calibri" w:eastAsia="Calibri" w:hAnsi="Calibri"/>
          <w:b/>
          <w:bCs/>
          <w:color w:val="000000"/>
          <w:sz w:val="19"/>
          <w:szCs w:val="19"/>
        </w:rPr>
        <w:t xml:space="preserve">Institutional Quality —</w:t>
      </w:r>
      <w:r>
        <w:rPr>
          <w:rFonts w:ascii="Calibri" w:cs="Calibri" w:eastAsia="Calibri" w:hAnsi="Calibri"/>
          <w:color w:val="000000"/>
          <w:sz w:val="19"/>
          <w:szCs w:val="19"/>
        </w:rPr>
        <w:t xml:space="preserve"> Japan government backing: JICA's 10% stake and Marubeni/Mitsubishi/Sumitomo's involvement via MMS Thilawa Development provides institutional credibility that privately-owned industrial parks cannot replicate.</w:t>
      </w:r>
    </w:p>
    <w:p>
      <w:pPr>
        <w:pStyle w:val="ListParagraph"/>
        <w:numPr>
          <w:ilvl w:val="0"/>
          <w:numId w:val="2"/>
        </w:numPr>
        <w:spacing w:after="30" w:before="30"/>
        <w:jc w:val="left"/>
      </w:pPr>
      <w:r>
        <w:rPr>
          <w:rFonts w:ascii="Calibri" w:cs="Calibri" w:eastAsia="Calibri" w:hAnsi="Calibri"/>
          <w:b/>
          <w:bCs/>
          <w:color w:val="000000"/>
          <w:sz w:val="19"/>
          <w:szCs w:val="19"/>
        </w:rPr>
        <w:t xml:space="preserve">Demographic Dividend —</w:t>
      </w:r>
      <w:r>
        <w:rPr>
          <w:rFonts w:ascii="Calibri" w:cs="Calibri" w:eastAsia="Calibri" w:hAnsi="Calibri"/>
          <w:color w:val="000000"/>
          <w:sz w:val="19"/>
          <w:szCs w:val="19"/>
        </w:rPr>
        <w:t xml:space="preserve"> Myanmar's median age of ~29 years and low wage structure remain structurally attractive for labour-intensive manufacturing — a secular tailwind for export-oriented SEZ demand.</w:t>
      </w:r>
    </w:p>
    <w:p>
      <w:pPr>
        <w:pStyle w:val="ListParagraph"/>
        <w:numPr>
          <w:ilvl w:val="0"/>
          <w:numId w:val="2"/>
        </w:numPr>
        <w:spacing w:after="30" w:before="30"/>
        <w:jc w:val="left"/>
      </w:pPr>
      <w:r>
        <w:rPr>
          <w:rFonts w:ascii="Calibri" w:cs="Calibri" w:eastAsia="Calibri" w:hAnsi="Calibri"/>
          <w:b/>
          <w:bCs/>
          <w:color w:val="000000"/>
          <w:sz w:val="19"/>
          <w:szCs w:val="19"/>
        </w:rPr>
        <w:t xml:space="preserve">Consistent Dividends —</w:t>
      </w:r>
      <w:r>
        <w:rPr>
          <w:rFonts w:ascii="Calibri" w:cs="Calibri" w:eastAsia="Calibri" w:hAnsi="Calibri"/>
          <w:color w:val="000000"/>
          <w:sz w:val="19"/>
          <w:szCs w:val="19"/>
        </w:rPr>
        <w:t xml:space="preserve"> MTSH has paid dividends every year since listing in 2016, including MMK 50/share in FY2024, reflecting consistent cash generation from MJTD even in challenging macro environments.</w:t>
      </w:r>
    </w:p>
    <w:p>
      <w:pPr>
        <w:spacing w:after="60" w:before="40"/>
        <w:jc w:val="left"/>
      </w:pPr>
      <w:r>
        <w:rPr>
          <w:rFonts w:ascii="Calibri" w:cs="Calibri" w:eastAsia="Calibri" w:hAnsi="Calibri"/>
          <w:color w:val="000000"/>
          <w:sz w:val="20"/>
          <w:szCs w:val="20"/>
        </w:rPr>
        <w:t xml:space="preserve"/>
      </w:r>
    </w:p>
    <w:p>
      <w:pPr>
        <w:spacing w:after="40" w:before="220"/>
        <w:jc w:val="left"/>
      </w:pPr>
      <w:r>
        <w:rPr>
          <w:rFonts w:ascii="Calibri" w:cs="Calibri" w:eastAsia="Calibri" w:hAnsi="Calibri"/>
          <w:b/>
          <w:bCs/>
          <w:color w:val="1B3A5C"/>
          <w:sz w:val="22"/>
          <w:szCs w:val="22"/>
        </w:rPr>
        <w:t xml:space="preserve">7.  KEY RISKS</w:t>
      </w:r>
    </w:p>
    <w:p>
      <w:pPr>
        <w:pBdr>
          <w:bottom w:val="single" w:color="B8972A" w:sz="8" w:space="1"/>
        </w:pBdr>
        <w:spacing w:after="80" w:before="0"/>
        <w:jc w:val="left"/>
      </w:pPr>
      <w:r>
        <w:rPr>
          <w:rFonts w:ascii="Calibri" w:cs="Calibri" w:eastAsia="Calibri" w:hAnsi="Calibri"/>
          <w:color w:val="000000"/>
          <w:sz w:val="20"/>
          <w:szCs w:val="20"/>
        </w:rPr>
        <w:t xml:space="preserve"/>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604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center"/>
            </w:pPr>
            <w:r>
              <w:rPr>
                <w:rFonts w:ascii="Calibri" w:cs="Calibri" w:eastAsia="Calibri" w:hAnsi="Calibri"/>
                <w:b/>
                <w:bCs/>
                <w:color w:val="FFFFFF"/>
                <w:sz w:val="18"/>
                <w:szCs w:val="18"/>
              </w:rPr>
              <w:t xml:space="preserve">Risk Level</w:t>
            </w:r>
          </w:p>
        </w:tc>
        <w:tc>
          <w:tcPr>
            <w:tcW w:type="dxa" w:w="28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left"/>
            </w:pPr>
            <w:r>
              <w:rPr>
                <w:rFonts w:ascii="Calibri" w:cs="Calibri" w:eastAsia="Calibri" w:hAnsi="Calibri"/>
                <w:b/>
                <w:bCs/>
                <w:color w:val="FFFFFF"/>
                <w:sz w:val="18"/>
                <w:szCs w:val="18"/>
              </w:rPr>
              <w:t xml:space="preserve">Risk Factor</w:t>
            </w:r>
          </w:p>
        </w:tc>
        <w:tc>
          <w:tcPr>
            <w:tcW w:type="dxa" w:w="604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20"/>
            </w:tcMar>
            <w:vAlign w:val="center"/>
          </w:tcPr>
          <w:p>
            <w:pPr>
              <w:spacing w:after="0" w:before="0"/>
              <w:jc w:val="left"/>
            </w:pPr>
            <w:r>
              <w:rPr>
                <w:rFonts w:ascii="Calibri" w:cs="Calibri" w:eastAsia="Calibri" w:hAnsi="Calibri"/>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bCs/>
                <w:color w:val="B01C1C"/>
                <w:sz w:val="17"/>
                <w:szCs w:val="17"/>
              </w:rPr>
              <w:t xml:space="preserve">HIGH</w:t>
            </w:r>
          </w:p>
        </w:tc>
        <w:tc>
          <w:tcPr>
            <w:tcW w:type="dxa" w:w="28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Political &amp; Regulatory Risk</w:t>
            </w:r>
          </w:p>
        </w:tc>
        <w:tc>
          <w:tcPr>
            <w:tcW w:type="dxa" w:w="604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both"/>
            </w:pPr>
            <w:r>
              <w:rPr>
                <w:rFonts w:ascii="Calibri" w:cs="Calibri" w:eastAsia="Calibri" w:hAnsi="Calibri"/>
                <w:color w:val="000000"/>
                <w:sz w:val="18"/>
                <w:szCs w:val="18"/>
              </w:rPr>
              <w:t xml:space="preserve">Myanmar's post-2021 political situation introduces uncertainty around FDI flows, rule of law, and business continuity. Geopolitical sanctions and diplomatic isolation could deter new foreign tenants.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b/>
                <w:bCs/>
                <w:color w:val="B01C1C"/>
                <w:sz w:val="17"/>
                <w:szCs w:val="17"/>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FDI Slowdown Risk</w:t>
            </w:r>
          </w:p>
        </w:tc>
        <w:tc>
          <w:tcPr>
            <w:tcW w:type="dxa" w:w="6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both"/>
            </w:pPr>
            <w:r>
              <w:rPr>
                <w:rFonts w:ascii="Calibri" w:cs="Calibri" w:eastAsia="Calibri" w:hAnsi="Calibri"/>
                <w:color w:val="000000"/>
                <w:sz w:val="18"/>
                <w:szCs w:val="18"/>
              </w:rPr>
              <w:t xml:space="preserve">Prolonged instability may cause multinational companies to redirect manufacturing FDI to Vietnam, Thailand, or Indonesia — reducing new tenant signings in Zone B and compressing MJTD's dividend capacity.</w:t>
            </w:r>
          </w:p>
        </w:tc>
      </w:tr>
      <w:tr>
        <w:tc>
          <w:tcPr>
            <w:tcW w:type="dxa" w:w="14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bCs/>
                <w:color w:val="B06A00"/>
                <w:sz w:val="17"/>
                <w:szCs w:val="17"/>
              </w:rPr>
              <w:t xml:space="preserve">MODERATE</w:t>
            </w:r>
          </w:p>
        </w:tc>
        <w:tc>
          <w:tcPr>
            <w:tcW w:type="dxa" w:w="28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Currency &amp; Inflation Risk</w:t>
            </w:r>
          </w:p>
        </w:tc>
        <w:tc>
          <w:tcPr>
            <w:tcW w:type="dxa" w:w="604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both"/>
            </w:pPr>
            <w:r>
              <w:rPr>
                <w:rFonts w:ascii="Calibri" w:cs="Calibri" w:eastAsia="Calibri" w:hAnsi="Calibri"/>
                <w:color w:val="000000"/>
                <w:sz w:val="18"/>
                <w:szCs w:val="18"/>
              </w:rPr>
              <w:t xml:space="preserve">MMK depreciation erodes USD-equivalent returns for foreign investors. High domestic inflation increases operating costs for SEZ tenants, potentially reducing Zone B absorption rates.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b/>
                <w:bCs/>
                <w:color w:val="B06A00"/>
                <w:sz w:val="17"/>
                <w:szCs w:val="17"/>
              </w:rPr>
              <w:t xml:space="preserve">MODERATE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Liquidity Risk (YSX)</w:t>
            </w:r>
          </w:p>
        </w:tc>
        <w:tc>
          <w:tcPr>
            <w:tcW w:type="dxa" w:w="6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both"/>
            </w:pPr>
            <w:r>
              <w:rPr>
                <w:rFonts w:ascii="Calibri" w:cs="Calibri" w:eastAsia="Calibri" w:hAnsi="Calibri"/>
                <w:color w:val="000000"/>
                <w:sz w:val="18"/>
                <w:szCs w:val="18"/>
              </w:rPr>
              <w:t xml:space="preserve">The YSX is one of Asia's least liquid stock markets. MTSH, despite being the most actively traded YSX stock, has thin daily volumes. Large positions may be difficult to exit without significant price impact.</w:t>
            </w:r>
          </w:p>
        </w:tc>
      </w:tr>
      <w:tr>
        <w:tc>
          <w:tcPr>
            <w:tcW w:type="dxa" w:w="14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center"/>
            </w:pPr>
            <w:r>
              <w:rPr>
                <w:rFonts w:ascii="Calibri" w:cs="Calibri" w:eastAsia="Calibri" w:hAnsi="Calibri"/>
                <w:b/>
                <w:bCs/>
                <w:color w:val="B06A00"/>
                <w:sz w:val="17"/>
                <w:szCs w:val="17"/>
              </w:rPr>
              <w:t xml:space="preserve">MODERATE</w:t>
            </w:r>
          </w:p>
        </w:tc>
        <w:tc>
          <w:tcPr>
            <w:tcW w:type="dxa" w:w="280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Zone B Execution Risk</w:t>
            </w:r>
          </w:p>
        </w:tc>
        <w:tc>
          <w:tcPr>
            <w:tcW w:type="dxa" w:w="6040"/>
            <w:tcBorders>
              <w:top w:val="single" w:color="CCCCCC" w:sz="1"/>
              <w:left w:val="single" w:color="CCCCCC" w:sz="1"/>
              <w:bottom w:val="single" w:color="CCCCCC" w:sz="1"/>
              <w:right w:val="single" w:color="CCCCCC" w:sz="1"/>
            </w:tcBorders>
            <w:shd w:fill="EAF3FB" w:val="clear"/>
            <w:tcMar>
              <w:top w:type="dxa" w:w="70"/>
              <w:left w:type="dxa" w:w="120"/>
              <w:bottom w:type="dxa" w:w="70"/>
              <w:right w:type="dxa" w:w="120"/>
            </w:tcMar>
            <w:vAlign w:val="center"/>
          </w:tcPr>
          <w:p>
            <w:pPr>
              <w:spacing w:after="0" w:before="0"/>
              <w:jc w:val="both"/>
            </w:pPr>
            <w:r>
              <w:rPr>
                <w:rFonts w:ascii="Calibri" w:cs="Calibri" w:eastAsia="Calibri" w:hAnsi="Calibri"/>
                <w:color w:val="000000"/>
                <w:sz w:val="18"/>
                <w:szCs w:val="18"/>
              </w:rPr>
              <w:t xml:space="preserve">Zone B development involves land compensation negotiations, EIA approvals, and infrastructure construction. Delays in these processes could defer Zone B income beyond our forecast period.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center"/>
            </w:pPr>
            <w:r>
              <w:rPr>
                <w:rFonts w:ascii="Calibri" w:cs="Calibri" w:eastAsia="Calibri" w:hAnsi="Calibri"/>
                <w:b/>
                <w:bCs/>
                <w:color w:val="1A6B3C"/>
                <w:sz w:val="17"/>
                <w:szCs w:val="17"/>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left"/>
            </w:pPr>
            <w:r>
              <w:rPr>
                <w:rFonts w:ascii="Calibri" w:cs="Calibri" w:eastAsia="Calibri" w:hAnsi="Calibri"/>
                <w:b/>
                <w:bCs/>
                <w:color w:val="1B3A5C"/>
                <w:sz w:val="18"/>
                <w:szCs w:val="18"/>
              </w:rPr>
              <w:t xml:space="preserve">Japanese Partner Risk</w:t>
            </w:r>
          </w:p>
        </w:tc>
        <w:tc>
          <w:tcPr>
            <w:tcW w:type="dxa" w:w="6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0" w:before="0"/>
              <w:jc w:val="both"/>
            </w:pPr>
            <w:r>
              <w:rPr>
                <w:rFonts w:ascii="Calibri" w:cs="Calibri" w:eastAsia="Calibri" w:hAnsi="Calibri"/>
                <w:color w:val="000000"/>
                <w:sz w:val="18"/>
                <w:szCs w:val="18"/>
              </w:rPr>
              <w:t xml:space="preserve">MMS Thilawa Development (Mitsubishi, Marubeni, Sumitomo) holds 39% in MJTD. A strategic shift by any Japanese anchor partner away from Myanmar would have material long-term implications for MTSH's asset value.</w:t>
            </w:r>
          </w:p>
        </w:tc>
      </w:tr>
    </w:tbl>
    <w:p>
      <w:pPr>
        <w:spacing w:after="60" w:before="60"/>
        <w:jc w:val="left"/>
      </w:pPr>
      <w:r>
        <w:rPr>
          <w:rFonts w:ascii="Calibri" w:cs="Calibri" w:eastAsia="Calibri" w:hAnsi="Calibri"/>
          <w:color w:val="000000"/>
          <w:sz w:val="20"/>
          <w:szCs w:val="20"/>
        </w:rPr>
        <w:t xml:space="preserve"/>
      </w:r>
    </w:p>
    <w:p>
      <w:pPr>
        <w:spacing w:after="40" w:before="220"/>
        <w:jc w:val="left"/>
      </w:pPr>
      <w:r>
        <w:rPr>
          <w:rFonts w:ascii="Calibri" w:cs="Calibri" w:eastAsia="Calibri" w:hAnsi="Calibri"/>
          <w:b/>
          <w:bCs/>
          <w:color w:val="1B3A5C"/>
          <w:sz w:val="22"/>
          <w:szCs w:val="22"/>
        </w:rPr>
        <w:t xml:space="preserve">8.  RECOMMENDATION SUMMARY</w:t>
      </w:r>
    </w:p>
    <w:p>
      <w:pPr>
        <w:pBdr>
          <w:bottom w:val="single" w:color="B8972A" w:sz="8" w:space="1"/>
        </w:pBdr>
        <w:spacing w:after="80" w:before="0"/>
        <w:jc w:val="left"/>
      </w:pPr>
      <w:r>
        <w:rPr>
          <w:rFonts w:ascii="Calibri" w:cs="Calibri" w:eastAsia="Calibri" w:hAnsi="Calibri"/>
          <w:color w:val="000000"/>
          <w:sz w:val="20"/>
          <w:szCs w:val="20"/>
        </w:rPr>
        <w:t xml:space="preserve"/>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60"/>
        <w:gridCol w:w="2560"/>
        <w:gridCol w:w="2560"/>
        <w:gridCol w:w="2560"/>
      </w:tblGrid>
      <w:tr>
        <w:tc>
          <w:tcPr>
            <w:tcW w:type="dxa" w:w="2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vAlign w:val="center"/>
          </w:tcPr>
          <w:p>
            <w:pPr>
              <w:spacing w:after="20" w:before="60"/>
              <w:jc w:val="center"/>
            </w:pPr>
            <w:r>
              <w:rPr>
                <w:rFonts w:ascii="Calibri" w:cs="Calibri" w:eastAsia="Calibri" w:hAnsi="Calibri"/>
                <w:color w:val="666666"/>
                <w:sz w:val="16"/>
                <w:szCs w:val="16"/>
              </w:rPr>
              <w:t xml:space="preserve">Rating</w:t>
            </w:r>
          </w:p>
          <w:p>
            <w:pPr>
              <w:spacing w:after="60" w:before="0"/>
              <w:jc w:val="center"/>
            </w:pPr>
            <w:r>
              <w:rPr>
                <w:rFonts w:ascii="Calibri" w:cs="Calibri" w:eastAsia="Calibri" w:hAnsi="Calibri"/>
                <w:b/>
                <w:bCs/>
                <w:color w:val="1A6B3C"/>
                <w:sz w:val="24"/>
                <w:szCs w:val="24"/>
              </w:rPr>
              <w:t xml:space="preserve">BUY</w:t>
            </w:r>
          </w:p>
        </w:tc>
        <w:tc>
          <w:tcPr>
            <w:tcW w:type="dxa" w:w="2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vAlign w:val="center"/>
          </w:tcPr>
          <w:p>
            <w:pPr>
              <w:spacing w:after="20" w:before="60"/>
              <w:jc w:val="center"/>
            </w:pPr>
            <w:r>
              <w:rPr>
                <w:rFonts w:ascii="Calibri" w:cs="Calibri" w:eastAsia="Calibri" w:hAnsi="Calibri"/>
                <w:color w:val="666666"/>
                <w:sz w:val="16"/>
                <w:szCs w:val="16"/>
              </w:rPr>
              <w:t xml:space="preserve">12-Month Price Target</w:t>
            </w:r>
          </w:p>
          <w:p>
            <w:pPr>
              <w:spacing w:after="60" w:before="0"/>
              <w:jc w:val="center"/>
            </w:pPr>
            <w:r>
              <w:rPr>
                <w:rFonts w:ascii="Calibri" w:cs="Calibri" w:eastAsia="Calibri" w:hAnsi="Calibri"/>
                <w:b/>
                <w:bCs/>
                <w:color w:val="1B3A5C"/>
                <w:sz w:val="24"/>
                <w:szCs w:val="24"/>
              </w:rPr>
              <w:t xml:space="preserve">MMK 3,800</w:t>
            </w:r>
          </w:p>
        </w:tc>
        <w:tc>
          <w:tcPr>
            <w:tcW w:type="dxa" w:w="2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vAlign w:val="center"/>
          </w:tcPr>
          <w:p>
            <w:pPr>
              <w:spacing w:after="20" w:before="60"/>
              <w:jc w:val="center"/>
            </w:pPr>
            <w:r>
              <w:rPr>
                <w:rFonts w:ascii="Calibri" w:cs="Calibri" w:eastAsia="Calibri" w:hAnsi="Calibri"/>
                <w:color w:val="666666"/>
                <w:sz w:val="16"/>
                <w:szCs w:val="16"/>
              </w:rPr>
              <w:t xml:space="preserve">Current Price (est.)</w:t>
            </w:r>
          </w:p>
          <w:p>
            <w:pPr>
              <w:spacing w:after="60" w:before="0"/>
              <w:jc w:val="center"/>
            </w:pPr>
            <w:r>
              <w:rPr>
                <w:rFonts w:ascii="Calibri" w:cs="Calibri" w:eastAsia="Calibri" w:hAnsi="Calibri"/>
                <w:b/>
                <w:bCs/>
                <w:color w:val="666666"/>
                <w:sz w:val="24"/>
                <w:szCs w:val="24"/>
              </w:rPr>
              <w:t xml:space="preserve">MMK ~3,200</w:t>
            </w:r>
          </w:p>
        </w:tc>
        <w:tc>
          <w:tcPr>
            <w:tcW w:type="dxa" w:w="2560"/>
            <w:tcBorders>
              <w:top w:val="single" w:color="CCCCCC" w:sz="1"/>
              <w:left w:val="single" w:color="CCCCCC" w:sz="1"/>
              <w:bottom w:val="single" w:color="CCCCCC" w:sz="1"/>
              <w:right w:val="single" w:color="CCCCCC" w:sz="1"/>
            </w:tcBorders>
            <w:shd w:fill="F2F4F7" w:val="clear"/>
            <w:tcMar>
              <w:top w:type="dxa" w:w="70"/>
              <w:left w:type="dxa" w:w="120"/>
              <w:bottom w:type="dxa" w:w="70"/>
              <w:right w:type="dxa" w:w="120"/>
            </w:tcMar>
            <w:vAlign w:val="center"/>
          </w:tcPr>
          <w:p>
            <w:pPr>
              <w:spacing w:after="20" w:before="60"/>
              <w:jc w:val="center"/>
            </w:pPr>
            <w:r>
              <w:rPr>
                <w:rFonts w:ascii="Calibri" w:cs="Calibri" w:eastAsia="Calibri" w:hAnsi="Calibri"/>
                <w:color w:val="666666"/>
                <w:sz w:val="16"/>
                <w:szCs w:val="16"/>
              </w:rPr>
              <w:t xml:space="preserve">Implied Upside</w:t>
            </w:r>
          </w:p>
          <w:p>
            <w:pPr>
              <w:spacing w:after="60" w:before="0"/>
              <w:jc w:val="center"/>
            </w:pPr>
            <w:r>
              <w:rPr>
                <w:rFonts w:ascii="Calibri" w:cs="Calibri" w:eastAsia="Calibri" w:hAnsi="Calibri"/>
                <w:b/>
                <w:bCs/>
                <w:color w:val="1A6B3C"/>
                <w:sz w:val="24"/>
                <w:szCs w:val="24"/>
              </w:rPr>
              <w:t xml:space="preserve">+18.8%</w:t>
            </w:r>
          </w:p>
        </w:tc>
      </w:tr>
    </w:tbl>
    <w:p>
      <w:pPr>
        <w:spacing w:after="40" w:before="60"/>
        <w:jc w:val="left"/>
      </w:pPr>
      <w:r>
        <w:rPr>
          <w:rFonts w:ascii="Calibri" w:cs="Calibri" w:eastAsia="Calibri" w:hAnsi="Calibri"/>
          <w:color w:val="000000"/>
          <w:sz w:val="20"/>
          <w:szCs w:val="20"/>
        </w:rPr>
        <w:t xml:space="preserve"/>
      </w:r>
    </w:p>
    <w:p>
      <w:pPr>
        <w:spacing w:after="80" w:before="60"/>
        <w:jc w:val="both"/>
      </w:pPr>
      <w:r>
        <w:rPr>
          <w:rFonts w:ascii="Calibri" w:cs="Calibri" w:eastAsia="Calibri" w:hAnsi="Calibri"/>
          <w:color w:val="000000"/>
          <w:sz w:val="19"/>
          <w:szCs w:val="19"/>
        </w:rPr>
        <w:t xml:space="preserve">MTSH represents a unique and illiquid opportunity to gain listed-market exposure to Myanmar's sole international-standard SEZ. The company's irreplaceable physical asset — Thilawa's 2,500+ hectare Japan-backed industrial zone — combined with a consistent dividend track record, captive Zone B growth pipeline, and JICA/Japanese government institutional backing justify a premium to NAV. Our BUY recommendation is premised on political risk normalization over the 12-month horizon enabling progressive Zone B leasing acceleration. Investors with higher risk tolerance and a 3–5 year horizon may find MTSH's current valuation compelling as a Myanmar economic recovery proxy.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B01C1C" w:sz="6" w:space="1"/>
              <w:left w:val="single" w:color="B01C1C" w:sz="6" w:space="1"/>
              <w:bottom w:val="single" w:color="B01C1C" w:sz="6" w:space="1"/>
              <w:right w:val="single" w:color="B01C1C" w:sz="6" w:space="1"/>
            </w:tcBorders>
            <w:shd w:fill="FFF3F3" w:val="clear"/>
            <w:tcMar>
              <w:top w:type="dxa" w:w="120"/>
              <w:left w:type="dxa" w:w="180"/>
              <w:bottom w:type="dxa" w:w="120"/>
              <w:right w:type="dxa" w:w="180"/>
            </w:tcMar>
            <w:vAlign w:val="center"/>
          </w:tcPr>
          <w:p>
            <w:pPr>
              <w:spacing w:after="30" w:before="60"/>
              <w:jc w:val="left"/>
            </w:pPr>
            <w:r>
              <w:rPr>
                <w:rFonts w:ascii="Calibri" w:cs="Calibri" w:eastAsia="Calibri" w:hAnsi="Calibri"/>
                <w:b/>
                <w:bCs/>
                <w:color w:val="B01C1C"/>
                <w:sz w:val="17"/>
                <w:szCs w:val="17"/>
              </w:rPr>
              <w:t xml:space="preserve">IMPORTANT DISCLAIMERS</w:t>
            </w:r>
          </w:p>
          <w:p>
            <w:pPr>
              <w:spacing w:after="60" w:before="0"/>
              <w:jc w:val="both"/>
            </w:pPr>
            <w:r>
              <w:rPr>
                <w:rFonts w:ascii="Calibri" w:cs="Calibri" w:eastAsia="Calibri" w:hAnsi="Calibri"/>
                <w:color w:val="000000"/>
                <w:sz w:val="17"/>
                <w:szCs w:val="17"/>
              </w:rPr>
              <w:t xml:space="preserve">This equity research report has been prepared by Aung Khant Zaw solely for educational and portfolio demonstration purposes. It does not constitute investment advice, a solicitation, or an offer to buy or sell any security. All financial data, share prices, and valuation multiples are approximate estimates and must be verified against MTSH's official annual reports published on the Yangon Stock Exchange website (ysx-mm.com) and Myanmar Securities Exchange Centre (MSEC). Past financial performance is not indicative of future results. Investing in YSX-listed securities carries significant liquidity, political, and currency risks. This report is not registered with or approved by any regulatory authority.</w:t>
            </w:r>
          </w:p>
        </w:tc>
      </w:tr>
    </w:tbl>
    <w:sectPr>
      <w:headerReference w:type="default" r:id="rId7"/>
      <w:footerReference w:type="default" r:id="rId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1"/>
      </w:pBdr>
      <w:spacing w:after="0" w:before="0"/>
      <w:jc w:val="left"/>
    </w:pPr>
    <w:r>
      <w:rPr>
        <w:rFonts w:ascii="Calibri" w:cs="Calibri" w:eastAsia="Calibri" w:hAnsi="Calibri"/>
        <w:color w:val="000000"/>
        <w:sz w:val="20"/>
        <w:szCs w:val="20"/>
      </w:rPr>
      <w:t xml:space="preserve"/>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6500"/>
      <w:gridCol w:w="3740"/>
    </w:tblGrid>
    <w:tr>
      <w:tc>
        <w:tcPr>
          <w:tcW w:type="dxa" w:w="6500"/>
          <w:tcBorders>
            <w:top w:val="none" w:color="FFFFFF" w:sz="0"/>
            <w:left w:val="none" w:color="FFFFFF" w:sz="0"/>
            <w:bottom w:val="none" w:color="FFFFFF" w:sz="0"/>
            <w:right w:val="none" w:color="FFFFFF" w:sz="0"/>
          </w:tcBorders>
          <w:tcMar>
            <w:top w:type="dxa" w:w="40"/>
            <w:left w:type="dxa" w:w="0"/>
            <w:bottom w:type="dxa" w:w="40"/>
            <w:right w:type="dxa" w:w="60"/>
          </w:tcMar>
          <w:vAlign w:val="center"/>
        </w:tcPr>
        <w:p>
          <w:pPr>
            <w:spacing w:after="0" w:before="0"/>
            <w:jc w:val="left"/>
          </w:pPr>
          <w:r>
            <w:rPr>
              <w:rFonts w:ascii="Calibri" w:cs="Calibri" w:eastAsia="Calibri" w:hAnsi="Calibri"/>
              <w:i/>
              <w:iCs/>
              <w:color w:val="666666"/>
              <w:sz w:val="15"/>
              <w:szCs w:val="15"/>
            </w:rPr>
            <w:t xml:space="preserve">DISCLAIMER: This report is produced for educational and portfolio demonstration purposes only. All financial data are approximate estimates — verify from YSX disclosures before investment decisions.</w:t>
          </w:r>
        </w:p>
      </w:tc>
      <w:tc>
        <w:tcPr>
          <w:tcW w:type="dxa" w:w="3740"/>
          <w:tcBorders>
            <w:top w:val="none" w:color="FFFFFF" w:sz="0"/>
            <w:left w:val="none" w:color="FFFFFF" w:sz="0"/>
            <w:bottom w:val="none" w:color="FFFFFF" w:sz="0"/>
            <w:right w:val="none" w:color="FFFFFF" w:sz="0"/>
          </w:tcBorders>
          <w:tcMar>
            <w:top w:type="dxa" w:w="40"/>
            <w:left w:type="dxa" w:w="60"/>
            <w:bottom w:type="dxa" w:w="40"/>
            <w:right w:type="dxa" w:w="0"/>
          </w:tcMar>
          <w:vAlign w:val="center"/>
        </w:tcPr>
        <w:p>
          <w:pPr>
            <w:spacing w:after="0" w:before="0"/>
            <w:jc w:val="right"/>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520"/>
      <w:gridCol w:w="4720"/>
    </w:tblGrid>
    <w:tr>
      <w:tc>
        <w:tcPr>
          <w:tcW w:type="dxa" w:w="5520"/>
          <w:tcBorders>
            <w:top w:val="none" w:color="FFFFFF" w:sz="0"/>
            <w:left w:val="none" w:color="FFFFFF" w:sz="0"/>
            <w:bottom w:val="none" w:color="FFFFFF" w:sz="0"/>
            <w:right w:val="none" w:color="FFFFFF" w:sz="0"/>
          </w:tcBorders>
          <w:tcMar>
            <w:top w:type="dxa" w:w="60"/>
            <w:left w:type="dxa" w:w="0"/>
            <w:bottom w:type="dxa" w:w="60"/>
            <w:right w:type="dxa" w:w="60"/>
          </w:tcMar>
          <w:vAlign w:val="center"/>
        </w:tcPr>
        <w:p>
          <w:pPr>
            <w:spacing w:after="0" w:before="0"/>
            <w:jc w:val="left"/>
          </w:pPr>
          <w:r>
            <w:rPr>
              <w:rFonts w:ascii="Calibri" w:cs="Calibri" w:eastAsia="Calibri" w:hAnsi="Calibri"/>
              <w:b/>
              <w:bCs/>
              <w:color w:val="1B3A5C"/>
              <w:sz w:val="17"/>
              <w:szCs w:val="17"/>
            </w:rPr>
            <w:t xml:space="preserve">EQUITY RESEARCH</w:t>
          </w:r>
          <w:r>
            <w:rPr>
              <w:rFonts w:ascii="Calibri" w:cs="Calibri" w:eastAsia="Calibri" w:hAnsi="Calibri"/>
              <w:color w:val="666666"/>
              <w:sz w:val="16"/>
              <w:szCs w:val="16"/>
            </w:rPr>
            <w:t xml:space="preserve">  |  Myanmar Capital Markets</w:t>
          </w:r>
        </w:p>
      </w:tc>
      <w:tc>
        <w:tcPr>
          <w:tcW w:type="dxa" w:w="4720"/>
          <w:tcBorders>
            <w:top w:val="none" w:color="FFFFFF" w:sz="0"/>
            <w:left w:val="none" w:color="FFFFFF" w:sz="0"/>
            <w:bottom w:val="none" w:color="FFFFFF" w:sz="0"/>
            <w:right w:val="none" w:color="FFFFFF" w:sz="0"/>
          </w:tcBorders>
          <w:tcMar>
            <w:top w:type="dxa" w:w="60"/>
            <w:left w:type="dxa" w:w="60"/>
            <w:bottom w:type="dxa" w:w="60"/>
            <w:right w:type="dxa" w:w="0"/>
          </w:tcMar>
          <w:vAlign w:val="center"/>
        </w:tcPr>
        <w:p>
          <w:pPr>
            <w:spacing w:after="0" w:before="0"/>
            <w:jc w:val="right"/>
          </w:pPr>
          <w:r>
            <w:rPr>
              <w:rFonts w:ascii="Calibri" w:cs="Calibri" w:eastAsia="Calibri" w:hAnsi="Calibri"/>
              <w:i/>
              <w:iCs/>
              <w:color w:val="666666"/>
              <w:sz w:val="16"/>
              <w:szCs w:val="16"/>
            </w:rPr>
            <w:t xml:space="preserve">Aung Khant Zaw  |  Junior Analyst</w:t>
          </w:r>
        </w:p>
      </w:tc>
    </w:tr>
  </w:tbl>
  <w:p>
    <w:pPr>
      <w:pBdr>
        <w:bottom w:val="single" w:color="B8972A" w:sz="6" w:space="1"/>
      </w:pBdr>
      <w:spacing w:after="0" w:before="0"/>
      <w:jc w:val="left"/>
    </w:pPr>
    <w:r>
      <w:rPr>
        <w:rFonts w:ascii="Calibri" w:cs="Calibri" w:eastAsia="Calibri" w:hAnsi="Calibri"/>
        <w:color w:val="000000"/>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2026-04-30T00:09:22.750Z</dcterms:created>
  <dcterms:modified xsi:type="dcterms:W3CDTF">2026-04-30T00:09:22.751Z</dcterms:modified>
</cp:coreProperties>
</file>

<file path=docProps/custom.xml><?xml version="1.0" encoding="utf-8"?>
<Properties xmlns="http://schemas.openxmlformats.org/officeDocument/2006/custom-properties" xmlns:vt="http://schemas.openxmlformats.org/officeDocument/2006/docPropsVTypes"/>
</file>