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Times New Roman" w:cs="Times New Roman" w:eastAsia="Times New Roman" w:hAnsi="Times New Roman"/>
          <w:b/>
          <w:bCs/>
          <w:sz w:val="34"/>
          <w:szCs w:val="34"/>
        </w:rPr>
        <w:t xml:space="preserve">No Model Wins Everything: A Multi-Objective Evaluation of a Nested Hybrid Movie Recommender</w:t>
      </w:r>
    </w:p>
    <w:p>
      <w:pPr>
        <w:spacing w:after="40"/>
        <w:jc w:val="center"/>
      </w:pPr>
      <w:r>
        <w:rPr>
          <w:rFonts w:ascii="Times New Roman" w:cs="Times New Roman" w:eastAsia="Times New Roman" w:hAnsi="Times New Roman"/>
          <w:sz w:val="22"/>
          <w:szCs w:val="22"/>
        </w:rPr>
        <w:t xml:space="preserve">Aung Kyaw Zay Ya</w:t>
      </w:r>
    </w:p>
    <w:p>
      <w:pPr>
        <w:spacing w:after="40"/>
        <w:jc w:val="center"/>
      </w:pPr>
      <w:r>
        <w:rPr>
          <w:rFonts w:ascii="Times New Roman" w:cs="Times New Roman" w:eastAsia="Times New Roman" w:hAnsi="Times New Roman"/>
          <w:sz w:val="20"/>
          <w:szCs w:val="20"/>
        </w:rPr>
        <w:t xml:space="preserve">AUT ID 24265298</w:t>
      </w:r>
    </w:p>
    <w:p>
      <w:pPr>
        <w:spacing w:after="260"/>
        <w:jc w:val="center"/>
      </w:pPr>
      <w:r>
        <w:rPr>
          <w:rFonts w:ascii="Times New Roman" w:cs="Times New Roman" w:eastAsia="Times New Roman" w:hAnsi="Times New Roman"/>
          <w:i/>
          <w:iCs/>
          <w:sz w:val="19"/>
          <w:szCs w:val="19"/>
        </w:rPr>
        <w:t xml:space="preserve">School of Engineering, Computer and Mathematical Sciences, Auckland University of Technology</w:t>
      </w:r>
    </w:p>
    <w:p>
      <w:pPr>
        <w:pBdr>
          <w:top w:val="single" w:color="E8CB8A" w:sz="2" w:space="3"/>
          <w:bottom w:val="single" w:color="E8CB8A" w:sz="2" w:space="3"/>
          <w:left w:val="single" w:color="D89B0C" w:sz="18" w:space="6"/>
          <w:right w:val="single" w:color="E8CB8A" w:sz="2" w:space="3"/>
        </w:pBdr>
        <w:shd w:fill="FFF3D6" w:val="clear"/>
        <w:spacing w:after="130" w:before="90" w:line="260"/>
      </w:pPr>
      <w:r>
        <w:rPr>
          <w:rFonts w:ascii="Times New Roman" w:cs="Times New Roman" w:eastAsia="Times New Roman" w:hAnsi="Times New Roman"/>
          <w:b/>
          <w:bCs/>
          <w:color w:val="8A6208"/>
          <w:sz w:val="18"/>
          <w:szCs w:val="18"/>
        </w:rPr>
        <w:t xml:space="preserve">TODO  </w:t>
      </w:r>
      <w:r>
        <w:rPr>
          <w:rFonts w:ascii="Times New Roman" w:cs="Times New Roman" w:eastAsia="Times New Roman" w:hAnsi="Times New Roman"/>
          <w:color w:val="5C4406"/>
          <w:sz w:val="18"/>
          <w:szCs w:val="18"/>
        </w:rPr>
        <w:t xml:space="preserve">Confirm the title. It states the finding, which CS231n/CVPR reports usually do, but pick whatever you are happiest defending in the video.</w:t>
      </w:r>
    </w:p>
    <w:p>
      <w:pPr>
        <w:pStyle w:val="Heading1"/>
        <w:spacing w:after="140" w:before="300"/>
      </w:pPr>
      <w:r>
        <w:rPr>
          <w:rFonts w:ascii="Times New Roman" w:cs="Times New Roman" w:eastAsia="Times New Roman" w:hAnsi="Times New Roman"/>
          <w:b/>
          <w:bCs/>
          <w:color w:val="000000"/>
          <w:sz w:val="26"/>
          <w:szCs w:val="26"/>
        </w:rPr>
        <w:t xml:space="preserve">Abstract</w:t>
      </w:r>
    </w:p>
    <w:p>
      <w:pPr>
        <w:spacing w:after="120" w:line="260"/>
        <w:jc w:val="both"/>
      </w:pPr>
      <w:r>
        <w:rPr>
          <w:rFonts w:ascii="Times New Roman" w:cs="Times New Roman" w:eastAsia="Times New Roman" w:hAnsi="Times New Roman"/>
          <w:sz w:val="20"/>
          <w:szCs w:val="20"/>
        </w:rPr>
        <w:t xml:space="preserve">Recommender systems are usually reported with a single headline number, and the choice of that number decides which system looks best. This project builds seven movie recommenders on MovieLens ml-latest-small and evaluates all of them on one held-out split under five families of measure: rating error, ranking quality, catalogue coverage, beyond-accuracy quality (novelty and serendipity), and cold-start reach. The models are a damped-bias SVD, an item-based autoencoder (I-AutoRec), a TF-IDF content model over TMDB plot overviews, three hybrid compositions of those, and a non-personalized Most-Popular baseline. The central result is that no model wins everything: across six measures, three different models hold the six titles. I-AutoRec attains the lowest rating error (RMSE 0.8517) while recommending from 0.6% of the catalogue, a figure identical to the non-personalized baseline's, and its novelty of 1.86 sits nearer that baseline's 1.65 than the 7.13 a uniformly random recommender would score. The content model is the most diverse (24.9% coverage, novelty 6.76, 481 cold-start slots) and the worst ranker (NDCG@10 0.0359). A nested hybrid, a recommender whose first component is itself a hybrid, ranks best (NDCG@10 0.1643). Because a single split cannot separate small differences, the entire comparison is repeated across four splits: eight of ten reported claims hold on every split, while the claim that SVD fails to beat the popularity baseline does not. That paired difference is +0.0012 NDCG@10 and changes sign twice, so collaborative filtering alone is better described as indistinguishable from recommending best-sellers than as worse than it. The weighted hybrids, by contrast, beat plain SVD on every split by +0.0103 ± 0.0019.</w:t>
      </w:r>
    </w:p>
    <w:p>
      <w:pPr>
        <w:pBdr>
          <w:top w:val="single" w:color="E8CB8A" w:sz="2" w:space="3"/>
          <w:bottom w:val="single" w:color="E8CB8A" w:sz="2" w:space="3"/>
          <w:left w:val="single" w:color="D89B0C" w:sz="18" w:space="6"/>
          <w:right w:val="single" w:color="E8CB8A" w:sz="2" w:space="3"/>
        </w:pBdr>
        <w:shd w:fill="FFF3D6" w:val="clear"/>
        <w:spacing w:after="130" w:before="90" w:line="260"/>
      </w:pPr>
      <w:r>
        <w:rPr>
          <w:rFonts w:ascii="Times New Roman" w:cs="Times New Roman" w:eastAsia="Times New Roman" w:hAnsi="Times New Roman"/>
          <w:b/>
          <w:bCs/>
          <w:color w:val="8A6208"/>
          <w:sz w:val="18"/>
          <w:szCs w:val="18"/>
        </w:rPr>
        <w:t xml:space="preserve">TODO  </w:t>
      </w:r>
      <w:r>
        <w:rPr>
          <w:rFonts w:ascii="Times New Roman" w:cs="Times New Roman" w:eastAsia="Times New Roman" w:hAnsi="Times New Roman"/>
          <w:color w:val="5C4406"/>
          <w:sz w:val="18"/>
          <w:szCs w:val="18"/>
        </w:rPr>
        <w:t xml:space="preserve">Word count of the abstract above: about 270. The brief caps it at 300.</w:t>
      </w:r>
    </w:p>
    <w:p>
      <w:pPr>
        <w:pStyle w:val="Heading1"/>
        <w:spacing w:after="140" w:before="300"/>
      </w:pPr>
      <w:r>
        <w:rPr>
          <w:rFonts w:ascii="Times New Roman" w:cs="Times New Roman" w:eastAsia="Times New Roman" w:hAnsi="Times New Roman"/>
          <w:b/>
          <w:bCs/>
          <w:color w:val="000000"/>
          <w:sz w:val="26"/>
          <w:szCs w:val="26"/>
        </w:rPr>
        <w:t xml:space="preserve">1. Introduction</w:t>
      </w:r>
    </w:p>
    <w:p>
      <w:pPr>
        <w:spacing w:after="120" w:line="260"/>
        <w:jc w:val="both"/>
      </w:pPr>
      <w:r>
        <w:rPr>
          <w:rFonts w:ascii="Times New Roman" w:cs="Times New Roman" w:eastAsia="Times New Roman" w:hAnsi="Times New Roman"/>
          <w:sz w:val="20"/>
          <w:szCs w:val="20"/>
        </w:rPr>
        <w:t xml:space="preserve">A catalogue of ten thousand films is larger than any viewer can inspect, so the practical question is not whether to filter it but how. Recommender systems answer that by estimating preference from past interactions and ranking the catalogue accordingly. The research literature has converged on a small set of measures for judging how well they do it — rating error for predicted scores, and precision, recall and normalized discounted cumulative gain for ranked lists — and a system is normally reported by one of them.</w:t>
      </w:r>
    </w:p>
    <w:p>
      <w:pPr>
        <w:spacing w:after="120" w:line="260"/>
        <w:jc w:val="both"/>
      </w:pPr>
      <w:r>
        <w:rPr>
          <w:rFonts w:ascii="Times New Roman" w:cs="Times New Roman" w:eastAsia="Times New Roman" w:hAnsi="Times New Roman"/>
          <w:sz w:val="20"/>
          <w:szCs w:val="20"/>
        </w:rPr>
        <w:t xml:space="preserve">That convention hides something. A model can be made to score well on rating error by predicting confidently on the films almost everyone has already rated, and a ranking metric can only credit a recommendation whose item somebody in the test set happened to rate. Both measures therefore reward concentration on popular items, and neither penalises a system that never recommends anything else. Whether that matters is an empirical question, and it is the question this project asks.</w:t>
      </w:r>
    </w:p>
    <w:p>
      <w:pPr>
        <w:spacing w:after="120" w:line="260"/>
        <w:jc w:val="both"/>
      </w:pPr>
      <w:r>
        <w:rPr>
          <w:rFonts w:ascii="Times New Roman" w:cs="Times New Roman" w:eastAsia="Times New Roman" w:hAnsi="Times New Roman"/>
          <w:b/>
          <w:bCs/>
          <w:sz w:val="20"/>
          <w:szCs w:val="20"/>
        </w:rPr>
        <w:t xml:space="preserve">Research question. </w:t>
      </w:r>
      <w:r>
        <w:rPr>
          <w:rFonts w:ascii="Times New Roman" w:cs="Times New Roman" w:eastAsia="Times New Roman" w:hAnsi="Times New Roman"/>
          <w:sz w:val="20"/>
          <w:szCs w:val="20"/>
        </w:rPr>
        <w:t xml:space="preserve">Can a hybrid recommender improve on its individual components, and does “improve” mean the same thing when quality is measured by accuracy, by catalogue behaviour, and by novelty?</w:t>
      </w:r>
    </w:p>
    <w:p>
      <w:pPr>
        <w:spacing w:after="80" w:line="260"/>
        <w:jc w:val="both"/>
      </w:pPr>
      <w:r>
        <w:rPr>
          <w:rFonts w:ascii="Times New Roman" w:cs="Times New Roman" w:eastAsia="Times New Roman" w:hAnsi="Times New Roman"/>
          <w:sz w:val="20"/>
          <w:szCs w:val="20"/>
        </w:rPr>
        <w:t xml:space="preserve">Four objectives follow from it:</w:t>
      </w:r>
    </w:p>
    <w:p>
      <w:pPr>
        <w:pStyle w:val="ListParagraph"/>
        <w:numPr>
          <w:ilvl w:val="0"/>
          <w:numId w:val="2"/>
        </w:numPr>
        <w:spacing w:after="70" w:line="260"/>
        <w:jc w:val="both"/>
      </w:pPr>
      <w:r>
        <w:rPr>
          <w:rFonts w:ascii="Times New Roman" w:cs="Times New Roman" w:eastAsia="Times New Roman" w:hAnsi="Times New Roman"/>
          <w:sz w:val="20"/>
          <w:szCs w:val="20"/>
        </w:rPr>
        <w:t xml:space="preserve">O1 — Implement and evaluate three recommenders of different families (matrix factorization, deep autoencoder, content-based NLP) on a common split.</w:t>
      </w:r>
    </w:p>
    <w:p>
      <w:pPr>
        <w:pStyle w:val="ListParagraph"/>
        <w:numPr>
          <w:ilvl w:val="0"/>
          <w:numId w:val="2"/>
        </w:numPr>
        <w:spacing w:after="70" w:line="260"/>
        <w:jc w:val="both"/>
      </w:pPr>
      <w:r>
        <w:rPr>
          <w:rFonts w:ascii="Times New Roman" w:cs="Times New Roman" w:eastAsia="Times New Roman" w:hAnsi="Times New Roman"/>
          <w:sz w:val="20"/>
          <w:szCs w:val="20"/>
        </w:rPr>
        <w:t xml:space="preserve">O2 — Compose them into hybrids by weighted blending, switching, and nesting, rather than treating a three-model blend as a new algorithm.</w:t>
      </w:r>
    </w:p>
    <w:p>
      <w:pPr>
        <w:pStyle w:val="ListParagraph"/>
        <w:numPr>
          <w:ilvl w:val="0"/>
          <w:numId w:val="2"/>
        </w:numPr>
        <w:spacing w:after="70" w:line="260"/>
        <w:jc w:val="both"/>
      </w:pPr>
      <w:r>
        <w:rPr>
          <w:rFonts w:ascii="Times New Roman" w:cs="Times New Roman" w:eastAsia="Times New Roman" w:hAnsi="Times New Roman"/>
          <w:sz w:val="20"/>
          <w:szCs w:val="20"/>
        </w:rPr>
        <w:t xml:space="preserve">O3 — Measure all seven systems on the same held-out data under rating error, ranking, coverage, novelty, serendipity, and cold-start reach.</w:t>
      </w:r>
    </w:p>
    <w:p>
      <w:pPr>
        <w:pStyle w:val="ListParagraph"/>
        <w:numPr>
          <w:ilvl w:val="0"/>
          <w:numId w:val="2"/>
        </w:numPr>
        <w:spacing w:after="70" w:line="260"/>
        <w:jc w:val="both"/>
      </w:pPr>
      <w:r>
        <w:rPr>
          <w:rFonts w:ascii="Times New Roman" w:cs="Times New Roman" w:eastAsia="Times New Roman" w:hAnsi="Times New Roman"/>
          <w:sz w:val="20"/>
          <w:szCs w:val="20"/>
        </w:rPr>
        <w:t xml:space="preserve">O4 — Quantify how far the resulting conclusions depend on the particular train/test split they were measured on.</w:t>
      </w:r>
    </w:p>
    <w:p>
      <w:pPr>
        <w:spacing w:after="80" w:line="260"/>
        <w:jc w:val="both"/>
      </w:pPr>
      <w:r>
        <w:rPr>
          <w:rFonts w:ascii="Times New Roman" w:cs="Times New Roman" w:eastAsia="Times New Roman" w:hAnsi="Times New Roman"/>
          <w:sz w:val="20"/>
          <w:szCs w:val="20"/>
        </w:rPr>
        <w:t xml:space="preserve">The contributions are:</w:t>
      </w:r>
    </w:p>
    <w:p>
      <w:pPr>
        <w:pStyle w:val="ListParagraph"/>
        <w:numPr>
          <w:ilvl w:val="0"/>
          <w:numId w:val="3"/>
        </w:numPr>
        <w:spacing w:after="70" w:line="260"/>
        <w:jc w:val="both"/>
      </w:pPr>
      <w:r>
        <w:rPr>
          <w:rFonts w:ascii="Times New Roman" w:cs="Times New Roman" w:eastAsia="Times New Roman" w:hAnsi="Times New Roman"/>
          <w:sz w:val="20"/>
          <w:szCs w:val="20"/>
        </w:rPr>
        <w:t xml:space="preserve">A composable hybrid in which a hybrid is itself a valid component, so a three-model system is a two-line composition rather than a rewrite (Section 4.4).</w:t>
      </w:r>
    </w:p>
    <w:p>
      <w:pPr>
        <w:pStyle w:val="ListParagraph"/>
        <w:numPr>
          <w:ilvl w:val="0"/>
          <w:numId w:val="3"/>
        </w:numPr>
        <w:spacing w:after="70" w:line="260"/>
        <w:jc w:val="both"/>
      </w:pPr>
      <w:r>
        <w:rPr>
          <w:rFonts w:ascii="Times New Roman" w:cs="Times New Roman" w:eastAsia="Times New Roman" w:hAnsi="Times New Roman"/>
          <w:sz w:val="20"/>
          <w:szCs w:val="20"/>
        </w:rPr>
        <w:t xml:space="preserve">A seven-model comparison under five metric families on one split, showing that three different models hold the six available titles (Section 5.5).</w:t>
      </w:r>
    </w:p>
    <w:p>
      <w:pPr>
        <w:pStyle w:val="ListParagraph"/>
        <w:numPr>
          <w:ilvl w:val="0"/>
          <w:numId w:val="3"/>
        </w:numPr>
        <w:spacing w:after="70" w:line="260"/>
        <w:jc w:val="both"/>
      </w:pPr>
      <w:r>
        <w:rPr>
          <w:rFonts w:ascii="Times New Roman" w:cs="Times New Roman" w:eastAsia="Times New Roman" w:hAnsi="Times New Roman"/>
          <w:sz w:val="20"/>
          <w:szCs w:val="20"/>
        </w:rPr>
        <w:t xml:space="preserve">Evidence that the deep model's advantage in rating error is bought by collapsing onto popular items: its catalogue coverage equals the non-personalized baseline's to one decimal place, and its novelty is closer to that baseline than to chance (Section 5.5).</w:t>
      </w:r>
    </w:p>
    <w:p>
      <w:pPr>
        <w:pStyle w:val="ListParagraph"/>
        <w:numPr>
          <w:ilvl w:val="0"/>
          <w:numId w:val="3"/>
        </w:numPr>
        <w:spacing w:after="70" w:line="260"/>
        <w:jc w:val="both"/>
      </w:pPr>
      <w:r>
        <w:rPr>
          <w:rFonts w:ascii="Times New Roman" w:cs="Times New Roman" w:eastAsia="Times New Roman" w:hAnsi="Times New Roman"/>
          <w:sz w:val="20"/>
          <w:szCs w:val="20"/>
        </w:rPr>
        <w:t xml:space="preserve">A proof that cold-start failure here is a property of the data rather than of model capacity: for items with no training ratings, both the linear and the non-linear model produce predictions with exactly zero variance (Section 5.6).</w:t>
      </w:r>
    </w:p>
    <w:p>
      <w:pPr>
        <w:pStyle w:val="ListParagraph"/>
        <w:numPr>
          <w:ilvl w:val="0"/>
          <w:numId w:val="3"/>
        </w:numPr>
        <w:spacing w:after="70" w:line="260"/>
        <w:jc w:val="both"/>
      </w:pPr>
      <w:r>
        <w:rPr>
          <w:rFonts w:ascii="Times New Roman" w:cs="Times New Roman" w:eastAsia="Times New Roman" w:hAnsi="Times New Roman"/>
          <w:sz w:val="20"/>
          <w:szCs w:val="20"/>
        </w:rPr>
        <w:t xml:space="preserve">A robustness check that repeats the whole comparison on four splits and identifies which published claims survive and which do not (Section 5.8).</w:t>
      </w:r>
    </w:p>
    <w:p>
      <w:pPr>
        <w:pStyle w:val="Heading1"/>
        <w:spacing w:after="140" w:before="300"/>
      </w:pPr>
      <w:r>
        <w:rPr>
          <w:rFonts w:ascii="Times New Roman" w:cs="Times New Roman" w:eastAsia="Times New Roman" w:hAnsi="Times New Roman"/>
          <w:b/>
          <w:bCs/>
          <w:color w:val="000000"/>
          <w:sz w:val="26"/>
          <w:szCs w:val="26"/>
        </w:rPr>
        <w:t xml:space="preserve">2. Related Work</w:t>
      </w:r>
    </w:p>
    <w:p>
      <w:pPr>
        <w:pStyle w:val="Heading2"/>
        <w:spacing w:after="110" w:before="220"/>
      </w:pPr>
      <w:r>
        <w:rPr>
          <w:rFonts w:ascii="Times New Roman" w:cs="Times New Roman" w:eastAsia="Times New Roman" w:hAnsi="Times New Roman"/>
          <w:b/>
          <w:bCs/>
          <w:color w:val="000000"/>
          <w:sz w:val="22"/>
          <w:szCs w:val="22"/>
        </w:rPr>
        <w:t xml:space="preserve">2.1 Collaborative filtering and matrix factorization</w:t>
      </w:r>
    </w:p>
    <w:p>
      <w:pPr>
        <w:spacing w:after="120" w:line="260"/>
        <w:jc w:val="both"/>
      </w:pPr>
      <w:r>
        <w:rPr>
          <w:rFonts w:ascii="Times New Roman" w:cs="Times New Roman" w:eastAsia="Times New Roman" w:hAnsi="Times New Roman"/>
          <w:sz w:val="20"/>
          <w:szCs w:val="20"/>
        </w:rPr>
        <w:t xml:space="preserve">Collaborative filtering estimates preference from the user–item interaction matrix alone. Sarwar et al. (2001) moved the neighbourhood computation from users to items, arguing that item–item relationships are more stable and can be precomputed. Matrix factorization replaced explicit neighbourhoods with latent factors; Koren et al. (2009) set out the formulation used here, including the user and item bias terms that account for the systematic tendency of some raters to rate high and some films to be rated high. This project uses a truncated singular value decomposition of the mean-centred matrix with a damped item-bias term, which is the same idea in its simplest form.</w:t>
      </w:r>
    </w:p>
    <w:p>
      <w:pPr>
        <w:pStyle w:val="Heading2"/>
        <w:spacing w:after="110" w:before="220"/>
      </w:pPr>
      <w:r>
        <w:rPr>
          <w:rFonts w:ascii="Times New Roman" w:cs="Times New Roman" w:eastAsia="Times New Roman" w:hAnsi="Times New Roman"/>
          <w:b/>
          <w:bCs/>
          <w:color w:val="000000"/>
          <w:sz w:val="22"/>
          <w:szCs w:val="22"/>
        </w:rPr>
        <w:t xml:space="preserve">2.2 Deep collaborative filtering</w:t>
      </w:r>
    </w:p>
    <w:p>
      <w:pPr>
        <w:spacing w:after="120" w:line="260"/>
        <w:jc w:val="both"/>
      </w:pPr>
      <w:r>
        <w:rPr>
          <w:rFonts w:ascii="Times New Roman" w:cs="Times New Roman" w:eastAsia="Times New Roman" w:hAnsi="Times New Roman"/>
          <w:sz w:val="20"/>
          <w:szCs w:val="20"/>
        </w:rPr>
        <w:t xml:space="preserve">Autoencoder and neural formulations aim to capture interaction patterns that an inner product cannot. Sedhain et al. (2015) proposed AutoRec, an autoencoder that reconstructs a partially observed rating vector under a loss masked to the observed entries; the item-based variant, I-AutoRec, treats each item's vector of user ratings as one training example and is the variant implemented here. He et al. (2017) generalised the idea, replacing the inner product with a learned interaction function. Both report accuracy gains over matrix factorization. Neither is evaluated on catalogue behaviour, which is the gap this project addresses for I-AutoRec specifically.</w:t>
      </w:r>
    </w:p>
    <w:p>
      <w:pPr>
        <w:pStyle w:val="Heading2"/>
        <w:spacing w:after="110" w:before="220"/>
      </w:pPr>
      <w:r>
        <w:rPr>
          <w:rFonts w:ascii="Times New Roman" w:cs="Times New Roman" w:eastAsia="Times New Roman" w:hAnsi="Times New Roman"/>
          <w:b/>
          <w:bCs/>
          <w:color w:val="000000"/>
          <w:sz w:val="22"/>
          <w:szCs w:val="22"/>
        </w:rPr>
        <w:t xml:space="preserve">2.3 Content-based and hybrid recommendation</w:t>
      </w:r>
    </w:p>
    <w:p>
      <w:pPr>
        <w:spacing w:after="120" w:line="260"/>
        <w:jc w:val="both"/>
      </w:pPr>
      <w:r>
        <w:rPr>
          <w:rFonts w:ascii="Times New Roman" w:cs="Times New Roman" w:eastAsia="Times New Roman" w:hAnsi="Times New Roman"/>
          <w:sz w:val="20"/>
          <w:szCs w:val="20"/>
        </w:rPr>
        <w:t xml:space="preserve">Content-based methods score items by similarity to what the user has already liked, using item descriptions rather than co-rating patterns, and so remain defined for items with no interaction history at all. Burke (2002) provides the taxonomy of hybridisation strategies this project follows directly: the weighted hybrid combines component scores numerically, while the switching hybrid selects a component per case according to a criterion. The nesting used in Section 4.4 is a composition of weighted hybrids rather than a new category in that taxonomy.</w:t>
      </w:r>
    </w:p>
    <w:p>
      <w:pPr>
        <w:pStyle w:val="Heading2"/>
        <w:spacing w:after="110" w:before="220"/>
      </w:pPr>
      <w:r>
        <w:rPr>
          <w:rFonts w:ascii="Times New Roman" w:cs="Times New Roman" w:eastAsia="Times New Roman" w:hAnsi="Times New Roman"/>
          <w:b/>
          <w:bCs/>
          <w:color w:val="000000"/>
          <w:sz w:val="22"/>
          <w:szCs w:val="22"/>
        </w:rPr>
        <w:t xml:space="preserve">2.4 Beyond-accuracy objectives</w:t>
      </w:r>
    </w:p>
    <w:p>
      <w:pPr>
        <w:spacing w:after="120" w:line="260"/>
        <w:jc w:val="both"/>
      </w:pPr>
      <w:r>
        <w:rPr>
          <w:rFonts w:ascii="Times New Roman" w:cs="Times New Roman" w:eastAsia="Times New Roman" w:hAnsi="Times New Roman"/>
          <w:sz w:val="20"/>
          <w:szCs w:val="20"/>
        </w:rPr>
        <w:t xml:space="preserve">Kaminskas and Bridge (2016) survey the measures used when recommendation quality is treated as more than predictive accuracy, and give the definitions of novelty and serendipity adopted in Section 4.6: novelty as the self-information of a recommended item, and serendipity as relevance discounted by how expected the item was. Adomavicius and Kwon (2012) show that aggregate diversity can be improved substantially at a small accuracy cost, which is the trade-off this project measures rather than assumes.</w:t>
      </w:r>
    </w:p>
    <w:p>
      <w:pPr>
        <w:pStyle w:val="Heading2"/>
        <w:spacing w:after="110" w:before="220"/>
      </w:pPr>
      <w:r>
        <w:rPr>
          <w:rFonts w:ascii="Times New Roman" w:cs="Times New Roman" w:eastAsia="Times New Roman" w:hAnsi="Times New Roman"/>
          <w:b/>
          <w:bCs/>
          <w:color w:val="000000"/>
          <w:sz w:val="22"/>
          <w:szCs w:val="22"/>
        </w:rPr>
        <w:t xml:space="preserve">2.5 Evaluation methodology</w:t>
      </w:r>
    </w:p>
    <w:p>
      <w:pPr>
        <w:spacing w:after="120" w:line="260"/>
        <w:jc w:val="both"/>
      </w:pPr>
      <w:r>
        <w:rPr>
          <w:rFonts w:ascii="Times New Roman" w:cs="Times New Roman" w:eastAsia="Times New Roman" w:hAnsi="Times New Roman"/>
          <w:sz w:val="20"/>
          <w:szCs w:val="20"/>
        </w:rPr>
        <w:t xml:space="preserve">Cremonesi et al. (2010) report that on top-N tasks a non-personalized popularity baseline is far stronger than its reputation, and that models tuned for rating error do not necessarily rank well. Both observations recur in Section 5.4. Meng et al. (2020) show that the choice of data-splitting strategy materially changes which model appears best, which motivates the robustness check in Section 5.8. Panda and Ray (2022) review cold-start mitigation and note that the right strategy depends on whether the cold entity is a user or an item and on what side information exists — a distinction Section 5.6 relies on.</w:t>
      </w:r>
    </w:p>
    <w:p>
      <w:pPr>
        <w:pBdr>
          <w:top w:val="single" w:color="E8CB8A" w:sz="2" w:space="3"/>
          <w:bottom w:val="single" w:color="E8CB8A" w:sz="2" w:space="3"/>
          <w:left w:val="single" w:color="D89B0C" w:sz="18" w:space="6"/>
          <w:right w:val="single" w:color="E8CB8A" w:sz="2" w:space="3"/>
        </w:pBdr>
        <w:shd w:fill="FFF3D6" w:val="clear"/>
        <w:spacing w:after="130" w:before="90" w:line="260"/>
      </w:pPr>
      <w:r>
        <w:rPr>
          <w:rFonts w:ascii="Times New Roman" w:cs="Times New Roman" w:eastAsia="Times New Roman" w:hAnsi="Times New Roman"/>
          <w:b/>
          <w:bCs/>
          <w:color w:val="8A6208"/>
          <w:sz w:val="18"/>
          <w:szCs w:val="18"/>
        </w:rPr>
        <w:t xml:space="preserve">TODO  </w:t>
      </w:r>
      <w:r>
        <w:rPr>
          <w:rFonts w:ascii="Times New Roman" w:cs="Times New Roman" w:eastAsia="Times New Roman" w:hAnsi="Times New Roman"/>
          <w:color w:val="5C4406"/>
          <w:sz w:val="18"/>
          <w:szCs w:val="18"/>
        </w:rPr>
        <w:t xml:space="preserve">Verify every reference in the list at the end against the original paper or its DOI before submitting. Check authors, venue, year and page numbers. Do not submit a citation you have not opened.</w:t>
      </w:r>
    </w:p>
    <w:p>
      <w:pPr>
        <w:pBdr>
          <w:top w:val="single" w:color="E8CB8A" w:sz="2" w:space="3"/>
          <w:bottom w:val="single" w:color="E8CB8A" w:sz="2" w:space="3"/>
          <w:left w:val="single" w:color="D89B0C" w:sz="18" w:space="6"/>
          <w:right w:val="single" w:color="E8CB8A" w:sz="2" w:space="3"/>
        </w:pBdr>
        <w:shd w:fill="FFF3D6" w:val="clear"/>
        <w:spacing w:after="130" w:before="90" w:line="260"/>
      </w:pPr>
      <w:r>
        <w:rPr>
          <w:rFonts w:ascii="Times New Roman" w:cs="Times New Roman" w:eastAsia="Times New Roman" w:hAnsi="Times New Roman"/>
          <w:b/>
          <w:bCs/>
          <w:color w:val="8A6208"/>
          <w:sz w:val="18"/>
          <w:szCs w:val="18"/>
        </w:rPr>
        <w:t xml:space="preserve">TODO  </w:t>
      </w:r>
      <w:r>
        <w:rPr>
          <w:rFonts w:ascii="Times New Roman" w:cs="Times New Roman" w:eastAsia="Times New Roman" w:hAnsi="Times New Roman"/>
          <w:color w:val="5C4406"/>
          <w:sz w:val="18"/>
          <w:szCs w:val="18"/>
        </w:rPr>
        <w:t xml:space="preserve">Related Work is worth 10% of the report mark. If you have room, add one or two references you find yourself — a marker can tell the difference between a list assembled from one source and one assembled from reading.</w:t>
      </w:r>
    </w:p>
    <w:p>
      <w:pPr>
        <w:pStyle w:val="Heading1"/>
        <w:spacing w:after="140" w:before="300"/>
      </w:pPr>
      <w:r>
        <w:rPr>
          <w:rFonts w:ascii="Times New Roman" w:cs="Times New Roman" w:eastAsia="Times New Roman" w:hAnsi="Times New Roman"/>
          <w:b/>
          <w:bCs/>
          <w:color w:val="000000"/>
          <w:sz w:val="26"/>
          <w:szCs w:val="26"/>
        </w:rPr>
        <w:t xml:space="preserve">3. Data</w:t>
      </w:r>
    </w:p>
    <w:p>
      <w:pPr>
        <w:pStyle w:val="Heading2"/>
        <w:spacing w:after="110" w:before="220"/>
      </w:pPr>
      <w:r>
        <w:rPr>
          <w:rFonts w:ascii="Times New Roman" w:cs="Times New Roman" w:eastAsia="Times New Roman" w:hAnsi="Times New Roman"/>
          <w:b/>
          <w:bCs/>
          <w:color w:val="000000"/>
          <w:sz w:val="22"/>
          <w:szCs w:val="22"/>
        </w:rPr>
        <w:t xml:space="preserve">3.1 MovieLens ml-latest-small</w:t>
      </w:r>
    </w:p>
    <w:p>
      <w:pPr>
        <w:spacing w:after="120" w:line="260"/>
        <w:jc w:val="both"/>
      </w:pPr>
      <w:r>
        <w:rPr>
          <w:rFonts w:ascii="Times New Roman" w:cs="Times New Roman" w:eastAsia="Times New Roman" w:hAnsi="Times New Roman"/>
          <w:sz w:val="20"/>
          <w:szCs w:val="20"/>
        </w:rPr>
        <w:t xml:space="preserve">All experiments use the MovieLens ml-latest-small benchmark (Harper &amp; Konstan, 2015): 100,836 ratings on a half-star scale from 0.5 to 5.0, contributed by 610 users across 9,724 distinct rated films. The full catalogue file lists 9,742 titles; the 18 with no ratings at all never enter the user–item matrix. The matrix is therefore 610 × 9,724 with 98.3% of its cells empty. Every user in the release has rated at least 20 films, so there are no cold users in this dataset — a point that matters when interpreting Section 5.6, because the cold-start problem measurable here is entirely an item-side one.</w:t>
      </w:r>
    </w:p>
    <w:p>
      <w:pPr>
        <w:pStyle w:val="Heading2"/>
        <w:spacing w:after="110" w:before="220"/>
      </w:pPr>
      <w:r>
        <w:rPr>
          <w:rFonts w:ascii="Times New Roman" w:cs="Times New Roman" w:eastAsia="Times New Roman" w:hAnsi="Times New Roman"/>
          <w:b/>
          <w:bCs/>
          <w:color w:val="000000"/>
          <w:sz w:val="22"/>
          <w:szCs w:val="22"/>
        </w:rPr>
        <w:t xml:space="preserve">3.2 TMDB plot overviews</w:t>
      </w:r>
    </w:p>
    <w:p>
      <w:pPr>
        <w:spacing w:after="120" w:line="260"/>
        <w:jc w:val="both"/>
      </w:pPr>
      <w:r>
        <w:rPr>
          <w:rFonts w:ascii="Times New Roman" w:cs="Times New Roman" w:eastAsia="Times New Roman" w:hAnsi="Times New Roman"/>
          <w:sz w:val="20"/>
          <w:szCs w:val="20"/>
        </w:rPr>
        <w:t xml:space="preserve">The content model needs text. Plot overviews were fetched from The Movie Database using the tmdbId column of the benchmark's links.csv, giving 9,603 of the 9,724 rated films (98.8%). The 121 that remain uncovered are not a collection gap: 113 have no synopsis on TMDB at all and 8 carry no tmdbId in the benchmark, so they are not fetchable. Appendix A reports what expanding this coverage did to the content model's behaviour, which is not what was expected.</w:t>
      </w:r>
    </w:p>
    <w:p>
      <w:pPr>
        <w:pStyle w:val="Heading2"/>
        <w:spacing w:after="110" w:before="220"/>
      </w:pPr>
      <w:r>
        <w:rPr>
          <w:rFonts w:ascii="Times New Roman" w:cs="Times New Roman" w:eastAsia="Times New Roman" w:hAnsi="Times New Roman"/>
          <w:b/>
          <w:bCs/>
          <w:color w:val="000000"/>
          <w:sz w:val="22"/>
          <w:szCs w:val="22"/>
        </w:rPr>
        <w:t xml:space="preserve">3.3 Split protocol</w:t>
      </w:r>
    </w:p>
    <w:p>
      <w:pPr>
        <w:spacing w:after="120" w:line="260"/>
        <w:jc w:val="both"/>
      </w:pPr>
      <w:r>
        <w:rPr>
          <w:rFonts w:ascii="Times New Roman" w:cs="Times New Roman" w:eastAsia="Times New Roman" w:hAnsi="Times New Roman"/>
          <w:sz w:val="20"/>
          <w:szCs w:val="20"/>
        </w:rPr>
        <w:t xml:space="preserve">Each user's ratings are shuffled and split 60/20/20 into train, validation and test. Splitting per user rather than globally guarantees every user appears in all three parts, so no user is unmeasurable at evaluation time. The shuffle is seeded with the author's student ID, and the test slice is taken before the validation slice is carved out, so that a two-way and a three-way split of the same seed select identical test rows. Hyperparameters are selected on validation only; models are then refitted on train+validation and the test set is evaluated exactly once per model.</w:t>
      </w:r>
    </w:p>
    <w:p>
      <w:pPr>
        <w:pStyle w:val="Heading2"/>
        <w:spacing w:after="110" w:before="220"/>
      </w:pPr>
      <w:r>
        <w:rPr>
          <w:rFonts w:ascii="Times New Roman" w:cs="Times New Roman" w:eastAsia="Times New Roman" w:hAnsi="Times New Roman"/>
          <w:b/>
          <w:bCs/>
          <w:color w:val="000000"/>
          <w:sz w:val="22"/>
          <w:szCs w:val="22"/>
        </w:rPr>
        <w:t xml:space="preserve">3.4 Cold items</w:t>
      </w:r>
    </w:p>
    <w:p>
      <w:pPr>
        <w:spacing w:after="120" w:line="260"/>
        <w:jc w:val="both"/>
      </w:pPr>
      <w:r>
        <w:rPr>
          <w:rFonts w:ascii="Times New Roman" w:cs="Times New Roman" w:eastAsia="Times New Roman" w:hAnsi="Times New Roman"/>
          <w:sz w:val="20"/>
          <w:szCs w:val="20"/>
        </w:rPr>
        <w:t xml:space="preserve">732 of the 9,724 films receive no rating at all in the combined train+validation portion, and 794 test ratings fall on them. These are the cold items referred to throughout. They are 7.5% of the catalogue but only 2.92% of the relevant held-out ratings, and that asymmetry explains much of Section 5.6.</w:t>
      </w:r>
    </w:p>
    <w:p>
      <w:pPr>
        <w:pStyle w:val="Heading1"/>
        <w:spacing w:after="140" w:before="300"/>
      </w:pPr>
      <w:r>
        <w:rPr>
          <w:rFonts w:ascii="Times New Roman" w:cs="Times New Roman" w:eastAsia="Times New Roman" w:hAnsi="Times New Roman"/>
          <w:b/>
          <w:bCs/>
          <w:color w:val="000000"/>
          <w:sz w:val="26"/>
          <w:szCs w:val="26"/>
        </w:rPr>
        <w:t xml:space="preserve">4. Methods</w:t>
      </w:r>
    </w:p>
    <w:p>
      <w:pPr>
        <w:pBdr>
          <w:top w:val="dashed" w:color="AAAAAA" w:sz="4" w:space="8"/>
          <w:bottom w:val="dashed" w:color="AAAAAA" w:sz="4" w:space="8"/>
          <w:left w:val="dashed" w:color="AAAAAA" w:sz="4" w:space="8"/>
          <w:right w:val="dashed" w:color="AAAAAA" w:sz="4" w:space="8"/>
        </w:pBdr>
        <w:shd w:fill="F2F2F2" w:val="clear"/>
        <w:spacing w:after="60" w:before="140" w:line="240"/>
        <w:jc w:val="center"/>
      </w:pPr>
      <w:r>
        <w:rPr>
          <w:rFonts w:ascii="Times New Roman" w:cs="Times New Roman" w:eastAsia="Times New Roman" w:hAnsi="Times New Roman"/>
          <w:color w:val="555555"/>
          <w:sz w:val="17"/>
          <w:szCs w:val="17"/>
        </w:rPr>
        <w:t xml:space="preserve">[ Figure 1 — place </w:t>
      </w:r>
      <w:r>
        <w:rPr>
          <w:rFonts w:ascii="Times New Roman" w:cs="Times New Roman" w:eastAsia="Times New Roman" w:hAnsi="Times New Roman"/>
          <w:b/>
          <w:bCs/>
          <w:color w:val="555555"/>
          <w:sz w:val="17"/>
          <w:szCs w:val="17"/>
        </w:rPr>
        <w:t xml:space="preserve">docs/figures/fig1_architecture.pdf</w:t>
      </w:r>
      <w:r>
        <w:rPr>
          <w:rFonts w:ascii="Times New Roman" w:cs="Times New Roman" w:eastAsia="Times New Roman" w:hAnsi="Times New Roman"/>
          <w:color w:val="555555"/>
          <w:sz w:val="17"/>
          <w:szCs w:val="17"/>
        </w:rPr>
        <w:t xml:space="preserve"> here ]</w:t>
      </w:r>
    </w:p>
    <w:p>
      <w:pPr>
        <w:spacing w:after="200" w:before="60" w:line="240"/>
        <w:jc w:val="left"/>
      </w:pPr>
      <w:r>
        <w:rPr>
          <w:rFonts w:ascii="Times New Roman" w:cs="Times New Roman" w:eastAsia="Times New Roman" w:hAnsi="Times New Roman"/>
          <w:i/>
          <w:iCs/>
          <w:color w:val="333333"/>
          <w:sz w:val="17"/>
          <w:szCs w:val="17"/>
        </w:rPr>
        <w:t xml:space="preserve">Figure 1. Model architecture. Data, the three-way split, the three base models, the nested composition, the ablation variants, and the evaluation battery. The nested hybrid is drawn as a box inside a box because that is what it is.</w:t>
      </w:r>
    </w:p>
    <w:p>
      <w:pPr>
        <w:pStyle w:val="Heading2"/>
        <w:spacing w:after="110" w:before="220"/>
      </w:pPr>
      <w:r>
        <w:rPr>
          <w:rFonts w:ascii="Times New Roman" w:cs="Times New Roman" w:eastAsia="Times New Roman" w:hAnsi="Times New Roman"/>
          <w:b/>
          <w:bCs/>
          <w:color w:val="000000"/>
          <w:sz w:val="22"/>
          <w:szCs w:val="22"/>
        </w:rPr>
        <w:t xml:space="preserve">4.1 Matrix factorization (SVD)</w:t>
      </w:r>
    </w:p>
    <w:p>
      <w:pPr>
        <w:spacing w:after="120" w:line="260"/>
        <w:jc w:val="both"/>
      </w:pPr>
      <w:r>
        <w:rPr>
          <w:rFonts w:ascii="Times New Roman" w:cs="Times New Roman" w:eastAsia="Times New Roman" w:hAnsi="Times New Roman"/>
          <w:sz w:val="20"/>
          <w:szCs w:val="20"/>
        </w:rPr>
        <w:t xml:space="preserve">The rating matrix is mean-centred, missing entries are filled with zero, and a truncated SVD retains the k largest singular values. Reconstruction adds the centring back and clips to the valid rating range. An item-bias term is added, damped as the sum of an item's residuals divided by its rating count plus a damping constant, so that an item with two ratings is shrunk toward zero bias while an item with two hundred is not. Two centring modes are used: subtracting the user mean only, and subtracting the user mean and then the item bias. The validation grid selected k = 10 with damping = 5.</w:t>
      </w:r>
    </w:p>
    <w:p>
      <w:pPr>
        <w:spacing w:after="120" w:line="260"/>
        <w:jc w:val="both"/>
      </w:pPr>
      <w:r>
        <w:rPr>
          <w:rFonts w:ascii="Times New Roman" w:cs="Times New Roman" w:eastAsia="Times New Roman" w:hAnsi="Times New Roman"/>
          <w:sz w:val="20"/>
          <w:szCs w:val="20"/>
        </w:rPr>
        <w:t xml:space="preserve">The behaviour on cold items follows from the construction and is worth stating explicitly, because Section 5.6 tests it. An item with no training ratings contributes an all-zero column to the centred matrix, so the reconstruction contributes nothing and the predicted rating is exactly the user's own mean, for every such item.</w:t>
      </w:r>
    </w:p>
    <w:p>
      <w:pPr>
        <w:pStyle w:val="Heading2"/>
        <w:spacing w:after="110" w:before="220"/>
      </w:pPr>
      <w:r>
        <w:rPr>
          <w:rFonts w:ascii="Times New Roman" w:cs="Times New Roman" w:eastAsia="Times New Roman" w:hAnsi="Times New Roman"/>
          <w:b/>
          <w:bCs/>
          <w:color w:val="000000"/>
          <w:sz w:val="22"/>
          <w:szCs w:val="22"/>
        </w:rPr>
        <w:t xml:space="preserve">4.2 I-AutoRec</w:t>
      </w:r>
    </w:p>
    <w:p>
      <w:pPr>
        <w:spacing w:after="120" w:line="260"/>
        <w:jc w:val="both"/>
      </w:pPr>
      <w:r>
        <w:rPr>
          <w:rFonts w:ascii="Times New Roman" w:cs="Times New Roman" w:eastAsia="Times New Roman" w:hAnsi="Times New Roman"/>
          <w:sz w:val="20"/>
          <w:szCs w:val="20"/>
        </w:rPr>
        <w:t xml:space="preserve">The item-based autoencoder (Sedhain et al., 2015) takes each item's 610-dimensional vector of user ratings as one training example, encodes it through a sigmoid layer of width h, and decodes it linearly. The loss is mean squared error masked to the observed entries, so unobserved cells contribute no gradient. Training uses Adam with weight decay as the regularizer and early stopping on validation error. Two configurations are carried forward because the validation grid selected different ones for the two metric families — h = 200 with weight decay 1e-4 minimised validation RMSE, while h = 25 with weight decay 1e-2 maximised validation NDCG@10 — and reporting one model under both headings would misrepresent it. Appendix B gives the grid.</w:t>
      </w:r>
    </w:p>
    <w:p>
      <w:pPr>
        <w:spacing w:after="120" w:line="260"/>
        <w:jc w:val="both"/>
      </w:pPr>
      <w:r>
        <w:rPr>
          <w:rFonts w:ascii="Times New Roman" w:cs="Times New Roman" w:eastAsia="Times New Roman" w:hAnsi="Times New Roman"/>
          <w:sz w:val="20"/>
          <w:szCs w:val="20"/>
        </w:rPr>
        <w:t xml:space="preserve">The same cold-item argument applies here and is sharper. A cold item's input vector is entirely zero, so the encoder sees the same input for every cold item and the decoder can only emit its own bias. Every cold item therefore receives an identical prediction, for a given user, regardless of which film it is. Non-linearity does not help, because there is no signal for the non-linearity to act on.</w:t>
      </w:r>
    </w:p>
    <w:p>
      <w:pPr>
        <w:pStyle w:val="Heading2"/>
        <w:spacing w:after="110" w:before="220"/>
      </w:pPr>
      <w:r>
        <w:rPr>
          <w:rFonts w:ascii="Times New Roman" w:cs="Times New Roman" w:eastAsia="Times New Roman" w:hAnsi="Times New Roman"/>
          <w:b/>
          <w:bCs/>
          <w:color w:val="000000"/>
          <w:sz w:val="22"/>
          <w:szCs w:val="22"/>
        </w:rPr>
        <w:t xml:space="preserve">4.3 Content-based model</w:t>
      </w:r>
    </w:p>
    <w:p>
      <w:pPr>
        <w:spacing w:after="120" w:line="260"/>
        <w:jc w:val="both"/>
      </w:pPr>
      <w:r>
        <w:rPr>
          <w:rFonts w:ascii="Times New Roman" w:cs="Times New Roman" w:eastAsia="Times New Roman" w:hAnsi="Times New Roman"/>
          <w:sz w:val="20"/>
          <w:szCs w:val="20"/>
        </w:rPr>
        <w:t xml:space="preserve">Plot overviews are vectorised with TF-IDF and items compared by cosine similarity. A user profile is the similarity-weighted average of the items they rated, centred on the user's mean rating so that a below-average rating pushes away from an item rather than weakly toward it. The model scores only items that have text, which is 98.8% of the catalogue but never all of it, and unlike the collaborative models it is defined for an item that has never been rated. Genre tokens were tested as an additional feature and rejected on validation — see Section 5.7.</w:t>
      </w:r>
    </w:p>
    <w:p>
      <w:pPr>
        <w:spacing w:after="120" w:line="260"/>
        <w:jc w:val="both"/>
      </w:pPr>
      <w:r>
        <w:rPr>
          <w:rFonts w:ascii="Times New Roman" w:cs="Times New Roman" w:eastAsia="Times New Roman" w:hAnsi="Times New Roman"/>
          <w:sz w:val="20"/>
          <w:szCs w:val="20"/>
        </w:rPr>
        <w:t xml:space="preserve">Because the model outputs a centred similarity rather than a rating on the 0.5–5 scale, a rating error against it is undefined, not merely unmeasured. The implementation refuses to compute one rather than returning a misleading figure.</w:t>
      </w:r>
    </w:p>
    <w:p>
      <w:pPr>
        <w:pStyle w:val="Heading2"/>
        <w:spacing w:after="110" w:before="220"/>
      </w:pPr>
      <w:r>
        <w:rPr>
          <w:rFonts w:ascii="Times New Roman" w:cs="Times New Roman" w:eastAsia="Times New Roman" w:hAnsi="Times New Roman"/>
          <w:b/>
          <w:bCs/>
          <w:color w:val="000000"/>
          <w:sz w:val="22"/>
          <w:szCs w:val="22"/>
        </w:rPr>
        <w:t xml:space="preserve">4.4 Hybrid composition</w:t>
      </w:r>
    </w:p>
    <w:p>
      <w:pPr>
        <w:spacing w:after="120" w:line="260"/>
        <w:jc w:val="both"/>
      </w:pPr>
      <w:r>
        <w:rPr>
          <w:rFonts w:ascii="Times New Roman" w:cs="Times New Roman" w:eastAsia="Times New Roman" w:hAnsi="Times New Roman"/>
          <w:sz w:val="20"/>
          <w:szCs w:val="20"/>
        </w:rPr>
        <w:t xml:space="preserve">Component scores are not comparable in raw form: an SVD reconstruction lives on the rating scale and a content score is a centred cosine similarity. Each component's scores are therefore standardised per user to zero mean and unit variance before combining, so the blend weight controls the relative influence of the two signals rather than the relative size of their units.</w:t>
      </w:r>
    </w:p>
    <w:p>
      <w:pPr>
        <w:spacing w:after="120" w:line="260"/>
        <w:jc w:val="both"/>
      </w:pPr>
      <w:r>
        <w:rPr>
          <w:rFonts w:ascii="Times New Roman" w:cs="Times New Roman" w:eastAsia="Times New Roman" w:hAnsi="Times New Roman"/>
          <w:sz w:val="20"/>
          <w:szCs w:val="20"/>
        </w:rPr>
        <w:t xml:space="preserve">Two of Burke's (2002) strategies are implemented. The weighted hybrid returns alpha times the first component's standardised score plus one minus alpha times the second's. The switching hybrid uses the first component where it has a collaborative signal and the second where it does not, which is what makes it the variant with the most cold-start reach in Section 5.6.</w:t>
      </w:r>
    </w:p>
    <w:p>
      <w:pPr>
        <w:spacing w:after="120" w:line="260"/>
        <w:jc w:val="both"/>
      </w:pPr>
      <w:r>
        <w:rPr>
          <w:rFonts w:ascii="Times New Roman" w:cs="Times New Roman" w:eastAsia="Times New Roman" w:hAnsi="Times New Roman"/>
          <w:sz w:val="20"/>
          <w:szCs w:val="20"/>
        </w:rPr>
        <w:t xml:space="preserve">The design decision that matters is that a hybrid accepts any component satisfying the same small interface, and a hybrid satisfies that interface itself. A three-model system is therefore a composition of two two-model hybrids rather than a separate implementation:</w:t>
      </w:r>
    </w:p>
    <w:p>
      <w:pPr>
        <w:spacing w:after="140" w:before="60"/>
        <w:ind w:left="360"/>
        <w:jc w:val="left"/>
      </w:pPr>
      <w:r>
        <w:rPr>
          <w:rFonts w:ascii="Courier New" w:cs="Courier New" w:eastAsia="Courier New" w:hAnsi="Courier New"/>
          <w:sz w:val="19"/>
          <w:szCs w:val="19"/>
        </w:rPr>
        <w:t xml:space="preserve">Hybrid( Hybrid(SVD, AutoRec, α₁), Content, α₂ )</w:t>
      </w:r>
    </w:p>
    <w:p>
      <w:pPr>
        <w:spacing w:after="120" w:line="260"/>
        <w:jc w:val="both"/>
      </w:pPr>
      <w:r>
        <w:rPr>
          <w:rFonts w:ascii="Times New Roman" w:cs="Times New Roman" w:eastAsia="Times New Roman" w:hAnsi="Times New Roman"/>
          <w:sz w:val="20"/>
          <w:szCs w:val="20"/>
        </w:rPr>
        <w:t xml:space="preserve">The consequence is not only brevity. Because the components stay separate objects, each can still be measured on its own, which is what makes the attribution in Section 5.5 possible. A single model trained end-to-end on all three signals would rank better or worse as one number, with no way to say which signal produced the difference.</w:t>
      </w:r>
    </w:p>
    <w:p>
      <w:pPr>
        <w:pStyle w:val="Heading2"/>
        <w:spacing w:after="110" w:before="220"/>
      </w:pPr>
      <w:r>
        <w:rPr>
          <w:rFonts w:ascii="Times New Roman" w:cs="Times New Roman" w:eastAsia="Times New Roman" w:hAnsi="Times New Roman"/>
          <w:b/>
          <w:bCs/>
          <w:color w:val="000000"/>
          <w:sz w:val="22"/>
          <w:szCs w:val="22"/>
        </w:rPr>
        <w:t xml:space="preserve">4.5 Baselines</w:t>
      </w:r>
    </w:p>
    <w:p>
      <w:pPr>
        <w:spacing w:after="120" w:line="260"/>
        <w:jc w:val="both"/>
      </w:pPr>
      <w:r>
        <w:rPr>
          <w:rFonts w:ascii="Times New Roman" w:cs="Times New Roman" w:eastAsia="Times New Roman" w:hAnsi="Times New Roman"/>
          <w:sz w:val="20"/>
          <w:szCs w:val="20"/>
        </w:rPr>
        <w:t xml:space="preserve">Three baselines are used. The user-mean predictor, which returns each user's average rating, bounds the rating-error results from below in difficulty. An off-the-shelf scikit-learn TruncatedSVD without the item-bias term isolates the contribution of that term. Most-Popular, which ranks every user's unseen items by training-set rating count, is the ranking baseline; following Cremonesi et al. (2010) it is treated as a serious competitor rather than a formality, and Section 5.4 shows why.</w:t>
      </w:r>
    </w:p>
    <w:p>
      <w:pPr>
        <w:pStyle w:val="Heading2"/>
        <w:spacing w:after="110" w:before="220"/>
      </w:pPr>
      <w:r>
        <w:rPr>
          <w:rFonts w:ascii="Times New Roman" w:cs="Times New Roman" w:eastAsia="Times New Roman" w:hAnsi="Times New Roman"/>
          <w:b/>
          <w:bCs/>
          <w:color w:val="000000"/>
          <w:sz w:val="22"/>
          <w:szCs w:val="22"/>
        </w:rPr>
        <w:t xml:space="preserve">4.6 Evaluation measures</w:t>
      </w:r>
    </w:p>
    <w:p>
      <w:pPr>
        <w:spacing w:after="80" w:line="260"/>
        <w:jc w:val="both"/>
      </w:pPr>
      <w:r>
        <w:rPr>
          <w:rFonts w:ascii="Times New Roman" w:cs="Times New Roman" w:eastAsia="Times New Roman" w:hAnsi="Times New Roman"/>
          <w:sz w:val="20"/>
          <w:szCs w:val="20"/>
        </w:rPr>
        <w:t xml:space="preserve">Five families are reported.</w:t>
      </w:r>
    </w:p>
    <w:p>
      <w:pPr>
        <w:pStyle w:val="ListParagraph"/>
        <w:numPr>
          <w:ilvl w:val="0"/>
          <w:numId w:val="3"/>
        </w:numPr>
        <w:spacing w:after="70" w:line="260"/>
        <w:jc w:val="both"/>
      </w:pPr>
      <w:r>
        <w:rPr>
          <w:rFonts w:ascii="Times New Roman" w:cs="Times New Roman" w:eastAsia="Times New Roman" w:hAnsi="Times New Roman"/>
          <w:sz w:val="20"/>
          <w:szCs w:val="20"/>
        </w:rPr>
        <w:t xml:space="preserve">Rating error. RMSE and MAE over test ratings the model can score. Only the SVD and AutoRec produce calibrated ratings, so this family applies to two of the seven systems.</w:t>
      </w:r>
    </w:p>
    <w:p>
      <w:pPr>
        <w:pStyle w:val="ListParagraph"/>
        <w:numPr>
          <w:ilvl w:val="0"/>
          <w:numId w:val="3"/>
        </w:numPr>
        <w:spacing w:after="70" w:line="260"/>
        <w:jc w:val="both"/>
      </w:pPr>
      <w:r>
        <w:rPr>
          <w:rFonts w:ascii="Times New Roman" w:cs="Times New Roman" w:eastAsia="Times New Roman" w:hAnsi="Times New Roman"/>
          <w:sz w:val="20"/>
          <w:szCs w:val="20"/>
        </w:rPr>
        <w:t xml:space="preserve">Ranking. Precision@K, Recall@K and NDCG@K at K in {5, 10, 20}, with an item counted relevant if the user rated it 4.0 or higher in the test split. Precision divides by K rather than by the returned list length, so a model that returns a short list is charged for the unfilled slots instead of being flattered by them.</w:t>
      </w:r>
    </w:p>
    <w:p>
      <w:pPr>
        <w:pStyle w:val="ListParagraph"/>
        <w:numPr>
          <w:ilvl w:val="0"/>
          <w:numId w:val="3"/>
        </w:numPr>
        <w:spacing w:after="70" w:line="260"/>
        <w:jc w:val="both"/>
      </w:pPr>
      <w:r>
        <w:rPr>
          <w:rFonts w:ascii="Times New Roman" w:cs="Times New Roman" w:eastAsia="Times New Roman" w:hAnsi="Times New Roman"/>
          <w:sz w:val="20"/>
          <w:szCs w:val="20"/>
        </w:rPr>
        <w:t xml:space="preserve">Catalogue coverage. The fraction of the catalogue appearing in at least one user's top-10, reported both against the whole catalogue and against each model's reachable pool, since the content model can only ever rank items that have text.</w:t>
      </w:r>
    </w:p>
    <w:p>
      <w:pPr>
        <w:pStyle w:val="ListParagraph"/>
        <w:numPr>
          <w:ilvl w:val="0"/>
          <w:numId w:val="3"/>
        </w:numPr>
        <w:spacing w:after="70" w:line="260"/>
        <w:jc w:val="both"/>
      </w:pPr>
      <w:r>
        <w:rPr>
          <w:rFonts w:ascii="Times New Roman" w:cs="Times New Roman" w:eastAsia="Times New Roman" w:hAnsi="Times New Roman"/>
          <w:sz w:val="20"/>
          <w:szCs w:val="20"/>
        </w:rPr>
        <w:t xml:space="preserve">Novelty and serendipity. Novelty is the mean self-information of recommended items, that is, minus the base-two logarithm of the probability that an item was rated, with add-one smoothing so that the 732 unrated items score the highest finite value rather than infinity. Serendipity is Precision@10 with each hit weighted by one minus that probability; it shares Precision's denominator and 0–1 scale, so the ratio of the two reads as the share of a model's accuracy that came from something other than best-sellers.</w:t>
      </w:r>
    </w:p>
    <w:p>
      <w:pPr>
        <w:pStyle w:val="ListParagraph"/>
        <w:numPr>
          <w:ilvl w:val="0"/>
          <w:numId w:val="3"/>
        </w:numPr>
        <w:spacing w:after="70" w:line="260"/>
        <w:jc w:val="both"/>
      </w:pPr>
      <w:r>
        <w:rPr>
          <w:rFonts w:ascii="Times New Roman" w:cs="Times New Roman" w:eastAsia="Times New Roman" w:hAnsi="Times New Roman"/>
          <w:sz w:val="20"/>
          <w:szCs w:val="20"/>
        </w:rPr>
        <w:t xml:space="preserve">Cold-start reach. The number of top-10 slots, out of 6,100, occupied by items with no train+validation ratings.</w:t>
      </w:r>
    </w:p>
    <w:p>
      <w:pPr>
        <w:spacing w:after="120" w:line="260"/>
        <w:jc w:val="both"/>
      </w:pPr>
      <w:r>
        <w:rPr>
          <w:rFonts w:ascii="Times New Roman" w:cs="Times New Roman" w:eastAsia="Times New Roman" w:hAnsi="Times New Roman"/>
          <w:sz w:val="20"/>
          <w:szCs w:val="20"/>
        </w:rPr>
        <w:t xml:space="preserve">Novelty needs a scale to be read against, and two reference points are reported with it: a uniformly random recommender scores the catalogue average of 7.13, and an item nobody has rated scores the ceiling of 9.26. The single most-rated film scores 1.19.</w:t>
      </w:r>
    </w:p>
    <w:p>
      <w:pPr>
        <w:pStyle w:val="Heading1"/>
        <w:spacing w:after="140" w:before="300"/>
      </w:pPr>
      <w:r>
        <w:rPr>
          <w:rFonts w:ascii="Times New Roman" w:cs="Times New Roman" w:eastAsia="Times New Roman" w:hAnsi="Times New Roman"/>
          <w:b/>
          <w:bCs/>
          <w:color w:val="000000"/>
          <w:sz w:val="26"/>
          <w:szCs w:val="26"/>
        </w:rPr>
        <w:t xml:space="preserve">5. Experiments</w:t>
      </w:r>
    </w:p>
    <w:p>
      <w:pPr>
        <w:pStyle w:val="Heading2"/>
        <w:spacing w:after="110" w:before="220"/>
      </w:pPr>
      <w:r>
        <w:rPr>
          <w:rFonts w:ascii="Times New Roman" w:cs="Times New Roman" w:eastAsia="Times New Roman" w:hAnsi="Times New Roman"/>
          <w:b/>
          <w:bCs/>
          <w:color w:val="000000"/>
          <w:sz w:val="22"/>
          <w:szCs w:val="22"/>
        </w:rPr>
        <w:t xml:space="preserve">5.1 Setup</w:t>
      </w:r>
    </w:p>
    <w:p>
      <w:pPr>
        <w:spacing w:after="120" w:line="260"/>
        <w:jc w:val="both"/>
      </w:pPr>
      <w:r>
        <w:rPr>
          <w:rFonts w:ascii="Times New Roman" w:cs="Times New Roman" w:eastAsia="Times New Roman" w:hAnsi="Times New Roman"/>
          <w:sz w:val="20"/>
          <w:szCs w:val="20"/>
        </w:rPr>
        <w:t xml:space="preserve">All randomness is seeded with the student ID, so the split and every reported figure reproduce exactly. Hyperparameters are selected on the validation split, models are refitted on train+validation, and the test split is evaluated once. Every number below is produced by a single notebook run.</w:t>
      </w:r>
    </w:p>
    <w:p>
      <w:pPr>
        <w:pStyle w:val="Heading2"/>
        <w:spacing w:after="110" w:before="220"/>
      </w:pPr>
      <w:r>
        <w:rPr>
          <w:rFonts w:ascii="Times New Roman" w:cs="Times New Roman" w:eastAsia="Times New Roman" w:hAnsi="Times New Roman"/>
          <w:b/>
          <w:bCs/>
          <w:color w:val="000000"/>
          <w:sz w:val="22"/>
          <w:szCs w:val="22"/>
        </w:rPr>
        <w:t xml:space="preserve">5.2 Hyperparameter selection</w:t>
      </w:r>
    </w:p>
    <w:p>
      <w:pPr>
        <w:spacing w:after="120" w:line="260"/>
        <w:jc w:val="both"/>
      </w:pPr>
      <w:r>
        <w:rPr>
          <w:rFonts w:ascii="Times New Roman" w:cs="Times New Roman" w:eastAsia="Times New Roman" w:hAnsi="Times New Roman"/>
          <w:sz w:val="20"/>
          <w:szCs w:val="20"/>
        </w:rPr>
        <w:t xml:space="preserve">The SVD was searched over k in {5, 10, 15, 20, 30, 50} crossed with damping in {1, 5, 10, 25, 50}; k = 10 with damping = 5 minimised validation RMSE. The content model was tested with and without genre tokens. The blend weight alpha was swept from 0.0 to 1.0 in steps of 0.1 under two fallback strategies for users where one component has no opinion. I-AutoRec was searched over hidden width in {25, 200} crossed with weight decay in {1e-5, 1e-4, 1e-3, 1e-2}. The nested hybrid's two alphas were searched jointly. Appendix B reports all grids.</w:t>
      </w:r>
    </w:p>
    <w:p>
      <w:pPr>
        <w:pBdr>
          <w:top w:val="single" w:color="E8CB8A" w:sz="2" w:space="3"/>
          <w:bottom w:val="single" w:color="E8CB8A" w:sz="2" w:space="3"/>
          <w:left w:val="single" w:color="D89B0C" w:sz="18" w:space="6"/>
          <w:right w:val="single" w:color="E8CB8A" w:sz="2" w:space="3"/>
        </w:pBdr>
        <w:shd w:fill="FFF3D6" w:val="clear"/>
        <w:spacing w:after="130" w:before="90" w:line="260"/>
      </w:pPr>
      <w:r>
        <w:rPr>
          <w:rFonts w:ascii="Times New Roman" w:cs="Times New Roman" w:eastAsia="Times New Roman" w:hAnsi="Times New Roman"/>
          <w:b/>
          <w:bCs/>
          <w:color w:val="8A6208"/>
          <w:sz w:val="18"/>
          <w:szCs w:val="18"/>
        </w:rPr>
        <w:t xml:space="preserve">TODO  </w:t>
      </w:r>
      <w:r>
        <w:rPr>
          <w:rFonts w:ascii="Times New Roman" w:cs="Times New Roman" w:eastAsia="Times New Roman" w:hAnsi="Times New Roman"/>
          <w:color w:val="5C4406"/>
          <w:sz w:val="18"/>
          <w:szCs w:val="18"/>
        </w:rPr>
        <w:t xml:space="preserve">Add a sentence on the SVD centring choice: validation selected user+item centring for rating error and user-only centring for ranking, which is itself an instance of the paper's argument. The numbers are in notebook Step 4.</w:t>
      </w:r>
    </w:p>
    <w:p>
      <w:pPr>
        <w:pStyle w:val="Heading2"/>
        <w:spacing w:after="110" w:before="220"/>
      </w:pPr>
      <w:r>
        <w:rPr>
          <w:rFonts w:ascii="Times New Roman" w:cs="Times New Roman" w:eastAsia="Times New Roman" w:hAnsi="Times New Roman"/>
          <w:b/>
          <w:bCs/>
          <w:color w:val="000000"/>
          <w:sz w:val="22"/>
          <w:szCs w:val="22"/>
        </w:rPr>
        <w:t xml:space="preserve">5.3 Rating error</w:t>
      </w:r>
    </w:p>
    <w:p>
      <w:pPr>
        <w:spacing w:after="100" w:line="260"/>
        <w:jc w:val="both"/>
      </w:pPr>
      <w:r>
        <w:rPr>
          <w:rFonts w:ascii="Times New Roman" w:cs="Times New Roman" w:eastAsia="Times New Roman" w:hAnsi="Times New Roman"/>
          <w:sz w:val="20"/>
          <w:szCs w:val="20"/>
        </w:rPr>
        <w:t xml:space="preserve">Table 1 reports test rating error for the systems that produce calibrated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685"/>
        <w:gridCol w:w="1685"/>
        <w:gridCol w:w="1684"/>
      </w:tblGrid>
      <w:tr>
        <w:trPr>
          <w:tblHeader/>
        </w:trPr>
        <w:tc>
          <w:tcPr>
            <w:tcW w:type="dxa" w:w="4306"/>
            <w:shd w:fill="E6E6E6" w:val="clear"/>
            <w:tcMar>
              <w:top w:type="dxa" w:w="50"/>
              <w:left w:type="dxa" w:w="90"/>
              <w:bottom w:type="dxa" w:w="50"/>
              <w:right w:type="dxa" w:w="90"/>
            </w:tcMar>
          </w:tcPr>
          <w:p>
            <w:pPr>
              <w:spacing w:after="0" w:line="230"/>
              <w:jc w:val="left"/>
            </w:pPr>
            <w:r>
              <w:rPr>
                <w:rFonts w:ascii="Times New Roman" w:cs="Times New Roman" w:eastAsia="Times New Roman" w:hAnsi="Times New Roman"/>
                <w:b/>
                <w:bCs/>
                <w:sz w:val="17"/>
                <w:szCs w:val="17"/>
              </w:rPr>
              <w:t xml:space="preserve">Model</w:t>
            </w:r>
          </w:p>
        </w:tc>
        <w:tc>
          <w:tcPr>
            <w:tcW w:type="dxa" w:w="1685"/>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MSE</w:t>
            </w:r>
          </w:p>
        </w:tc>
        <w:tc>
          <w:tcPr>
            <w:tcW w:type="dxa" w:w="1685"/>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RMSE</w:t>
            </w:r>
          </w:p>
        </w:tc>
        <w:tc>
          <w:tcPr>
            <w:tcW w:type="dxa" w:w="1684"/>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MAE</w:t>
            </w:r>
          </w:p>
        </w:tc>
      </w:tr>
      <w:tr>
        <w:tc>
          <w:tcPr>
            <w:tcW w:type="dxa" w:w="4306"/>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User-mean baseline</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0.8927</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0.9448</w:t>
            </w:r>
          </w:p>
        </w:tc>
        <w:tc>
          <w:tcPr>
            <w:tcW w:type="dxa" w:w="168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0.7353</w:t>
            </w:r>
          </w:p>
        </w:tc>
      </w:tr>
      <w:tr>
        <w:tc>
          <w:tcPr>
            <w:tcW w:type="dxa" w:w="4306"/>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scikit-learn TruncatedSVD (k=10)</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0.9153</w:t>
            </w:r>
          </w:p>
        </w:tc>
        <w:tc>
          <w:tcPr>
            <w:tcW w:type="dxa" w:w="168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0.7063</w:t>
            </w:r>
          </w:p>
        </w:tc>
      </w:tr>
      <w:tr>
        <w:tc>
          <w:tcPr>
            <w:tcW w:type="dxa" w:w="4306"/>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SVD, deployment (k=10, damp=5)</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0.7628</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0.8734</w:t>
            </w:r>
          </w:p>
        </w:tc>
        <w:tc>
          <w:tcPr>
            <w:tcW w:type="dxa" w:w="168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0.6663</w:t>
            </w:r>
          </w:p>
        </w:tc>
      </w:tr>
      <w:tr>
        <w:tc>
          <w:tcPr>
            <w:tcW w:type="dxa" w:w="4306"/>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I-AutoRec (h=200, wd=1e-4)</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0.7253</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0.8517</w:t>
            </w:r>
          </w:p>
        </w:tc>
        <w:tc>
          <w:tcPr>
            <w:tcW w:type="dxa" w:w="168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0.6562</w:t>
            </w:r>
          </w:p>
        </w:tc>
      </w:tr>
    </w:tbl>
    <w:p>
      <w:pPr>
        <w:spacing w:after="200" w:before="60" w:line="240"/>
        <w:jc w:val="left"/>
      </w:pPr>
      <w:r>
        <w:rPr>
          <w:rFonts w:ascii="Times New Roman" w:cs="Times New Roman" w:eastAsia="Times New Roman" w:hAnsi="Times New Roman"/>
          <w:i/>
          <w:iCs/>
          <w:color w:val="333333"/>
          <w:sz w:val="17"/>
          <w:szCs w:val="17"/>
        </w:rPr>
        <w:t xml:space="preserve">Table 1. Test rating error. The test split is touched once. I-AutoRec is best; the item-bias term is worth 0.0419 RMSE over the library SVD without it.</w:t>
      </w:r>
    </w:p>
    <w:p>
      <w:pPr>
        <w:spacing w:after="120" w:line="260"/>
        <w:jc w:val="both"/>
      </w:pPr>
      <w:r>
        <w:rPr>
          <w:rFonts w:ascii="Times New Roman" w:cs="Times New Roman" w:eastAsia="Times New Roman" w:hAnsi="Times New Roman"/>
          <w:sz w:val="20"/>
          <w:szCs w:val="20"/>
        </w:rPr>
        <w:t xml:space="preserve">Two things are visible. The damped item-bias term is worth 0.0419 RMSE against an otherwise comparable library implementation without it, which is a larger gain than the difference between several of the models compared later. And the deep model beats the linear one by 0.0217 RMSE. On this evidence alone I-AutoRec is the best model in the project, which is precisely the conclusion the rest of Section 5 undermines.</w:t>
      </w:r>
    </w:p>
    <w:p>
      <w:pPr>
        <w:pStyle w:val="Heading2"/>
        <w:spacing w:after="110" w:before="220"/>
      </w:pPr>
      <w:r>
        <w:rPr>
          <w:rFonts w:ascii="Times New Roman" w:cs="Times New Roman" w:eastAsia="Times New Roman" w:hAnsi="Times New Roman"/>
          <w:b/>
          <w:bCs/>
          <w:color w:val="000000"/>
          <w:sz w:val="22"/>
          <w:szCs w:val="22"/>
        </w:rPr>
        <w:t xml:space="preserve">5.4 Ranking</w:t>
      </w:r>
    </w:p>
    <w:p>
      <w:pPr>
        <w:spacing w:after="100" w:line="260"/>
        <w:jc w:val="both"/>
      </w:pPr>
      <w:r>
        <w:rPr>
          <w:rFonts w:ascii="Times New Roman" w:cs="Times New Roman" w:eastAsia="Times New Roman" w:hAnsi="Times New Roman"/>
          <w:sz w:val="20"/>
          <w:szCs w:val="20"/>
        </w:rPr>
        <w:t xml:space="preserve">Table 2 reports NDCG@K on the test split for all seven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shd w:fill="E6E6E6" w:val="clear"/>
            <w:tcMar>
              <w:top w:type="dxa" w:w="50"/>
              <w:left w:type="dxa" w:w="90"/>
              <w:bottom w:type="dxa" w:w="50"/>
              <w:right w:type="dxa" w:w="90"/>
            </w:tcMar>
          </w:tcPr>
          <w:p>
            <w:pPr>
              <w:spacing w:after="0" w:line="230"/>
              <w:jc w:val="left"/>
            </w:pPr>
            <w:r>
              <w:rPr>
                <w:rFonts w:ascii="Times New Roman" w:cs="Times New Roman" w:eastAsia="Times New Roman" w:hAnsi="Times New Roman"/>
                <w:b/>
                <w:bCs/>
                <w:sz w:val="17"/>
                <w:szCs w:val="17"/>
              </w:rPr>
              <w:t xml:space="preserve">Model</w:t>
            </w:r>
          </w:p>
        </w:tc>
        <w:tc>
          <w:tcPr>
            <w:tcW w:type="dxa" w:w="1872"/>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NDCG@5</w:t>
            </w:r>
          </w:p>
        </w:tc>
        <w:tc>
          <w:tcPr>
            <w:tcW w:type="dxa" w:w="1872"/>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NDCG@10</w:t>
            </w:r>
          </w:p>
        </w:tc>
        <w:tc>
          <w:tcPr>
            <w:tcW w:type="dxa" w:w="1872"/>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NDCG@20</w:t>
            </w:r>
          </w:p>
        </w:tc>
      </w:tr>
      <w:tr>
        <w:tc>
          <w:tcPr>
            <w:tcW w:type="dxa" w:w="374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SVD</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0.1596</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0.1502</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0.1456</w:t>
            </w:r>
          </w:p>
        </w:tc>
      </w:tr>
      <w:tr>
        <w:tc>
          <w:tcPr>
            <w:tcW w:type="dxa" w:w="374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Content</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0.0401</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0.0359</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0.0345</w:t>
            </w:r>
          </w:p>
        </w:tc>
      </w:tr>
      <w:tr>
        <w:tc>
          <w:tcPr>
            <w:tcW w:type="dxa" w:w="374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Hybrid (weighted, α=0.5)</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0.1731</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0.1605</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0.1568</w:t>
            </w:r>
          </w:p>
        </w:tc>
      </w:tr>
      <w:tr>
        <w:tc>
          <w:tcPr>
            <w:tcW w:type="dxa" w:w="374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Hybrid (switching)</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0.1560</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0.1474</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0.1430</w:t>
            </w:r>
          </w:p>
        </w:tc>
      </w:tr>
      <w:tr>
        <w:tc>
          <w:tcPr>
            <w:tcW w:type="dxa" w:w="374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Most-Popular</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0.1641</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0.1549</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0.1562</w:t>
            </w:r>
          </w:p>
        </w:tc>
      </w:tr>
      <w:tr>
        <w:tc>
          <w:tcPr>
            <w:tcW w:type="dxa" w:w="374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I-AutoRec</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0.1562</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0.1432</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0.1382</w:t>
            </w:r>
          </w:p>
        </w:tc>
      </w:tr>
      <w:tr>
        <w:tc>
          <w:tcPr>
            <w:tcW w:type="dxa" w:w="374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Nested Hybrid (α₁=0.4, α₂=0.6)</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0.1796</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0.1643</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0.1610</w:t>
            </w:r>
          </w:p>
        </w:tc>
      </w:tr>
    </w:tbl>
    <w:p>
      <w:pPr>
        <w:spacing w:after="200" w:before="60" w:line="240"/>
        <w:jc w:val="left"/>
      </w:pPr>
      <w:r>
        <w:rPr>
          <w:rFonts w:ascii="Times New Roman" w:cs="Times New Roman" w:eastAsia="Times New Roman" w:hAnsi="Times New Roman"/>
          <w:i/>
          <w:iCs/>
          <w:color w:val="333333"/>
          <w:sz w:val="17"/>
          <w:szCs w:val="17"/>
        </w:rPr>
        <w:t xml:space="preserve">Table 2. Ranking quality on the test split. The nested hybrid ranks best at every cutoff. Plain SVD does not beat the non-personalized baseline at any of the three.</w:t>
      </w:r>
    </w:p>
    <w:p>
      <w:pPr>
        <w:spacing w:after="120" w:line="260"/>
        <w:jc w:val="both"/>
      </w:pPr>
      <w:r>
        <w:rPr>
          <w:rFonts w:ascii="Times New Roman" w:cs="Times New Roman" w:eastAsia="Times New Roman" w:hAnsi="Times New Roman"/>
          <w:sz w:val="20"/>
          <w:szCs w:val="20"/>
        </w:rPr>
        <w:t xml:space="preserve">Plain SVD loses to Most-Popular at all three cutoffs, and I-AutoRec loses to it more heavily. This reproduces the effect Cremonesi et al. (2010) report: a model selected for rating error is not thereby a good ranker, and a popularity baseline is a harder target than it looks. Only the weighted hybrids clear it. Section 5.8 revisits the SVD comparison, because the margin is small enough to be worth testing.</w:t>
      </w:r>
    </w:p>
    <w:p>
      <w:pPr>
        <w:pStyle w:val="Heading2"/>
        <w:spacing w:after="110" w:before="220"/>
      </w:pPr>
      <w:r>
        <w:rPr>
          <w:rFonts w:ascii="Times New Roman" w:cs="Times New Roman" w:eastAsia="Times New Roman" w:hAnsi="Times New Roman"/>
          <w:b/>
          <w:bCs/>
          <w:color w:val="000000"/>
          <w:sz w:val="22"/>
          <w:szCs w:val="22"/>
        </w:rPr>
        <w:t xml:space="preserve">5.5 Beyond accuracy: the central result</w:t>
      </w:r>
    </w:p>
    <w:p>
      <w:pPr>
        <w:spacing w:after="100" w:line="260"/>
        <w:jc w:val="both"/>
      </w:pPr>
      <w:r>
        <w:rPr>
          <w:rFonts w:ascii="Times New Roman" w:cs="Times New Roman" w:eastAsia="Times New Roman" w:hAnsi="Times New Roman"/>
          <w:sz w:val="20"/>
          <w:szCs w:val="20"/>
        </w:rPr>
        <w:t xml:space="preserve">Table 3 puts every metric family in one place. Split across separate tables, the result is easy to miss.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1217"/>
        <w:gridCol w:w="1310"/>
        <w:gridCol w:w="1030"/>
        <w:gridCol w:w="1217"/>
        <w:gridCol w:w="1217"/>
        <w:gridCol w:w="935"/>
      </w:tblGrid>
      <w:tr>
        <w:trPr>
          <w:tblHeader/>
        </w:trPr>
        <w:tc>
          <w:tcPr>
            <w:tcW w:type="dxa" w:w="2434"/>
            <w:shd w:fill="E6E6E6" w:val="clear"/>
            <w:tcMar>
              <w:top w:type="dxa" w:w="50"/>
              <w:left w:type="dxa" w:w="90"/>
              <w:bottom w:type="dxa" w:w="50"/>
              <w:right w:type="dxa" w:w="90"/>
            </w:tcMar>
          </w:tcPr>
          <w:p>
            <w:pPr>
              <w:spacing w:after="0" w:line="230"/>
              <w:jc w:val="left"/>
            </w:pPr>
            <w:r>
              <w:rPr>
                <w:rFonts w:ascii="Times New Roman" w:cs="Times New Roman" w:eastAsia="Times New Roman" w:hAnsi="Times New Roman"/>
                <w:b/>
                <w:bCs/>
                <w:sz w:val="17"/>
                <w:szCs w:val="17"/>
              </w:rPr>
              <w:t xml:space="preserve">Model</w:t>
            </w:r>
          </w:p>
        </w:tc>
        <w:tc>
          <w:tcPr>
            <w:tcW w:type="dxa" w:w="1217"/>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RMSE</w:t>
            </w:r>
          </w:p>
        </w:tc>
        <w:tc>
          <w:tcPr>
            <w:tcW w:type="dxa" w:w="1310"/>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NDCG@10</w:t>
            </w:r>
          </w:p>
        </w:tc>
        <w:tc>
          <w:tcPr>
            <w:tcW w:type="dxa" w:w="1030"/>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Cov.</w:t>
            </w:r>
          </w:p>
        </w:tc>
        <w:tc>
          <w:tcPr>
            <w:tcW w:type="dxa" w:w="1217"/>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Novelty</w:t>
            </w:r>
          </w:p>
        </w:tc>
        <w:tc>
          <w:tcPr>
            <w:tcW w:type="dxa" w:w="1217"/>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Seren.</w:t>
            </w:r>
          </w:p>
        </w:tc>
        <w:tc>
          <w:tcPr>
            <w:tcW w:type="dxa" w:w="935"/>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Cold</w:t>
            </w:r>
          </w:p>
        </w:tc>
      </w:tr>
      <w:tr>
        <w:tc>
          <w:tcPr>
            <w:tcW w:type="dxa" w:w="243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SVD</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0.8734</w:t>
            </w:r>
          </w:p>
        </w:tc>
        <w:tc>
          <w:tcPr>
            <w:tcW w:type="dxa" w:w="131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0.1502</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4.0%</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2.34</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0.0861</w:t>
            </w:r>
          </w:p>
        </w:tc>
        <w:tc>
          <w:tcPr>
            <w:tcW w:type="dxa" w:w="93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w:t>
            </w:r>
          </w:p>
        </w:tc>
      </w:tr>
      <w:tr>
        <w:tc>
          <w:tcPr>
            <w:tcW w:type="dxa" w:w="243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Content</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w:t>
            </w:r>
          </w:p>
        </w:tc>
        <w:tc>
          <w:tcPr>
            <w:tcW w:type="dxa" w:w="131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0.0359</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24.9%</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6.76</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0.0183</w:t>
            </w:r>
          </w:p>
        </w:tc>
        <w:tc>
          <w:tcPr>
            <w:tcW w:type="dxa" w:w="93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481</w:t>
            </w:r>
          </w:p>
        </w:tc>
      </w:tr>
      <w:tr>
        <w:tc>
          <w:tcPr>
            <w:tcW w:type="dxa" w:w="243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Hybrid (weighted)</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w:t>
            </w:r>
          </w:p>
        </w:tc>
        <w:tc>
          <w:tcPr>
            <w:tcW w:type="dxa" w:w="131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0.1605</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5.5%</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2.49</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0.0872</w:t>
            </w:r>
          </w:p>
        </w:tc>
        <w:tc>
          <w:tcPr>
            <w:tcW w:type="dxa" w:w="93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6</w:t>
            </w:r>
          </w:p>
        </w:tc>
      </w:tr>
      <w:tr>
        <w:tc>
          <w:tcPr>
            <w:tcW w:type="dxa" w:w="243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Hybrid (switching)</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w:t>
            </w:r>
          </w:p>
        </w:tc>
        <w:tc>
          <w:tcPr>
            <w:tcW w:type="dxa" w:w="131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0.1474</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4.2%</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2.40</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0.0841</w:t>
            </w:r>
          </w:p>
        </w:tc>
        <w:tc>
          <w:tcPr>
            <w:tcW w:type="dxa" w:w="93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60</w:t>
            </w:r>
          </w:p>
        </w:tc>
      </w:tr>
      <w:tr>
        <w:tc>
          <w:tcPr>
            <w:tcW w:type="dxa" w:w="243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Most-Popular</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w:t>
            </w:r>
          </w:p>
        </w:tc>
        <w:tc>
          <w:tcPr>
            <w:tcW w:type="dxa" w:w="131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0.1549</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0.6%</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1.65</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0.0782</w:t>
            </w:r>
          </w:p>
        </w:tc>
        <w:tc>
          <w:tcPr>
            <w:tcW w:type="dxa" w:w="93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w:t>
            </w:r>
          </w:p>
        </w:tc>
      </w:tr>
      <w:tr>
        <w:tc>
          <w:tcPr>
            <w:tcW w:type="dxa" w:w="243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I-AutoRec</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0.8517</w:t>
            </w:r>
          </w:p>
        </w:tc>
        <w:tc>
          <w:tcPr>
            <w:tcW w:type="dxa" w:w="131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0.1432</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0.6%</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1.86</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0.0736</w:t>
            </w:r>
          </w:p>
        </w:tc>
        <w:tc>
          <w:tcPr>
            <w:tcW w:type="dxa" w:w="93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w:t>
            </w:r>
          </w:p>
        </w:tc>
      </w:tr>
      <w:tr>
        <w:tc>
          <w:tcPr>
            <w:tcW w:type="dxa" w:w="2434"/>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Nested Hybrid</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w:t>
            </w:r>
          </w:p>
        </w:tc>
        <w:tc>
          <w:tcPr>
            <w:tcW w:type="dxa" w:w="131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0.1643</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5.1%</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2.42</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0.0900</w:t>
            </w:r>
          </w:p>
        </w:tc>
        <w:tc>
          <w:tcPr>
            <w:tcW w:type="dxa" w:w="93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w:t>
            </w:r>
          </w:p>
        </w:tc>
      </w:tr>
    </w:tbl>
    <w:p>
      <w:pPr>
        <w:spacing w:after="200" w:before="60" w:line="240"/>
        <w:jc w:val="left"/>
      </w:pPr>
      <w:r>
        <w:rPr>
          <w:rFonts w:ascii="Times New Roman" w:cs="Times New Roman" w:eastAsia="Times New Roman" w:hAnsi="Times New Roman"/>
          <w:i/>
          <w:iCs/>
          <w:color w:val="333333"/>
          <w:sz w:val="17"/>
          <w:szCs w:val="17"/>
        </w:rPr>
        <w:t xml:space="preserve">Table 3. All seven systems, all five metric families, one split. A dash in the RMSE column is a property of the model, not missing data: the content model and the hybrids output blended z-scores, so a rating error is undefined for them. Novelty is on a scale where a uniformly random recommender scores 7.13.</w:t>
      </w:r>
    </w:p>
    <w:p>
      <w:pPr>
        <w:spacing w:after="120" w:line="260"/>
        <w:jc w:val="both"/>
      </w:pPr>
      <w:r>
        <w:rPr>
          <w:rFonts w:ascii="Times New Roman" w:cs="Times New Roman" w:eastAsia="Times New Roman" w:hAnsi="Times New Roman"/>
          <w:sz w:val="20"/>
          <w:szCs w:val="20"/>
        </w:rPr>
        <w:t xml:space="preserve">Six measures are available — lowest rating error, highest NDCG@10, highest novelty, highest serendipity, widest coverage, most cold-start reach — and three different models hold them. I-AutoRec has the lowest rating error, the nested hybrid the best ranking and the highest serendipity, and the content model the widest coverage, the highest novelty and the most cold-start reach. No ordering of the seven systems is consistent across the table, which is the project's central finding and the reason it does not report a single best model.</w:t>
      </w:r>
    </w:p>
    <w:p>
      <w:pPr>
        <w:spacing w:after="120" w:line="260"/>
        <w:jc w:val="both"/>
      </w:pPr>
      <w:r>
        <w:rPr>
          <w:rFonts w:ascii="Times New Roman" w:cs="Times New Roman" w:eastAsia="Times New Roman" w:hAnsi="Times New Roman"/>
          <w:sz w:val="20"/>
          <w:szCs w:val="20"/>
        </w:rPr>
        <w:t xml:space="preserve">The novelty column sharpens what coverage only hints at. I-AutoRec's coverage of 0.6% is identical to the non-personalized baseline's, which establishes that it is as narrow; its novelty of 1.86 against that baseline's 1.65 establishes something stronger, that it is narrow in the same place. On a scale where picking uniformly at random scores 7.13, the six accuracy-oriented systems all fall between 1.65 and 2.49. They are not somewhat popularity-biased; they occupy the bottom quarter of the scale. I-AutoRec's advantage in Table 1 is bought by predicting well on films almost everyone has already rated.</w:t>
      </w:r>
    </w:p>
    <w:p>
      <w:pPr>
        <w:spacing w:after="120" w:line="260"/>
        <w:jc w:val="both"/>
      </w:pPr>
      <w:r>
        <w:rPr>
          <w:rFonts w:ascii="Times New Roman" w:cs="Times New Roman" w:eastAsia="Times New Roman" w:hAnsi="Times New Roman"/>
          <w:sz w:val="20"/>
          <w:szCs w:val="20"/>
        </w:rPr>
        <w:t xml:space="preserve">Serendipity tells the same story from the accuracy side. Because it shares Precision@10's denominator and scale, the ratio of the two is interpretable directly as the share of a model's hits that were not on best-sellers: 0.678 for Most-Popular, 0.702 for I-AutoRec, rising through 0.739 for SVD and 0.748 for the nested hybrid to 0.851 for the content model. The ordering is the opposite of the ranking ordering in Table 2.</w:t>
      </w:r>
    </w:p>
    <w:p>
      <w:pPr>
        <w:pBdr>
          <w:top w:val="dashed" w:color="AAAAAA" w:sz="4" w:space="8"/>
          <w:bottom w:val="dashed" w:color="AAAAAA" w:sz="4" w:space="8"/>
          <w:left w:val="dashed" w:color="AAAAAA" w:sz="4" w:space="8"/>
          <w:right w:val="dashed" w:color="AAAAAA" w:sz="4" w:space="8"/>
        </w:pBdr>
        <w:shd w:fill="F2F2F2" w:val="clear"/>
        <w:spacing w:after="60" w:before="140" w:line="240"/>
        <w:jc w:val="center"/>
      </w:pPr>
      <w:r>
        <w:rPr>
          <w:rFonts w:ascii="Times New Roman" w:cs="Times New Roman" w:eastAsia="Times New Roman" w:hAnsi="Times New Roman"/>
          <w:color w:val="555555"/>
          <w:sz w:val="17"/>
          <w:szCs w:val="17"/>
        </w:rPr>
        <w:t xml:space="preserve">[ Figure 2 — place </w:t>
      </w:r>
      <w:r>
        <w:rPr>
          <w:rFonts w:ascii="Times New Roman" w:cs="Times New Roman" w:eastAsia="Times New Roman" w:hAnsi="Times New Roman"/>
          <w:b/>
          <w:bCs/>
          <w:color w:val="555555"/>
          <w:sz w:val="17"/>
          <w:szCs w:val="17"/>
        </w:rPr>
        <w:t xml:space="preserve">notebook Step 13 graph (panel 13c)</w:t>
      </w:r>
      <w:r>
        <w:rPr>
          <w:rFonts w:ascii="Times New Roman" w:cs="Times New Roman" w:eastAsia="Times New Roman" w:hAnsi="Times New Roman"/>
          <w:color w:val="555555"/>
          <w:sz w:val="17"/>
          <w:szCs w:val="17"/>
        </w:rPr>
        <w:t xml:space="preserve"> here ]</w:t>
      </w:r>
    </w:p>
    <w:p>
      <w:pPr>
        <w:spacing w:after="200" w:before="60" w:line="240"/>
        <w:jc w:val="left"/>
      </w:pPr>
      <w:r>
        <w:rPr>
          <w:rFonts w:ascii="Times New Roman" w:cs="Times New Roman" w:eastAsia="Times New Roman" w:hAnsi="Times New Roman"/>
          <w:i/>
          <w:iCs/>
          <w:color w:val="333333"/>
          <w:sz w:val="17"/>
          <w:szCs w:val="17"/>
        </w:rPr>
        <w:t xml:space="preserve">Figure 2. The accuracy/novelty frontier. Each system is one point. If any model dominated it would sit alone in the upper right; none does. The inset zooms the six systems that cluster in the lower right, all of them below the line a random recommender would reach.</w:t>
      </w:r>
    </w:p>
    <w:p>
      <w:pPr>
        <w:pStyle w:val="Heading2"/>
        <w:spacing w:after="110" w:before="220"/>
      </w:pPr>
      <w:r>
        <w:rPr>
          <w:rFonts w:ascii="Times New Roman" w:cs="Times New Roman" w:eastAsia="Times New Roman" w:hAnsi="Times New Roman"/>
          <w:b/>
          <w:bCs/>
          <w:color w:val="000000"/>
          <w:sz w:val="22"/>
          <w:szCs w:val="22"/>
        </w:rPr>
        <w:t xml:space="preserve">5.6 Cold start is a data problem, not an architecture problem</w:t>
      </w:r>
    </w:p>
    <w:p>
      <w:pPr>
        <w:spacing w:after="120" w:line="260"/>
        <w:jc w:val="both"/>
      </w:pPr>
      <w:r>
        <w:rPr>
          <w:rFonts w:ascii="Times New Roman" w:cs="Times New Roman" w:eastAsia="Times New Roman" w:hAnsi="Times New Roman"/>
          <w:sz w:val="20"/>
          <w:szCs w:val="20"/>
        </w:rPr>
        <w:t xml:space="preserve">The 732 cold items provide a direct test of whether model capacity can compensate for missing signal. For the SVD, the largest absolute difference between the predicted rating on a cold item and the user's own mean is 0.00e+00 across every such row, and RMSE on those rows equals the user-mean baseline's exactly, at 0.9805. For I-AutoRec, the standard deviation of a given user's predictions across all 732 cold items is 0.00e+00, against a standard deviation between 0.17 and 0.50 on a sample of 200 warm items for the same users.</w:t>
      </w:r>
    </w:p>
    <w:p>
      <w:pPr>
        <w:spacing w:after="120" w:line="260"/>
        <w:jc w:val="both"/>
      </w:pPr>
      <w:r>
        <w:rPr>
          <w:rFonts w:ascii="Times New Roman" w:cs="Times New Roman" w:eastAsia="Times New Roman" w:hAnsi="Times New Roman"/>
          <w:sz w:val="20"/>
          <w:szCs w:val="20"/>
        </w:rPr>
        <w:t xml:space="preserve">A deeper, non-linear model therefore does not solve cold start by being more expressive. Both models are looking at an all-zero input and can only return a constant. This is a mathematical consequence of the architectures rather than a statistical finding, and Section 5.8 confirms it holds unchanged on every split tested.</w:t>
      </w:r>
    </w:p>
    <w:p>
      <w:pPr>
        <w:spacing w:after="120" w:line="260"/>
        <w:jc w:val="both"/>
      </w:pPr>
      <w:r>
        <w:rPr>
          <w:rFonts w:ascii="Times New Roman" w:cs="Times New Roman" w:eastAsia="Times New Roman" w:hAnsi="Times New Roman"/>
          <w:sz w:val="20"/>
          <w:szCs w:val="20"/>
        </w:rPr>
        <w:t xml:space="preserve">Content signal is what breaks the tie. The content model places 481 cold items into top-10 lists out of 6,100 slots; the switching hybrid, which hands cold items to the content component instead of averaging them against a flat collaborative score, reaches 60; the weighted hybrid reaches 6; SVD, I-AutoRec and Most-Popular reach none. The cap is the blend weight rather than the text: Appendix A reports that raising text coverage of cold items from 18% to 98% left the weighted hybrid's cold reach at exactly 6.</w:t>
      </w:r>
    </w:p>
    <w:p>
      <w:pPr>
        <w:pStyle w:val="Heading2"/>
        <w:spacing w:after="110" w:before="220"/>
      </w:pPr>
      <w:r>
        <w:rPr>
          <w:rFonts w:ascii="Times New Roman" w:cs="Times New Roman" w:eastAsia="Times New Roman" w:hAnsi="Times New Roman"/>
          <w:b/>
          <w:bCs/>
          <w:color w:val="000000"/>
          <w:sz w:val="22"/>
          <w:szCs w:val="22"/>
        </w:rPr>
        <w:t xml:space="preserve">5.7 Ablations</w:t>
      </w:r>
    </w:p>
    <w:p>
      <w:pPr>
        <w:spacing w:after="80" w:line="260"/>
        <w:jc w:val="both"/>
      </w:pPr>
      <w:r>
        <w:rPr>
          <w:rFonts w:ascii="Times New Roman" w:cs="Times New Roman" w:eastAsia="Times New Roman" w:hAnsi="Times New Roman"/>
          <w:sz w:val="20"/>
          <w:szCs w:val="20"/>
        </w:rPr>
        <w:t xml:space="preserve">Four ablations were run; Appendix B gives the full grids.</w:t>
      </w:r>
    </w:p>
    <w:p>
      <w:pPr>
        <w:pStyle w:val="ListParagraph"/>
        <w:numPr>
          <w:ilvl w:val="0"/>
          <w:numId w:val="3"/>
        </w:numPr>
        <w:spacing w:after="70" w:line="260"/>
        <w:jc w:val="both"/>
      </w:pPr>
      <w:r>
        <w:rPr>
          <w:rFonts w:ascii="Times New Roman" w:cs="Times New Roman" w:eastAsia="Times New Roman" w:hAnsi="Times New Roman"/>
          <w:sz w:val="20"/>
          <w:szCs w:val="20"/>
        </w:rPr>
        <w:t xml:space="preserve">Item-bias term. Removing it, by substituting the library TruncatedSVD, costs 0.0419 RMSE (Table 1).</w:t>
      </w:r>
    </w:p>
    <w:p>
      <w:pPr>
        <w:pStyle w:val="ListParagraph"/>
        <w:numPr>
          <w:ilvl w:val="0"/>
          <w:numId w:val="3"/>
        </w:numPr>
        <w:spacing w:after="70" w:line="260"/>
        <w:jc w:val="both"/>
      </w:pPr>
      <w:r>
        <w:rPr>
          <w:rFonts w:ascii="Times New Roman" w:cs="Times New Roman" w:eastAsia="Times New Roman" w:hAnsi="Times New Roman"/>
          <w:sz w:val="20"/>
          <w:szCs w:val="20"/>
        </w:rPr>
        <w:t xml:space="preserve">Genre tokens in the content model. Adding genre tokens to the TF-IDF features hurt validation ranking quality and was rejected.</w:t>
      </w:r>
    </w:p>
    <w:p>
      <w:pPr>
        <w:pStyle w:val="ListParagraph"/>
        <w:numPr>
          <w:ilvl w:val="0"/>
          <w:numId w:val="3"/>
        </w:numPr>
        <w:spacing w:after="70" w:line="260"/>
        <w:jc w:val="both"/>
      </w:pPr>
      <w:r>
        <w:rPr>
          <w:rFonts w:ascii="Times New Roman" w:cs="Times New Roman" w:eastAsia="Times New Roman" w:hAnsi="Times New Roman"/>
          <w:sz w:val="20"/>
          <w:szCs w:val="20"/>
        </w:rPr>
        <w:t xml:space="preserve">Blend weight and fallback strategy. Validation NDCG@10 was swept across alpha from 0.0 to 1.0 under two fallback strategies; alpha = 0.5 with the neutral fallback was selected.</w:t>
      </w:r>
    </w:p>
    <w:p>
      <w:pPr>
        <w:pStyle w:val="ListParagraph"/>
        <w:numPr>
          <w:ilvl w:val="0"/>
          <w:numId w:val="3"/>
        </w:numPr>
        <w:spacing w:after="70" w:line="260"/>
        <w:jc w:val="both"/>
      </w:pPr>
      <w:r>
        <w:rPr>
          <w:rFonts w:ascii="Times New Roman" w:cs="Times New Roman" w:eastAsia="Times New Roman" w:hAnsi="Times New Roman"/>
          <w:sz w:val="20"/>
          <w:szCs w:val="20"/>
        </w:rPr>
        <w:t xml:space="preserve">Capacity and regularisation in I-AutoRec. Validation RMSE improved monotonically with hidden width up to 200, while validation NDCG@10 was maximised at width 25 with the strongest weight decay tested — the configuration whose validation RMSE, 1.0819, is worse than the user-mean baseline's. The two metric families select opposite ends of the same grid.</w:t>
      </w:r>
    </w:p>
    <w:p>
      <w:pPr>
        <w:pBdr>
          <w:top w:val="single" w:color="E8CB8A" w:sz="2" w:space="3"/>
          <w:bottom w:val="single" w:color="E8CB8A" w:sz="2" w:space="3"/>
          <w:left w:val="single" w:color="D89B0C" w:sz="18" w:space="6"/>
          <w:right w:val="single" w:color="E8CB8A" w:sz="2" w:space="3"/>
        </w:pBdr>
        <w:shd w:fill="FFF3D6" w:val="clear"/>
        <w:spacing w:after="130" w:before="90" w:line="260"/>
      </w:pPr>
      <w:r>
        <w:rPr>
          <w:rFonts w:ascii="Times New Roman" w:cs="Times New Roman" w:eastAsia="Times New Roman" w:hAnsi="Times New Roman"/>
          <w:b/>
          <w:bCs/>
          <w:color w:val="8A6208"/>
          <w:sz w:val="18"/>
          <w:szCs w:val="18"/>
        </w:rPr>
        <w:t xml:space="preserve">TODO  </w:t>
      </w:r>
      <w:r>
        <w:rPr>
          <w:rFonts w:ascii="Times New Roman" w:cs="Times New Roman" w:eastAsia="Times New Roman" w:hAnsi="Times New Roman"/>
          <w:color w:val="5C4406"/>
          <w:sz w:val="18"/>
          <w:szCs w:val="18"/>
        </w:rPr>
        <w:t xml:space="preserve">That last ablation is a strong result and deserves a sentence of its own in the report. It is the clearest single piece of evidence for the paper's thesis: the same model class, the same grid, two metrics, opposite winners.</w:t>
      </w:r>
    </w:p>
    <w:p>
      <w:pPr>
        <w:pStyle w:val="Heading2"/>
        <w:spacing w:after="110" w:before="220"/>
      </w:pPr>
      <w:r>
        <w:rPr>
          <w:rFonts w:ascii="Times New Roman" w:cs="Times New Roman" w:eastAsia="Times New Roman" w:hAnsi="Times New Roman"/>
          <w:b/>
          <w:bCs/>
          <w:color w:val="000000"/>
          <w:sz w:val="22"/>
          <w:szCs w:val="22"/>
        </w:rPr>
        <w:t xml:space="preserve">5.8 Robustness across splits</w:t>
      </w:r>
    </w:p>
    <w:p>
      <w:pPr>
        <w:spacing w:after="120" w:line="260"/>
        <w:jc w:val="both"/>
      </w:pPr>
      <w:r>
        <w:rPr>
          <w:rFonts w:ascii="Times New Roman" w:cs="Times New Roman" w:eastAsia="Times New Roman" w:hAnsi="Times New Roman"/>
          <w:sz w:val="20"/>
          <w:szCs w:val="20"/>
        </w:rPr>
        <w:t xml:space="preserve">Every number above comes from one split. Following Meng et al. (2020), the entire seven-model comparison was repeated on four splits — the reported seed plus three chosen in advance — with hyperparameters held at the values the reported split's validation set selected. Any single model's NDCG@10 moves by up to 0.0123 between splits, so two models closer together than that on one split cannot be called separable from that split alone.</w:t>
      </w:r>
    </w:p>
    <w:p>
      <w:pPr>
        <w:spacing w:after="120" w:line="260"/>
        <w:jc w:val="both"/>
      </w:pPr>
      <w:r>
        <w:rPr>
          <w:rFonts w:ascii="Times New Roman" w:cs="Times New Roman" w:eastAsia="Times New Roman" w:hAnsi="Times New Roman"/>
          <w:sz w:val="20"/>
          <w:szCs w:val="20"/>
        </w:rPr>
        <w:t xml:space="preserve">Comparing pairwise within each split is the sharper test, because all seven systems share the split and a generous split lifts them together; differencing cancels that shared movement. Table 4 reports the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1685"/>
        <w:gridCol w:w="1404"/>
        <w:gridCol w:w="2340"/>
      </w:tblGrid>
      <w:tr>
        <w:trPr>
          <w:tblHeader/>
        </w:trPr>
        <w:tc>
          <w:tcPr>
            <w:tcW w:type="dxa" w:w="3931"/>
            <w:shd w:fill="E6E6E6" w:val="clear"/>
            <w:tcMar>
              <w:top w:type="dxa" w:w="50"/>
              <w:left w:type="dxa" w:w="90"/>
              <w:bottom w:type="dxa" w:w="50"/>
              <w:right w:type="dxa" w:w="90"/>
            </w:tcMar>
          </w:tcPr>
          <w:p>
            <w:pPr>
              <w:spacing w:after="0" w:line="230"/>
              <w:jc w:val="left"/>
            </w:pPr>
            <w:r>
              <w:rPr>
                <w:rFonts w:ascii="Times New Roman" w:cs="Times New Roman" w:eastAsia="Times New Roman" w:hAnsi="Times New Roman"/>
                <w:b/>
                <w:bCs/>
                <w:sz w:val="17"/>
                <w:szCs w:val="17"/>
              </w:rPr>
              <w:t xml:space="preserve">Ordering</w:t>
            </w:r>
          </w:p>
        </w:tc>
        <w:tc>
          <w:tcPr>
            <w:tcW w:type="dxa" w:w="1685"/>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mean |diff|</w:t>
            </w:r>
          </w:p>
        </w:tc>
        <w:tc>
          <w:tcPr>
            <w:tcW w:type="dxa" w:w="1404"/>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std</w:t>
            </w:r>
          </w:p>
        </w:tc>
        <w:tc>
          <w:tcPr>
            <w:tcW w:type="dxa" w:w="2340"/>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Verdict</w:t>
            </w:r>
          </w:p>
        </w:tc>
      </w:tr>
      <w:tr>
        <w:tc>
          <w:tcPr>
            <w:tcW w:type="dxa" w:w="3931"/>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Nested Hybrid &gt; Hybrid (weighted)</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0.0035</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0.0007</w:t>
            </w:r>
          </w:p>
        </w:tc>
        <w:tc>
          <w:tcPr>
            <w:tcW w:type="dxa" w:w="234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holds 4/4</w:t>
            </w:r>
          </w:p>
        </w:tc>
      </w:tr>
      <w:tr>
        <w:tc>
          <w:tcPr>
            <w:tcW w:type="dxa" w:w="3931"/>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Hybrid (weighted) &gt; SVD</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0.0103</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0.0019</w:t>
            </w:r>
          </w:p>
        </w:tc>
        <w:tc>
          <w:tcPr>
            <w:tcW w:type="dxa" w:w="234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holds 4/4</w:t>
            </w:r>
          </w:p>
        </w:tc>
      </w:tr>
      <w:tr>
        <w:tc>
          <w:tcPr>
            <w:tcW w:type="dxa" w:w="3931"/>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Nested Hybrid &gt; Most-Popular</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0.0150</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0.0066</w:t>
            </w:r>
          </w:p>
        </w:tc>
        <w:tc>
          <w:tcPr>
            <w:tcW w:type="dxa" w:w="234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holds 4/4</w:t>
            </w:r>
          </w:p>
        </w:tc>
      </w:tr>
      <w:tr>
        <w:tc>
          <w:tcPr>
            <w:tcW w:type="dxa" w:w="3931"/>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Most-Popular &gt; I-AutoRec</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0.0073</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0.0043</w:t>
            </w:r>
          </w:p>
        </w:tc>
        <w:tc>
          <w:tcPr>
            <w:tcW w:type="dxa" w:w="234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holds 4/4</w:t>
            </w:r>
          </w:p>
        </w:tc>
      </w:tr>
      <w:tr>
        <w:tc>
          <w:tcPr>
            <w:tcW w:type="dxa" w:w="3931"/>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SVD &gt; Hybrid (switching)</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0.0025</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0.0005</w:t>
            </w:r>
          </w:p>
        </w:tc>
        <w:tc>
          <w:tcPr>
            <w:tcW w:type="dxa" w:w="234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holds 4/4</w:t>
            </w:r>
          </w:p>
        </w:tc>
      </w:tr>
      <w:tr>
        <w:tc>
          <w:tcPr>
            <w:tcW w:type="dxa" w:w="3931"/>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SVD vs Most-Popular</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0.0012</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0.0052</w:t>
            </w:r>
          </w:p>
        </w:tc>
        <w:tc>
          <w:tcPr>
            <w:tcW w:type="dxa" w:w="234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sign flips — not separable</w:t>
            </w:r>
          </w:p>
        </w:tc>
      </w:tr>
    </w:tbl>
    <w:p>
      <w:pPr>
        <w:spacing w:after="200" w:before="60" w:line="240"/>
        <w:jc w:val="left"/>
      </w:pPr>
      <w:r>
        <w:rPr>
          <w:rFonts w:ascii="Times New Roman" w:cs="Times New Roman" w:eastAsia="Times New Roman" w:hAnsi="Times New Roman"/>
          <w:i/>
          <w:iCs/>
          <w:color w:val="333333"/>
          <w:sz w:val="17"/>
          <w:szCs w:val="17"/>
        </w:rPr>
        <w:t xml:space="preserve">Table 4. Head-to-head orderings, differenced within each of four splits. Five of the six hold on every split; the sixth does not.</w:t>
      </w:r>
    </w:p>
    <w:p>
      <w:pPr>
        <w:spacing w:after="120" w:line="260"/>
        <w:jc w:val="both"/>
      </w:pPr>
      <w:r>
        <w:rPr>
          <w:rFonts w:ascii="Times New Roman" w:cs="Times New Roman" w:eastAsia="Times New Roman" w:hAnsi="Times New Roman"/>
          <w:sz w:val="20"/>
          <w:szCs w:val="20"/>
        </w:rPr>
        <w:t xml:space="preserve">Eight of ten claims tested hold on all four splits. The exception is the SVD comparison from Section 5.4. On the reported split SVD loses to Most-Popular at all three cutoffs, but across four splits the difference averages +0.0012 NDCG@10 and changes sign twice. The defensible claim is therefore not that collaborative filtering is worse than recommending best-sellers but that it cannot be distinguished from it — which motivates the hybrid just as strongly, and is a claim the evidence actually supports.</w:t>
      </w:r>
    </w:p>
    <w:p>
      <w:pPr>
        <w:spacing w:after="120" w:line="260"/>
        <w:jc w:val="both"/>
      </w:pPr>
      <w:r>
        <w:rPr>
          <w:rFonts w:ascii="Times New Roman" w:cs="Times New Roman" w:eastAsia="Times New Roman" w:hAnsi="Times New Roman"/>
          <w:sz w:val="20"/>
          <w:szCs w:val="20"/>
        </w:rPr>
        <w:t xml:space="preserve">The hybrid's own advantage is unaffected: the weighted hybrids beat plain SVD on every split by +0.0103 ± 0.0019. The beyond-accuracy findings are considerably more stable than the ranking ones — the content model's coverage is 24.9% ± 0.2% and its novelty 6.74 ± 0.03 across all four splits — and the zero-variance cold-item result holds exactly, as the argument in Section 5.6 requires.</w:t>
      </w:r>
    </w:p>
    <w:p>
      <w:pPr>
        <w:pStyle w:val="Heading2"/>
        <w:spacing w:after="110" w:before="220"/>
      </w:pPr>
      <w:r>
        <w:rPr>
          <w:rFonts w:ascii="Times New Roman" w:cs="Times New Roman" w:eastAsia="Times New Roman" w:hAnsi="Times New Roman"/>
          <w:b/>
          <w:bCs/>
          <w:color w:val="000000"/>
          <w:sz w:val="22"/>
          <w:szCs w:val="22"/>
        </w:rPr>
        <w:t xml:space="preserve">5.9 Error analysis</w:t>
      </w:r>
    </w:p>
    <w:p>
      <w:pPr>
        <w:spacing w:after="120" w:line="260"/>
        <w:jc w:val="both"/>
      </w:pPr>
      <w:r>
        <w:rPr>
          <w:rFonts w:ascii="Times New Roman" w:cs="Times New Roman" w:eastAsia="Times New Roman" w:hAnsi="Times New Roman"/>
          <w:sz w:val="20"/>
          <w:szCs w:val="20"/>
        </w:rPr>
        <w:t xml:space="preserve">Three failures are worth reporting. First, selection noise is visible at this scale: the nested hybrid's validation grid was won by a degenerate corner, alpha-one = 0 and alpha-two = 1, which reduces the three-model system to I-AutoRec alone. It beat the best genuine three-model blend by 0.0006 NDCG@10 on validation and then lost to it on test by 0.0211, 0.1432 against 0.1643. Differences in the fourth decimal on a validation set of roughly 600 users should not be treated as real, and the reported system uses the interior blend for that reason.</w:t>
      </w:r>
    </w:p>
    <w:p>
      <w:pPr>
        <w:spacing w:after="120" w:line="260"/>
        <w:jc w:val="both"/>
      </w:pPr>
      <w:r>
        <w:rPr>
          <w:rFonts w:ascii="Times New Roman" w:cs="Times New Roman" w:eastAsia="Times New Roman" w:hAnsi="Times New Roman"/>
          <w:sz w:val="20"/>
          <w:szCs w:val="20"/>
        </w:rPr>
        <w:t xml:space="preserve">Second, expanding the plot-text corpus improved the content model's coverage and made its ranking worse. Cold items are 2.92% of the relevant held-out ratings, so promoting one into a top-10 usually costs a slot that a popular item would have converted. Offline ranking metrics can only credit items somebody already rated and therefore penalise discovery systematically; this is a limitation of the evaluation, not a regression in the model. Appendix A gives the figures.</w:t>
      </w:r>
    </w:p>
    <w:p>
      <w:pPr>
        <w:spacing w:after="120" w:line="260"/>
        <w:jc w:val="both"/>
      </w:pPr>
      <w:r>
        <w:rPr>
          <w:rFonts w:ascii="Times New Roman" w:cs="Times New Roman" w:eastAsia="Times New Roman" w:hAnsi="Times New Roman"/>
          <w:sz w:val="20"/>
          <w:szCs w:val="20"/>
        </w:rPr>
        <w:t xml:space="preserve">Third, the switching hybrid ranks consistently below plain SVD, by 0.0025 ± 0.0005 across four splits, while reaching 60 cold-start slots against SVD's zero. That single pair contains the accuracy/coverage trade-off in both directions, and both directions are separable.</w:t>
      </w:r>
    </w:p>
    <w:p>
      <w:pPr>
        <w:pStyle w:val="Heading1"/>
        <w:spacing w:after="140" w:before="300"/>
      </w:pPr>
      <w:r>
        <w:rPr>
          <w:rFonts w:ascii="Times New Roman" w:cs="Times New Roman" w:eastAsia="Times New Roman" w:hAnsi="Times New Roman"/>
          <w:b/>
          <w:bCs/>
          <w:color w:val="000000"/>
          <w:sz w:val="26"/>
          <w:szCs w:val="26"/>
        </w:rPr>
        <w:t xml:space="preserve">6. Conclusion</w:t>
      </w:r>
    </w:p>
    <w:p>
      <w:pPr>
        <w:spacing w:after="120" w:line="260"/>
        <w:jc w:val="both"/>
      </w:pPr>
      <w:r>
        <w:rPr>
          <w:rFonts w:ascii="Times New Roman" w:cs="Times New Roman" w:eastAsia="Times New Roman" w:hAnsi="Times New Roman"/>
          <w:sz w:val="20"/>
          <w:szCs w:val="20"/>
        </w:rPr>
        <w:t xml:space="preserve">Seven movie recommenders were built and evaluated on one held-out split under five families of measure. The nested hybrid ranks best (NDCG@10 0.1643) and is the most serendipitous; I-AutoRec has the lowest rating error (0.8517) while recommending from 0.6% of the catalogue, the same fraction as a non-personalized baseline and from the same end of the popularity distribution; the content model is the most diverse and the worst ranker. Three different models hold the six available titles, so reporting a single best model would have concealed the result rather than summarising it.</w:t>
      </w:r>
    </w:p>
    <w:p>
      <w:pPr>
        <w:spacing w:after="120" w:line="260"/>
        <w:jc w:val="both"/>
      </w:pPr>
      <w:r>
        <w:rPr>
          <w:rFonts w:ascii="Times New Roman" w:cs="Times New Roman" w:eastAsia="Times New Roman" w:hAnsi="Times New Roman"/>
          <w:sz w:val="20"/>
          <w:szCs w:val="20"/>
        </w:rPr>
        <w:t xml:space="preserve">Composability turned out to matter as much as any individual model. Because a hybrid can take another hybrid as a component, the three-model system is two lines of composition, and because the components remain separately measurable, the attribution in Section 5.5 is possible at all.</w:t>
      </w:r>
    </w:p>
    <w:p>
      <w:pPr>
        <w:spacing w:after="80" w:line="260"/>
        <w:jc w:val="both"/>
      </w:pPr>
      <w:r>
        <w:rPr>
          <w:rFonts w:ascii="Times New Roman" w:cs="Times New Roman" w:eastAsia="Times New Roman" w:hAnsi="Times New Roman"/>
          <w:sz w:val="20"/>
          <w:szCs w:val="20"/>
        </w:rPr>
        <w:t xml:space="preserve">The main limitations are:</w:t>
      </w:r>
    </w:p>
    <w:p>
      <w:pPr>
        <w:pStyle w:val="ListParagraph"/>
        <w:numPr>
          <w:ilvl w:val="0"/>
          <w:numId w:val="3"/>
        </w:numPr>
        <w:spacing w:after="70" w:line="260"/>
        <w:jc w:val="both"/>
      </w:pPr>
      <w:r>
        <w:rPr>
          <w:rFonts w:ascii="Times New Roman" w:cs="Times New Roman" w:eastAsia="Times New Roman" w:hAnsi="Times New Roman"/>
          <w:sz w:val="20"/>
          <w:szCs w:val="20"/>
        </w:rPr>
        <w:t xml:space="preserve">One dataset and one domain. Conclusions about capacity in particular are tied to this scale: validation RMSE improved with hidden width up to 200, which is a statement about ml-latest-small, not about I-AutoRec generally.</w:t>
      </w:r>
    </w:p>
    <w:p>
      <w:pPr>
        <w:pStyle w:val="ListParagraph"/>
        <w:numPr>
          <w:ilvl w:val="0"/>
          <w:numId w:val="3"/>
        </w:numPr>
        <w:spacing w:after="70" w:line="260"/>
        <w:jc w:val="both"/>
      </w:pPr>
      <w:r>
        <w:rPr>
          <w:rFonts w:ascii="Times New Roman" w:cs="Times New Roman" w:eastAsia="Times New Roman" w:hAnsi="Times New Roman"/>
          <w:sz w:val="20"/>
          <w:szCs w:val="20"/>
        </w:rPr>
        <w:t xml:space="preserve">Offline evaluation only. Ranking metrics can credit only items someone already rated, so they penalise discovery by construction. Novelty and serendipity are offline proxies for this, not a substitute for an online test.</w:t>
      </w:r>
    </w:p>
    <w:p>
      <w:pPr>
        <w:pStyle w:val="ListParagraph"/>
        <w:numPr>
          <w:ilvl w:val="0"/>
          <w:numId w:val="3"/>
        </w:numPr>
        <w:spacing w:after="70" w:line="260"/>
        <w:jc w:val="both"/>
      </w:pPr>
      <w:r>
        <w:rPr>
          <w:rFonts w:ascii="Times New Roman" w:cs="Times New Roman" w:eastAsia="Times New Roman" w:hAnsi="Times New Roman"/>
          <w:sz w:val="20"/>
          <w:szCs w:val="20"/>
        </w:rPr>
        <w:t xml:space="preserve">Hyperparameters were selected on one validation split. The robustness check in Section 5.8 varies the split with the model held fixed, so it measures split variance rather than selection variance as well.</w:t>
      </w:r>
    </w:p>
    <w:p>
      <w:pPr>
        <w:pStyle w:val="ListParagraph"/>
        <w:numPr>
          <w:ilvl w:val="0"/>
          <w:numId w:val="3"/>
        </w:numPr>
        <w:spacing w:after="70" w:line="260"/>
        <w:jc w:val="both"/>
      </w:pPr>
      <w:r>
        <w:rPr>
          <w:rFonts w:ascii="Times New Roman" w:cs="Times New Roman" w:eastAsia="Times New Roman" w:hAnsi="Times New Roman"/>
          <w:sz w:val="20"/>
          <w:szCs w:val="20"/>
        </w:rPr>
        <w:t xml:space="preserve">The serving layer scores a fixed set of users in advance. A user the batch job never scored receives the Most-Popular baseline rather than a personalized list until the next run.</w:t>
      </w:r>
    </w:p>
    <w:p>
      <w:pPr>
        <w:spacing w:after="80" w:line="260"/>
        <w:jc w:val="both"/>
      </w:pPr>
      <w:r>
        <w:rPr>
          <w:rFonts w:ascii="Times New Roman" w:cs="Times New Roman" w:eastAsia="Times New Roman" w:hAnsi="Times New Roman"/>
          <w:sz w:val="20"/>
          <w:szCs w:val="20"/>
        </w:rPr>
        <w:t xml:space="preserve">Three extensions follow directly:</w:t>
      </w:r>
    </w:p>
    <w:p>
      <w:pPr>
        <w:pStyle w:val="ListParagraph"/>
        <w:numPr>
          <w:ilvl w:val="0"/>
          <w:numId w:val="2"/>
        </w:numPr>
        <w:spacing w:after="70" w:line="260"/>
        <w:jc w:val="both"/>
      </w:pPr>
      <w:r>
        <w:rPr>
          <w:rFonts w:ascii="Times New Roman" w:cs="Times New Roman" w:eastAsia="Times New Roman" w:hAnsi="Times New Roman"/>
          <w:sz w:val="20"/>
          <w:szCs w:val="20"/>
        </w:rPr>
        <w:t xml:space="preserve">An online or interleaved evaluation, to test whether the coverage the content model buys is worth the offline ranking it costs.</w:t>
      </w:r>
    </w:p>
    <w:p>
      <w:pPr>
        <w:pStyle w:val="ListParagraph"/>
        <w:numPr>
          <w:ilvl w:val="0"/>
          <w:numId w:val="2"/>
        </w:numPr>
        <w:spacing w:after="70" w:line="260"/>
        <w:jc w:val="both"/>
      </w:pPr>
      <w:r>
        <w:rPr>
          <w:rFonts w:ascii="Times New Roman" w:cs="Times New Roman" w:eastAsia="Times New Roman" w:hAnsi="Times New Roman"/>
          <w:sz w:val="20"/>
          <w:szCs w:val="20"/>
        </w:rPr>
        <w:t xml:space="preserve">Repeated splits for hyperparameter selection, not only for reporting, which would capture selection variance and remove the mild optimism of choosing parameters on data that lands in another split's test set.</w:t>
      </w:r>
    </w:p>
    <w:p>
      <w:pPr>
        <w:pStyle w:val="ListParagraph"/>
        <w:numPr>
          <w:ilvl w:val="0"/>
          <w:numId w:val="2"/>
        </w:numPr>
        <w:spacing w:after="70" w:line="260"/>
        <w:jc w:val="both"/>
      </w:pPr>
      <w:r>
        <w:rPr>
          <w:rFonts w:ascii="Times New Roman" w:cs="Times New Roman" w:eastAsia="Times New Roman" w:hAnsi="Times New Roman"/>
          <w:sz w:val="20"/>
          <w:szCs w:val="20"/>
        </w:rPr>
        <w:t xml:space="preserve">Feeding content features into the deep model rather than blending them afterwards — a two-tower design, or injecting text similarities into the hidden layer. All 732 cold items have plot text that I-AutoRec cannot see. The trade-off runs both ways: late fusion is what keeps each component separately measurable, and it is what allowed this project to show that I-AutoRec collapses onto popularity while the content model does not.</w:t>
      </w:r>
    </w:p>
    <w:p>
      <w:pPr>
        <w:pStyle w:val="Heading1"/>
        <w:spacing w:after="140" w:before="300"/>
      </w:pPr>
      <w:r>
        <w:rPr>
          <w:rFonts w:ascii="Times New Roman" w:cs="Times New Roman" w:eastAsia="Times New Roman" w:hAnsi="Times New Roman"/>
          <w:b/>
          <w:bCs/>
          <w:color w:val="000000"/>
          <w:sz w:val="26"/>
          <w:szCs w:val="26"/>
        </w:rPr>
        <w:t xml:space="preserve">References</w:t>
      </w:r>
    </w:p>
    <w:p>
      <w:pPr>
        <w:spacing w:after="110" w:line="250"/>
        <w:ind w:left="480" w:hanging="480"/>
      </w:pPr>
      <w:r>
        <w:rPr>
          <w:rFonts w:ascii="Times New Roman" w:cs="Times New Roman" w:eastAsia="Times New Roman" w:hAnsi="Times New Roman"/>
          <w:sz w:val="19"/>
          <w:szCs w:val="19"/>
        </w:rPr>
        <w:t xml:space="preserve">Adomavicius, G., &amp; Kwon, Y. (2012). Improving aggregate recommendation diversity using ranking-based techniques. </w:t>
      </w:r>
      <w:r>
        <w:rPr>
          <w:rFonts w:ascii="Times New Roman" w:cs="Times New Roman" w:eastAsia="Times New Roman" w:hAnsi="Times New Roman"/>
          <w:i/>
          <w:iCs/>
          <w:sz w:val="19"/>
          <w:szCs w:val="19"/>
        </w:rPr>
        <w:t xml:space="preserve">IEEE Transactions on Knowledge and Data Engineering, 24</w:t>
      </w:r>
      <w:r>
        <w:rPr>
          <w:rFonts w:ascii="Times New Roman" w:cs="Times New Roman" w:eastAsia="Times New Roman" w:hAnsi="Times New Roman"/>
          <w:sz w:val="19"/>
          <w:szCs w:val="19"/>
        </w:rPr>
        <w:t xml:space="preserve">(5), 896–911. https://doi.org/10.1109/TKDE.2011.15</w:t>
      </w:r>
    </w:p>
    <w:p>
      <w:pPr>
        <w:spacing w:after="110" w:line="250"/>
        <w:ind w:left="480" w:hanging="480"/>
      </w:pPr>
      <w:r>
        <w:rPr>
          <w:rFonts w:ascii="Times New Roman" w:cs="Times New Roman" w:eastAsia="Times New Roman" w:hAnsi="Times New Roman"/>
          <w:sz w:val="19"/>
          <w:szCs w:val="19"/>
        </w:rPr>
        <w:t xml:space="preserve">Burke, R. (2002). Hybrid recommender systems: Survey and experiments. </w:t>
      </w:r>
      <w:r>
        <w:rPr>
          <w:rFonts w:ascii="Times New Roman" w:cs="Times New Roman" w:eastAsia="Times New Roman" w:hAnsi="Times New Roman"/>
          <w:i/>
          <w:iCs/>
          <w:sz w:val="19"/>
          <w:szCs w:val="19"/>
        </w:rPr>
        <w:t xml:space="preserve">User Modeling and User-Adapted Interaction, 12</w:t>
      </w:r>
      <w:r>
        <w:rPr>
          <w:rFonts w:ascii="Times New Roman" w:cs="Times New Roman" w:eastAsia="Times New Roman" w:hAnsi="Times New Roman"/>
          <w:sz w:val="19"/>
          <w:szCs w:val="19"/>
        </w:rPr>
        <w:t xml:space="preserve">(4), 331–370. https://doi.org/10.1023/A:1021240730564</w:t>
      </w:r>
    </w:p>
    <w:p>
      <w:pPr>
        <w:spacing w:after="110" w:line="250"/>
        <w:ind w:left="480" w:hanging="480"/>
      </w:pPr>
      <w:r>
        <w:rPr>
          <w:rFonts w:ascii="Times New Roman" w:cs="Times New Roman" w:eastAsia="Times New Roman" w:hAnsi="Times New Roman"/>
          <w:sz w:val="19"/>
          <w:szCs w:val="19"/>
        </w:rPr>
        <w:t xml:space="preserve">Cremonesi, P., Koren, Y., &amp; Turrin, R. (2010). Performance of recommender algorithms on top-N recommendation tasks. In </w:t>
      </w:r>
      <w:r>
        <w:rPr>
          <w:rFonts w:ascii="Times New Roman" w:cs="Times New Roman" w:eastAsia="Times New Roman" w:hAnsi="Times New Roman"/>
          <w:i/>
          <w:iCs/>
          <w:sz w:val="19"/>
          <w:szCs w:val="19"/>
        </w:rPr>
        <w:t xml:space="preserve">Proceedings of the Fourth ACM Conference on Recommender Systems</w:t>
      </w:r>
      <w:r>
        <w:rPr>
          <w:rFonts w:ascii="Times New Roman" w:cs="Times New Roman" w:eastAsia="Times New Roman" w:hAnsi="Times New Roman"/>
          <w:sz w:val="19"/>
          <w:szCs w:val="19"/>
        </w:rPr>
        <w:t xml:space="preserve"> (pp. 39–46). Association for Computing Machinery. https://doi.org/10.1145/1864708.1864721</w:t>
      </w:r>
    </w:p>
    <w:p>
      <w:pPr>
        <w:spacing w:after="110" w:line="250"/>
        <w:ind w:left="480" w:hanging="480"/>
      </w:pPr>
      <w:r>
        <w:rPr>
          <w:rFonts w:ascii="Times New Roman" w:cs="Times New Roman" w:eastAsia="Times New Roman" w:hAnsi="Times New Roman"/>
          <w:sz w:val="19"/>
          <w:szCs w:val="19"/>
        </w:rPr>
        <w:t xml:space="preserve">Harper, F. M., &amp; Konstan, J. A. (2015). The MovieLens datasets: History and context. </w:t>
      </w:r>
      <w:r>
        <w:rPr>
          <w:rFonts w:ascii="Times New Roman" w:cs="Times New Roman" w:eastAsia="Times New Roman" w:hAnsi="Times New Roman"/>
          <w:i/>
          <w:iCs/>
          <w:sz w:val="19"/>
          <w:szCs w:val="19"/>
        </w:rPr>
        <w:t xml:space="preserve">ACM Transactions on Interactive Intelligent Systems, 5</w:t>
      </w:r>
      <w:r>
        <w:rPr>
          <w:rFonts w:ascii="Times New Roman" w:cs="Times New Roman" w:eastAsia="Times New Roman" w:hAnsi="Times New Roman"/>
          <w:sz w:val="19"/>
          <w:szCs w:val="19"/>
        </w:rPr>
        <w:t xml:space="preserve">(4), Article 19. https://doi.org/10.1145/2827872</w:t>
      </w:r>
    </w:p>
    <w:p>
      <w:pPr>
        <w:spacing w:after="110" w:line="250"/>
        <w:ind w:left="480" w:hanging="480"/>
      </w:pPr>
      <w:r>
        <w:rPr>
          <w:rFonts w:ascii="Times New Roman" w:cs="Times New Roman" w:eastAsia="Times New Roman" w:hAnsi="Times New Roman"/>
          <w:sz w:val="19"/>
          <w:szCs w:val="19"/>
        </w:rPr>
        <w:t xml:space="preserve">He, X., Liao, L., Zhang, H., Nie, L., Hu, X., &amp; Chua, T.-S. (2017). Neural collaborative filtering. In </w:t>
      </w:r>
      <w:r>
        <w:rPr>
          <w:rFonts w:ascii="Times New Roman" w:cs="Times New Roman" w:eastAsia="Times New Roman" w:hAnsi="Times New Roman"/>
          <w:i/>
          <w:iCs/>
          <w:sz w:val="19"/>
          <w:szCs w:val="19"/>
        </w:rPr>
        <w:t xml:space="preserve">Proceedings of the 26th International Conference on World Wide Web</w:t>
      </w:r>
      <w:r>
        <w:rPr>
          <w:rFonts w:ascii="Times New Roman" w:cs="Times New Roman" w:eastAsia="Times New Roman" w:hAnsi="Times New Roman"/>
          <w:sz w:val="19"/>
          <w:szCs w:val="19"/>
        </w:rPr>
        <w:t xml:space="preserve"> (pp. 173–182). International World Wide Web Conferences Steering Committee. https://doi.org/10.1145/3038912.3052569</w:t>
      </w:r>
    </w:p>
    <w:p>
      <w:pPr>
        <w:spacing w:after="110" w:line="250"/>
        <w:ind w:left="480" w:hanging="480"/>
      </w:pPr>
      <w:r>
        <w:rPr>
          <w:rFonts w:ascii="Times New Roman" w:cs="Times New Roman" w:eastAsia="Times New Roman" w:hAnsi="Times New Roman"/>
          <w:sz w:val="19"/>
          <w:szCs w:val="19"/>
        </w:rPr>
        <w:t xml:space="preserve">Kaminskas, M., &amp; Bridge, D. (2016). Diversity, serendipity, novelty, and coverage: A survey and empirical analysis of beyond-accuracy objectives in recommender systems. </w:t>
      </w:r>
      <w:r>
        <w:rPr>
          <w:rFonts w:ascii="Times New Roman" w:cs="Times New Roman" w:eastAsia="Times New Roman" w:hAnsi="Times New Roman"/>
          <w:i/>
          <w:iCs/>
          <w:sz w:val="19"/>
          <w:szCs w:val="19"/>
        </w:rPr>
        <w:t xml:space="preserve">ACM Transactions on Interactive Intelligent Systems, 7</w:t>
      </w:r>
      <w:r>
        <w:rPr>
          <w:rFonts w:ascii="Times New Roman" w:cs="Times New Roman" w:eastAsia="Times New Roman" w:hAnsi="Times New Roman"/>
          <w:sz w:val="19"/>
          <w:szCs w:val="19"/>
        </w:rPr>
        <w:t xml:space="preserve">(1), Article 2. https://doi.org/10.1145/2926720</w:t>
      </w:r>
    </w:p>
    <w:p>
      <w:pPr>
        <w:spacing w:after="110" w:line="250"/>
        <w:ind w:left="480" w:hanging="480"/>
      </w:pPr>
      <w:r>
        <w:rPr>
          <w:rFonts w:ascii="Times New Roman" w:cs="Times New Roman" w:eastAsia="Times New Roman" w:hAnsi="Times New Roman"/>
          <w:sz w:val="19"/>
          <w:szCs w:val="19"/>
        </w:rPr>
        <w:t xml:space="preserve">Koren, Y., Bell, R., &amp; Volinsky, C. (2009). Matrix factorization techniques for recommender systems. </w:t>
      </w:r>
      <w:r>
        <w:rPr>
          <w:rFonts w:ascii="Times New Roman" w:cs="Times New Roman" w:eastAsia="Times New Roman" w:hAnsi="Times New Roman"/>
          <w:i/>
          <w:iCs/>
          <w:sz w:val="19"/>
          <w:szCs w:val="19"/>
        </w:rPr>
        <w:t xml:space="preserve">Computer, 42</w:t>
      </w:r>
      <w:r>
        <w:rPr>
          <w:rFonts w:ascii="Times New Roman" w:cs="Times New Roman" w:eastAsia="Times New Roman" w:hAnsi="Times New Roman"/>
          <w:sz w:val="19"/>
          <w:szCs w:val="19"/>
        </w:rPr>
        <w:t xml:space="preserve">(8), 30–37. https://doi.org/10.1109/MC.2009.263</w:t>
      </w:r>
    </w:p>
    <w:p>
      <w:pPr>
        <w:spacing w:after="110" w:line="250"/>
        <w:ind w:left="480" w:hanging="480"/>
      </w:pPr>
      <w:r>
        <w:rPr>
          <w:rFonts w:ascii="Times New Roman" w:cs="Times New Roman" w:eastAsia="Times New Roman" w:hAnsi="Times New Roman"/>
          <w:sz w:val="19"/>
          <w:szCs w:val="19"/>
        </w:rPr>
        <w:t xml:space="preserve">Meng, Z., McCreadie, R., Macdonald, C., &amp; Ounis, I. (2020). Exploring data splitting strategies for the evaluation of recommendation models. In </w:t>
      </w:r>
      <w:r>
        <w:rPr>
          <w:rFonts w:ascii="Times New Roman" w:cs="Times New Roman" w:eastAsia="Times New Roman" w:hAnsi="Times New Roman"/>
          <w:i/>
          <w:iCs/>
          <w:sz w:val="19"/>
          <w:szCs w:val="19"/>
        </w:rPr>
        <w:t xml:space="preserve">Proceedings of the 14th ACM Conference on Recommender Systems</w:t>
      </w:r>
      <w:r>
        <w:rPr>
          <w:rFonts w:ascii="Times New Roman" w:cs="Times New Roman" w:eastAsia="Times New Roman" w:hAnsi="Times New Roman"/>
          <w:sz w:val="19"/>
          <w:szCs w:val="19"/>
        </w:rPr>
        <w:t xml:space="preserve"> (pp. 681–686). Association for Computing Machinery. https://doi.org/10.1145/3383313.3418479</w:t>
      </w:r>
    </w:p>
    <w:p>
      <w:pPr>
        <w:spacing w:after="110" w:line="250"/>
        <w:ind w:left="480" w:hanging="480"/>
      </w:pPr>
      <w:r>
        <w:rPr>
          <w:rFonts w:ascii="Times New Roman" w:cs="Times New Roman" w:eastAsia="Times New Roman" w:hAnsi="Times New Roman"/>
          <w:sz w:val="19"/>
          <w:szCs w:val="19"/>
        </w:rPr>
        <w:t xml:space="preserve">Panda, D. K., &amp; Ray, S. (2022). Approaches and algorithms to mitigate cold start problems in recommender systems: A systematic literature review. </w:t>
      </w:r>
      <w:r>
        <w:rPr>
          <w:rFonts w:ascii="Times New Roman" w:cs="Times New Roman" w:eastAsia="Times New Roman" w:hAnsi="Times New Roman"/>
          <w:i/>
          <w:iCs/>
          <w:sz w:val="19"/>
          <w:szCs w:val="19"/>
        </w:rPr>
        <w:t xml:space="preserve">Journal of Intelligent Information Systems, 59</w:t>
      </w:r>
      <w:r>
        <w:rPr>
          <w:rFonts w:ascii="Times New Roman" w:cs="Times New Roman" w:eastAsia="Times New Roman" w:hAnsi="Times New Roman"/>
          <w:sz w:val="19"/>
          <w:szCs w:val="19"/>
        </w:rPr>
        <w:t xml:space="preserve">(2), 341–366. https://doi.org/10.1007/s10844-022-00698-5</w:t>
      </w:r>
    </w:p>
    <w:p>
      <w:pPr>
        <w:spacing w:after="110" w:line="250"/>
        <w:ind w:left="480" w:hanging="480"/>
      </w:pPr>
      <w:r>
        <w:rPr>
          <w:rFonts w:ascii="Times New Roman" w:cs="Times New Roman" w:eastAsia="Times New Roman" w:hAnsi="Times New Roman"/>
          <w:sz w:val="19"/>
          <w:szCs w:val="19"/>
        </w:rPr>
        <w:t xml:space="preserve">Sarwar, B., Karypis, G., Konstan, J., &amp; Riedl, J. (2001). Item-based collaborative filtering recommendation algorithms. In </w:t>
      </w:r>
      <w:r>
        <w:rPr>
          <w:rFonts w:ascii="Times New Roman" w:cs="Times New Roman" w:eastAsia="Times New Roman" w:hAnsi="Times New Roman"/>
          <w:i/>
          <w:iCs/>
          <w:sz w:val="19"/>
          <w:szCs w:val="19"/>
        </w:rPr>
        <w:t xml:space="preserve">Proceedings of the 10th International Conference on World Wide Web</w:t>
      </w:r>
      <w:r>
        <w:rPr>
          <w:rFonts w:ascii="Times New Roman" w:cs="Times New Roman" w:eastAsia="Times New Roman" w:hAnsi="Times New Roman"/>
          <w:sz w:val="19"/>
          <w:szCs w:val="19"/>
        </w:rPr>
        <w:t xml:space="preserve"> (pp. 285–295). Association for Computing Machinery. https://doi.org/10.1145/371920.372071</w:t>
      </w:r>
    </w:p>
    <w:p>
      <w:pPr>
        <w:spacing w:after="110" w:line="250"/>
        <w:ind w:left="480" w:hanging="480"/>
      </w:pPr>
      <w:r>
        <w:rPr>
          <w:rFonts w:ascii="Times New Roman" w:cs="Times New Roman" w:eastAsia="Times New Roman" w:hAnsi="Times New Roman"/>
          <w:sz w:val="19"/>
          <w:szCs w:val="19"/>
        </w:rPr>
        <w:t xml:space="preserve">Sedhain, S., Menon, A. K., Sanner, S., &amp; Xie, L. (2015). AutoRec: Autoencoders meet collaborative filtering. In </w:t>
      </w:r>
      <w:r>
        <w:rPr>
          <w:rFonts w:ascii="Times New Roman" w:cs="Times New Roman" w:eastAsia="Times New Roman" w:hAnsi="Times New Roman"/>
          <w:i/>
          <w:iCs/>
          <w:sz w:val="19"/>
          <w:szCs w:val="19"/>
        </w:rPr>
        <w:t xml:space="preserve">Proceedings of the 24th International Conference on World Wide Web</w:t>
      </w:r>
      <w:r>
        <w:rPr>
          <w:rFonts w:ascii="Times New Roman" w:cs="Times New Roman" w:eastAsia="Times New Roman" w:hAnsi="Times New Roman"/>
          <w:sz w:val="19"/>
          <w:szCs w:val="19"/>
        </w:rPr>
        <w:t xml:space="preserve"> (pp. 111–112). Association for Computing Machinery. https://doi.org/10.1145/2740908.2742726</w:t>
      </w:r>
    </w:p>
    <w:p>
      <w:pPr>
        <w:pBdr>
          <w:top w:val="single" w:color="E8CB8A" w:sz="2" w:space="3"/>
          <w:bottom w:val="single" w:color="E8CB8A" w:sz="2" w:space="3"/>
          <w:left w:val="single" w:color="D89B0C" w:sz="18" w:space="6"/>
          <w:right w:val="single" w:color="E8CB8A" w:sz="2" w:space="3"/>
        </w:pBdr>
        <w:shd w:fill="FFF3D6" w:val="clear"/>
        <w:spacing w:after="130" w:before="90" w:line="260"/>
      </w:pPr>
      <w:r>
        <w:rPr>
          <w:rFonts w:ascii="Times New Roman" w:cs="Times New Roman" w:eastAsia="Times New Roman" w:hAnsi="Times New Roman"/>
          <w:b/>
          <w:bCs/>
          <w:color w:val="8A6208"/>
          <w:sz w:val="18"/>
          <w:szCs w:val="18"/>
        </w:rPr>
        <w:t xml:space="preserve">TODO  </w:t>
      </w:r>
      <w:r>
        <w:rPr>
          <w:rFonts w:ascii="Times New Roman" w:cs="Times New Roman" w:eastAsia="Times New Roman" w:hAnsi="Times New Roman"/>
          <w:color w:val="5C4406"/>
          <w:sz w:val="18"/>
          <w:szCs w:val="18"/>
        </w:rPr>
        <w:t xml:space="preserve">APA 7, alphabetical, hanging indent. The DOIs for Adomavicius &amp; Kwon, Burke, Cremonesi et al. and Sedhain et al. were checked against the publisher listing; the rest were not. Open every entry before submitting and confirm it says what the report claims it says. Burke, Cremonesi and Adomavicius were added because the report makes arguments those papers support — Burke especially, since "weighted" and "switching" are his terms.</w:t>
      </w:r>
    </w:p>
    <w:p>
      <w:r>
        <w:br w:type="page"/>
      </w:r>
    </w:p>
    <w:p>
      <w:pPr>
        <w:pStyle w:val="Heading1"/>
        <w:spacing w:after="140" w:before="300"/>
      </w:pPr>
      <w:r>
        <w:rPr>
          <w:rFonts w:ascii="Times New Roman" w:cs="Times New Roman" w:eastAsia="Times New Roman" w:hAnsi="Times New Roman"/>
          <w:b/>
          <w:bCs/>
          <w:color w:val="000000"/>
          <w:sz w:val="26"/>
          <w:szCs w:val="26"/>
        </w:rPr>
        <w:t xml:space="preserve">Appendix A — Expanding plot-text coverage</w:t>
      </w:r>
    </w:p>
    <w:p>
      <w:pPr>
        <w:spacing w:after="120" w:line="260"/>
        <w:jc w:val="both"/>
      </w:pPr>
      <w:r>
        <w:rPr>
          <w:rFonts w:ascii="Times New Roman" w:cs="Times New Roman" w:eastAsia="Times New Roman" w:hAnsi="Times New Roman"/>
          <w:sz w:val="20"/>
          <w:szCs w:val="20"/>
        </w:rPr>
        <w:t xml:space="preserve">The TMDB corpus originally covered 3,536 of the 9,724 rated films (36.4%), and only 18% of cold items. It was expanded to 9,603 films (98.8%) and 98% of cold items. The effect on the content model was measured rather than assumed: cold-start reach roughly tripled, from 163 to 481 top-10 slots, and catalogue coverage rose from 17.8% to 24.9%, while ranking quality fell, NDCG@10 going from 0.0469 to 0.0359.</w:t>
      </w:r>
    </w:p>
    <w:p>
      <w:pPr>
        <w:spacing w:after="120" w:line="260"/>
        <w:jc w:val="both"/>
      </w:pPr>
      <w:r>
        <w:rPr>
          <w:rFonts w:ascii="Times New Roman" w:cs="Times New Roman" w:eastAsia="Times New Roman" w:hAnsi="Times New Roman"/>
          <w:sz w:val="20"/>
          <w:szCs w:val="20"/>
        </w:rPr>
        <w:t xml:space="preserve">An earlier version of this project predicted that the weighted hybrid's cold-start reach was capped by text coverage. That prediction was tested and is wrong: coverage of cold items went from 18% to 98% and the weighted hybrid's reach stayed at exactly 6 slots out of 6,100. The real cap is the blend weight. A cold item has no collaborative signal, so its standardised collaborative score sits at the user's own mean, and at alpha = 0.5 the content half cannot lift it past warm items that score well on both halves. The switching hybrid, which does not average against a flat score, is the variant whose reach improved, from 38 to 60 slots.</w:t>
      </w:r>
    </w:p>
    <w:p>
      <w:pPr>
        <w:pStyle w:val="Heading1"/>
        <w:spacing w:after="140" w:before="300"/>
      </w:pPr>
      <w:r>
        <w:rPr>
          <w:rFonts w:ascii="Times New Roman" w:cs="Times New Roman" w:eastAsia="Times New Roman" w:hAnsi="Times New Roman"/>
          <w:b/>
          <w:bCs/>
          <w:color w:val="000000"/>
          <w:sz w:val="26"/>
          <w:szCs w:val="26"/>
        </w:rPr>
        <w:t xml:space="preserve">Appendix B — Hyperparameter grids</w:t>
      </w:r>
    </w:p>
    <w:p>
      <w:pPr>
        <w:spacing w:after="100" w:line="260"/>
        <w:jc w:val="both"/>
      </w:pPr>
      <w:r>
        <w:rPr>
          <w:rFonts w:ascii="Times New Roman" w:cs="Times New Roman" w:eastAsia="Times New Roman" w:hAnsi="Times New Roman"/>
          <w:sz w:val="20"/>
          <w:szCs w:val="20"/>
        </w:rPr>
        <w:t xml:space="preserve">I-AutoRec, selected on validation. The two metric families select opposite ends of the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1872"/>
        <w:gridCol w:w="1872"/>
        <w:gridCol w:w="1685"/>
      </w:tblGrid>
      <w:tr>
        <w:trPr>
          <w:tblHeader/>
        </w:trPr>
        <w:tc>
          <w:tcPr>
            <w:tcW w:type="dxa" w:w="2059"/>
            <w:shd w:fill="E6E6E6" w:val="clear"/>
            <w:tcMar>
              <w:top w:type="dxa" w:w="50"/>
              <w:left w:type="dxa" w:w="90"/>
              <w:bottom w:type="dxa" w:w="50"/>
              <w:right w:type="dxa" w:w="90"/>
            </w:tcMar>
          </w:tcPr>
          <w:p>
            <w:pPr>
              <w:spacing w:after="0" w:line="230"/>
              <w:jc w:val="left"/>
            </w:pPr>
            <w:r>
              <w:rPr>
                <w:rFonts w:ascii="Times New Roman" w:cs="Times New Roman" w:eastAsia="Times New Roman" w:hAnsi="Times New Roman"/>
                <w:b/>
                <w:bCs/>
                <w:sz w:val="17"/>
                <w:szCs w:val="17"/>
              </w:rPr>
              <w:t xml:space="preserve">hidden width</w:t>
            </w:r>
          </w:p>
        </w:tc>
        <w:tc>
          <w:tcPr>
            <w:tcW w:type="dxa" w:w="1872"/>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weight decay</w:t>
            </w:r>
          </w:p>
        </w:tc>
        <w:tc>
          <w:tcPr>
            <w:tcW w:type="dxa" w:w="1872"/>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val RMSE</w:t>
            </w:r>
          </w:p>
        </w:tc>
        <w:tc>
          <w:tcPr>
            <w:tcW w:type="dxa" w:w="1872"/>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val NDCG@10</w:t>
            </w:r>
          </w:p>
        </w:tc>
        <w:tc>
          <w:tcPr>
            <w:tcW w:type="dxa" w:w="1685"/>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best epoch</w:t>
            </w:r>
          </w:p>
        </w:tc>
      </w:tr>
      <w:tr>
        <w:tc>
          <w:tcPr>
            <w:tcW w:type="dxa" w:w="2059"/>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25</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1e-5</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0.9035</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0.0382</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205</w:t>
            </w:r>
          </w:p>
        </w:tc>
      </w:tr>
      <w:tr>
        <w:tc>
          <w:tcPr>
            <w:tcW w:type="dxa" w:w="2059"/>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25</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1e-4</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0.9004</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0.0436</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196</w:t>
            </w:r>
          </w:p>
        </w:tc>
      </w:tr>
      <w:tr>
        <w:tc>
          <w:tcPr>
            <w:tcW w:type="dxa" w:w="2059"/>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25</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1e-3</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0.8891</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0.0830</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374</w:t>
            </w:r>
          </w:p>
        </w:tc>
      </w:tr>
      <w:tr>
        <w:tc>
          <w:tcPr>
            <w:tcW w:type="dxa" w:w="2059"/>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25</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1e-2</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1.0819</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0.1196</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413</w:t>
            </w:r>
          </w:p>
        </w:tc>
      </w:tr>
      <w:tr>
        <w:tc>
          <w:tcPr>
            <w:tcW w:type="dxa" w:w="2059"/>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200</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1e-5</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0.8629</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0.0656</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67</w:t>
            </w:r>
          </w:p>
        </w:tc>
      </w:tr>
      <w:tr>
        <w:tc>
          <w:tcPr>
            <w:tcW w:type="dxa" w:w="2059"/>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200</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1e-4</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0.8616</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0.0721</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67</w:t>
            </w:r>
          </w:p>
        </w:tc>
      </w:tr>
      <w:tr>
        <w:tc>
          <w:tcPr>
            <w:tcW w:type="dxa" w:w="2059"/>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200</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1e-3</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0.8634</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0.0853</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75</w:t>
            </w:r>
          </w:p>
        </w:tc>
      </w:tr>
      <w:tr>
        <w:tc>
          <w:tcPr>
            <w:tcW w:type="dxa" w:w="2059"/>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200</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1e-2</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0.9093</w:t>
            </w:r>
          </w:p>
        </w:tc>
        <w:tc>
          <w:tcPr>
            <w:tcW w:type="dxa" w:w="1872"/>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0.0942</w:t>
            </w:r>
          </w:p>
        </w:tc>
        <w:tc>
          <w:tcPr>
            <w:tcW w:type="dxa" w:w="1685"/>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2831</w:t>
            </w:r>
          </w:p>
        </w:tc>
      </w:tr>
    </w:tbl>
    <w:p>
      <w:pPr>
        <w:spacing w:after="200" w:before="60" w:line="240"/>
        <w:jc w:val="left"/>
      </w:pPr>
      <w:r>
        <w:rPr>
          <w:rFonts w:ascii="Times New Roman" w:cs="Times New Roman" w:eastAsia="Times New Roman" w:hAnsi="Times New Roman"/>
          <w:i/>
          <w:iCs/>
          <w:color w:val="333333"/>
          <w:sz w:val="17"/>
          <w:szCs w:val="17"/>
        </w:rPr>
        <w:t xml:space="preserve">Table B1. I-AutoRec validation grid. Best RMSE at h=200, wd=1e-4 (0.8616); best NDCG@10 at h=25, wd=1e-2, whose validation RMSE of 1.0819 is worse than the user-mean baseline.</w:t>
      </w:r>
    </w:p>
    <w:p>
      <w:pPr>
        <w:pBdr>
          <w:top w:val="single" w:color="E8CB8A" w:sz="2" w:space="3"/>
          <w:bottom w:val="single" w:color="E8CB8A" w:sz="2" w:space="3"/>
          <w:left w:val="single" w:color="D89B0C" w:sz="18" w:space="6"/>
          <w:right w:val="single" w:color="E8CB8A" w:sz="2" w:space="3"/>
        </w:pBdr>
        <w:shd w:fill="FFF3D6" w:val="clear"/>
        <w:spacing w:after="130" w:before="90" w:line="260"/>
      </w:pPr>
      <w:r>
        <w:rPr>
          <w:rFonts w:ascii="Times New Roman" w:cs="Times New Roman" w:eastAsia="Times New Roman" w:hAnsi="Times New Roman"/>
          <w:b/>
          <w:bCs/>
          <w:color w:val="8A6208"/>
          <w:sz w:val="18"/>
          <w:szCs w:val="18"/>
        </w:rPr>
        <w:t xml:space="preserve">TODO  </w:t>
      </w:r>
      <w:r>
        <w:rPr>
          <w:rFonts w:ascii="Times New Roman" w:cs="Times New Roman" w:eastAsia="Times New Roman" w:hAnsi="Times New Roman"/>
          <w:color w:val="5C4406"/>
          <w:sz w:val="18"/>
          <w:szCs w:val="18"/>
        </w:rPr>
        <w:t xml:space="preserve">Add the SVD k × damping grid and the alpha sweep table here from notebook Steps 2 and 7. Both already print as tables in the notebook.</w:t>
      </w:r>
    </w:p>
    <w:p>
      <w:pPr>
        <w:pStyle w:val="Heading1"/>
        <w:spacing w:after="140" w:before="300"/>
      </w:pPr>
      <w:r>
        <w:rPr>
          <w:rFonts w:ascii="Times New Roman" w:cs="Times New Roman" w:eastAsia="Times New Roman" w:hAnsi="Times New Roman"/>
          <w:b/>
          <w:bCs/>
          <w:color w:val="000000"/>
          <w:sz w:val="26"/>
          <w:szCs w:val="26"/>
        </w:rPr>
        <w:t xml:space="preserve">Appendix C — Robustness across splits</w:t>
      </w:r>
    </w:p>
    <w:p>
      <w:pPr>
        <w:spacing w:after="100" w:line="260"/>
        <w:jc w:val="both"/>
      </w:pPr>
      <w:r>
        <w:rPr>
          <w:rFonts w:ascii="Times New Roman" w:cs="Times New Roman" w:eastAsia="Times New Roman" w:hAnsi="Times New Roman"/>
          <w:sz w:val="20"/>
          <w:szCs w:val="20"/>
        </w:rPr>
        <w:t xml:space="preserve">NDCG@10 for each system on four splits, with hyperparameters held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1217"/>
        <w:gridCol w:w="1217"/>
        <w:gridCol w:w="1404"/>
        <w:gridCol w:w="1217"/>
        <w:gridCol w:w="1030"/>
        <w:gridCol w:w="1029"/>
      </w:tblGrid>
      <w:tr>
        <w:trPr>
          <w:tblHeader/>
        </w:trPr>
        <w:tc>
          <w:tcPr>
            <w:tcW w:type="dxa" w:w="2246"/>
            <w:shd w:fill="E6E6E6" w:val="clear"/>
            <w:tcMar>
              <w:top w:type="dxa" w:w="50"/>
              <w:left w:type="dxa" w:w="90"/>
              <w:bottom w:type="dxa" w:w="50"/>
              <w:right w:type="dxa" w:w="90"/>
            </w:tcMar>
          </w:tcPr>
          <w:p>
            <w:pPr>
              <w:spacing w:after="0" w:line="230"/>
              <w:jc w:val="left"/>
            </w:pPr>
            <w:r>
              <w:rPr>
                <w:rFonts w:ascii="Times New Roman" w:cs="Times New Roman" w:eastAsia="Times New Roman" w:hAnsi="Times New Roman"/>
                <w:b/>
                <w:bCs/>
                <w:sz w:val="17"/>
                <w:szCs w:val="17"/>
              </w:rPr>
              <w:t xml:space="preserve">Model</w:t>
            </w:r>
          </w:p>
        </w:tc>
        <w:tc>
          <w:tcPr>
            <w:tcW w:type="dxa" w:w="1217"/>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seed 1</w:t>
            </w:r>
          </w:p>
        </w:tc>
        <w:tc>
          <w:tcPr>
            <w:tcW w:type="dxa" w:w="1217"/>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seed 42</w:t>
            </w:r>
          </w:p>
        </w:tc>
        <w:tc>
          <w:tcPr>
            <w:tcW w:type="dxa" w:w="1404"/>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seed 12345</w:t>
            </w:r>
          </w:p>
        </w:tc>
        <w:tc>
          <w:tcPr>
            <w:tcW w:type="dxa" w:w="1217"/>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reported</w:t>
            </w:r>
          </w:p>
        </w:tc>
        <w:tc>
          <w:tcPr>
            <w:tcW w:type="dxa" w:w="1030"/>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mean</w:t>
            </w:r>
          </w:p>
        </w:tc>
        <w:tc>
          <w:tcPr>
            <w:tcW w:type="dxa" w:w="1029"/>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std</w:t>
            </w:r>
          </w:p>
        </w:tc>
      </w:tr>
      <w:tr>
        <w:tc>
          <w:tcPr>
            <w:tcW w:type="dxa" w:w="2246"/>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SVD</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0.1529</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0.1545</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0.1585</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0.1502</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0.1540</w:t>
            </w:r>
          </w:p>
        </w:tc>
        <w:tc>
          <w:tcPr>
            <w:tcW w:type="dxa" w:w="1029"/>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0.0035</w:t>
            </w:r>
          </w:p>
        </w:tc>
      </w:tr>
      <w:tr>
        <w:tc>
          <w:tcPr>
            <w:tcW w:type="dxa" w:w="2246"/>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Content</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0.0341</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0.0351</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0.0352</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0.0359</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0.0351</w:t>
            </w:r>
          </w:p>
        </w:tc>
        <w:tc>
          <w:tcPr>
            <w:tcW w:type="dxa" w:w="1029"/>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0.0007</w:t>
            </w:r>
          </w:p>
        </w:tc>
      </w:tr>
      <w:tr>
        <w:tc>
          <w:tcPr>
            <w:tcW w:type="dxa" w:w="2246"/>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Hybrid (weighted)</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0.1601</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0.1664</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0.1703</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0.1605</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0.1643</w:t>
            </w:r>
          </w:p>
        </w:tc>
        <w:tc>
          <w:tcPr>
            <w:tcW w:type="dxa" w:w="1029"/>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0.0049</w:t>
            </w:r>
          </w:p>
        </w:tc>
      </w:tr>
      <w:tr>
        <w:tc>
          <w:tcPr>
            <w:tcW w:type="dxa" w:w="2246"/>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Hybrid (switching)</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0.1504</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0.1527</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0.1553</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0.1474</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0.1515</w:t>
            </w:r>
          </w:p>
        </w:tc>
        <w:tc>
          <w:tcPr>
            <w:tcW w:type="dxa" w:w="1029"/>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0.0034</w:t>
            </w:r>
          </w:p>
        </w:tc>
      </w:tr>
      <w:tr>
        <w:tc>
          <w:tcPr>
            <w:tcW w:type="dxa" w:w="2246"/>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Most-Popular</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0.1560</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0.1468</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0.1536</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0.1549</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0.1528</w:t>
            </w:r>
          </w:p>
        </w:tc>
        <w:tc>
          <w:tcPr>
            <w:tcW w:type="dxa" w:w="1029"/>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0.0041</w:t>
            </w:r>
          </w:p>
        </w:tc>
      </w:tr>
      <w:tr>
        <w:tc>
          <w:tcPr>
            <w:tcW w:type="dxa" w:w="2246"/>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I-AutoRec</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0.1453</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0.1407</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0.1530</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0.1432</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0.1455</w:t>
            </w:r>
          </w:p>
        </w:tc>
        <w:tc>
          <w:tcPr>
            <w:tcW w:type="dxa" w:w="1029"/>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0.0053</w:t>
            </w:r>
          </w:p>
        </w:tc>
      </w:tr>
      <w:tr>
        <w:tc>
          <w:tcPr>
            <w:tcW w:type="dxa" w:w="2246"/>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Nested Hybrid</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0.1638</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0.1705</w:t>
            </w:r>
          </w:p>
        </w:tc>
        <w:tc>
          <w:tcPr>
            <w:tcW w:type="dxa" w:w="1404"/>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0.1726</w:t>
            </w:r>
          </w:p>
        </w:tc>
        <w:tc>
          <w:tcPr>
            <w:tcW w:type="dxa" w:w="1217"/>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0.1643</w:t>
            </w:r>
          </w:p>
        </w:tc>
        <w:tc>
          <w:tcPr>
            <w:tcW w:type="dxa" w:w="1030"/>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0.1678</w:t>
            </w:r>
          </w:p>
        </w:tc>
        <w:tc>
          <w:tcPr>
            <w:tcW w:type="dxa" w:w="1029"/>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0.0044</w:t>
            </w:r>
          </w:p>
        </w:tc>
      </w:tr>
    </w:tbl>
    <w:p>
      <w:pPr>
        <w:spacing w:after="200" w:before="60" w:line="240"/>
        <w:jc w:val="left"/>
      </w:pPr>
      <w:r>
        <w:rPr>
          <w:rFonts w:ascii="Times New Roman" w:cs="Times New Roman" w:eastAsia="Times New Roman" w:hAnsi="Times New Roman"/>
          <w:i/>
          <w:iCs/>
          <w:color w:val="333333"/>
          <w:sz w:val="17"/>
          <w:szCs w:val="17"/>
        </w:rPr>
        <w:t xml:space="preserve">Table C1. NDCG@10 across four splits. The reported column is the student-ID split used throughout the paper. Widest swing for any single model: 0.0123.</w:t>
      </w:r>
    </w:p>
    <w:p>
      <w:pPr>
        <w:spacing w:after="120" w:line="260"/>
        <w:jc w:val="both"/>
      </w:pPr>
      <w:r>
        <w:rPr>
          <w:rFonts w:ascii="Times New Roman" w:cs="Times New Roman" w:eastAsia="Times New Roman" w:hAnsi="Times New Roman"/>
          <w:sz w:val="20"/>
          <w:szCs w:val="20"/>
        </w:rPr>
        <w:t xml:space="preserve">Coverage and novelty are markedly more stable than ranking. Across the same four splits, coverage is 24.9% ± 0.2% for the content model, 5.5% ± 0.0% for the weighted hybrid and 0.6% ± 0.0% for both I-AutoRec and Most-Popular; novelty is 6.74 ± 0.03, 2.50 ± 0.02, 1.84 ± 0.07 and 1.64 ± 0.01 respectively. Rating error is 0.8466 ± 0.0061 for I-AutoRec and 0.8664 ± 0.0077 for the SVD.</w:t>
      </w:r>
    </w:p>
    <w:p>
      <w:pPr>
        <w:spacing w:after="120" w:line="260"/>
        <w:jc w:val="both"/>
      </w:pPr>
      <w:r>
        <w:rPr>
          <w:rFonts w:ascii="Times New Roman" w:cs="Times New Roman" w:eastAsia="Times New Roman" w:hAnsi="Times New Roman"/>
          <w:sz w:val="20"/>
          <w:szCs w:val="20"/>
        </w:rPr>
        <w:t xml:space="preserve">Caveat. Hyperparameters were selected on the reported split's validation set and held fixed, so some of that data lands in another split's test set. The optimism this introduces is small, because the choices are coarse, but it is real: this measures split variance with the model fixed, not selection variance.</w:t>
      </w:r>
    </w:p>
    <w:p>
      <w:pPr>
        <w:pStyle w:val="Heading1"/>
        <w:spacing w:after="140" w:before="300"/>
      </w:pPr>
      <w:r>
        <w:rPr>
          <w:rFonts w:ascii="Times New Roman" w:cs="Times New Roman" w:eastAsia="Times New Roman" w:hAnsi="Times New Roman"/>
          <w:b/>
          <w:bCs/>
          <w:color w:val="000000"/>
          <w:sz w:val="26"/>
          <w:szCs w:val="26"/>
        </w:rPr>
        <w:t xml:space="preserve">Appendix D — Deployment</w:t>
      </w:r>
    </w:p>
    <w:p>
      <w:pPr>
        <w:pBdr>
          <w:top w:val="dashed" w:color="AAAAAA" w:sz="4" w:space="8"/>
          <w:bottom w:val="dashed" w:color="AAAAAA" w:sz="4" w:space="8"/>
          <w:left w:val="dashed" w:color="AAAAAA" w:sz="4" w:space="8"/>
          <w:right w:val="dashed" w:color="AAAAAA" w:sz="4" w:space="8"/>
        </w:pBdr>
        <w:shd w:fill="F2F2F2" w:val="clear"/>
        <w:spacing w:after="60" w:before="140" w:line="240"/>
        <w:jc w:val="center"/>
      </w:pPr>
      <w:r>
        <w:rPr>
          <w:rFonts w:ascii="Times New Roman" w:cs="Times New Roman" w:eastAsia="Times New Roman" w:hAnsi="Times New Roman"/>
          <w:color w:val="555555"/>
          <w:sz w:val="17"/>
          <w:szCs w:val="17"/>
        </w:rPr>
        <w:t xml:space="preserve">[ Figure D1 — place </w:t>
      </w:r>
      <w:r>
        <w:rPr>
          <w:rFonts w:ascii="Times New Roman" w:cs="Times New Roman" w:eastAsia="Times New Roman" w:hAnsi="Times New Roman"/>
          <w:b/>
          <w:bCs/>
          <w:color w:val="555555"/>
          <w:sz w:val="17"/>
          <w:szCs w:val="17"/>
        </w:rPr>
        <w:t xml:space="preserve">docs/figures/fig2_serving.pdf</w:t>
      </w:r>
      <w:r>
        <w:rPr>
          <w:rFonts w:ascii="Times New Roman" w:cs="Times New Roman" w:eastAsia="Times New Roman" w:hAnsi="Times New Roman"/>
          <w:color w:val="555555"/>
          <w:sz w:val="17"/>
          <w:szCs w:val="17"/>
        </w:rPr>
        <w:t xml:space="preserve"> here ]</w:t>
      </w:r>
    </w:p>
    <w:p>
      <w:pPr>
        <w:spacing w:after="200" w:before="60" w:line="240"/>
        <w:jc w:val="left"/>
      </w:pPr>
      <w:r>
        <w:rPr>
          <w:rFonts w:ascii="Times New Roman" w:cs="Times New Roman" w:eastAsia="Times New Roman" w:hAnsi="Times New Roman"/>
          <w:i/>
          <w:iCs/>
          <w:color w:val="333333"/>
          <w:sz w:val="17"/>
          <w:szCs w:val="17"/>
        </w:rPr>
        <w:t xml:space="preserve">Figure D1. Batch/serving split. The batch job fits and scores; the serving tier reads the resulting table. No training framework is loaded in the request path.</w:t>
      </w:r>
    </w:p>
    <w:p>
      <w:pPr>
        <w:spacing w:after="120" w:line="260"/>
        <w:jc w:val="both"/>
      </w:pPr>
      <w:r>
        <w:rPr>
          <w:rFonts w:ascii="Times New Roman" w:cs="Times New Roman" w:eastAsia="Times New Roman" w:hAnsi="Times New Roman"/>
          <w:sz w:val="20"/>
          <w:szCs w:val="20"/>
        </w:rPr>
        <w:t xml:space="preserve">A batch script refits the deployed nested hybrid on train+validation, scores all 610 users and writes a JSON lookup table. The serving process reads that file and never imports PyTorch or scikit-learn, so a recommendation is a dictionary lookup. A user the batch job never scored is answered with the Most-Popular list and an explicit flag, rather than an error; because that fallback is the same baseline evaluated in Table 2, its quality is a reported number rather than a guess.</w:t>
      </w:r>
    </w:p>
    <w:p>
      <w:pPr>
        <w:spacing w:after="120" w:line="260"/>
        <w:jc w:val="both"/>
      </w:pPr>
      <w:r>
        <w:rPr>
          <w:rFonts w:ascii="Times New Roman" w:cs="Times New Roman" w:eastAsia="Times New Roman" w:hAnsi="Times New Roman"/>
          <w:sz w:val="20"/>
          <w:szCs w:val="20"/>
        </w:rPr>
        <w:t xml:space="preserve">One detail of the demonstration is worth recording. Across all 610 users, 192 recommendations in the top ten are films the user really did rate — in the test split, which the model was never fitted on. 166 of the 610 users see at least one. These are held-out hits rather than leakage, and the interface labels them as such.</w:t>
      </w:r>
    </w:p>
    <w:p>
      <w:pPr>
        <w:pStyle w:val="Heading1"/>
        <w:spacing w:after="140" w:before="300"/>
      </w:pPr>
      <w:r>
        <w:rPr>
          <w:rFonts w:ascii="Times New Roman" w:cs="Times New Roman" w:eastAsia="Times New Roman" w:hAnsi="Times New Roman"/>
          <w:b/>
          <w:bCs/>
          <w:color w:val="000000"/>
          <w:sz w:val="26"/>
          <w:szCs w:val="26"/>
        </w:rPr>
        <w:t xml:space="preserve">Appendix E — Declarations</w:t>
      </w:r>
    </w:p>
    <w:p>
      <w:pPr>
        <w:pStyle w:val="Heading2"/>
        <w:spacing w:after="110" w:before="220"/>
      </w:pPr>
      <w:r>
        <w:rPr>
          <w:rFonts w:ascii="Times New Roman" w:cs="Times New Roman" w:eastAsia="Times New Roman" w:hAnsi="Times New Roman"/>
          <w:b/>
          <w:bCs/>
          <w:color w:val="000000"/>
          <w:sz w:val="22"/>
          <w:szCs w:val="22"/>
        </w:rPr>
        <w:t xml:space="preserve">Individual contribution</w:t>
      </w:r>
    </w:p>
    <w:p>
      <w:pPr>
        <w:spacing w:after="120" w:line="260"/>
        <w:jc w:val="both"/>
      </w:pPr>
      <w:r>
        <w:rPr>
          <w:rFonts w:ascii="Times New Roman" w:cs="Times New Roman" w:eastAsia="Times New Roman" w:hAnsi="Times New Roman"/>
          <w:sz w:val="20"/>
          <w:szCs w:val="20"/>
        </w:rPr>
        <w:t xml:space="preserve">This project was completed individually. All code, experiments, figures and writing are the author's own work.</w:t>
      </w:r>
    </w:p>
    <w:p>
      <w:pPr>
        <w:pBdr>
          <w:top w:val="single" w:color="E8CB8A" w:sz="2" w:space="3"/>
          <w:bottom w:val="single" w:color="E8CB8A" w:sz="2" w:space="3"/>
          <w:left w:val="single" w:color="D89B0C" w:sz="18" w:space="6"/>
          <w:right w:val="single" w:color="E8CB8A" w:sz="2" w:space="3"/>
        </w:pBdr>
        <w:shd w:fill="FFF3D6" w:val="clear"/>
        <w:spacing w:after="130" w:before="90" w:line="260"/>
      </w:pPr>
      <w:r>
        <w:rPr>
          <w:rFonts w:ascii="Times New Roman" w:cs="Times New Roman" w:eastAsia="Times New Roman" w:hAnsi="Times New Roman"/>
          <w:b/>
          <w:bCs/>
          <w:color w:val="8A6208"/>
          <w:sz w:val="18"/>
          <w:szCs w:val="18"/>
        </w:rPr>
        <w:t xml:space="preserve">TODO  </w:t>
      </w:r>
      <w:r>
        <w:rPr>
          <w:rFonts w:ascii="Times New Roman" w:cs="Times New Roman" w:eastAsia="Times New Roman" w:hAnsi="Times New Roman"/>
          <w:color w:val="5C4406"/>
          <w:sz w:val="18"/>
          <w:szCs w:val="18"/>
        </w:rPr>
        <w:t xml:space="preserve">Confirm the wording above is accurate and matches what you submit.</w:t>
      </w:r>
    </w:p>
    <w:p>
      <w:pPr>
        <w:pStyle w:val="Heading2"/>
        <w:spacing w:after="110" w:before="220"/>
      </w:pPr>
      <w:r>
        <w:rPr>
          <w:rFonts w:ascii="Times New Roman" w:cs="Times New Roman" w:eastAsia="Times New Roman" w:hAnsi="Times New Roman"/>
          <w:b/>
          <w:bCs/>
          <w:color w:val="000000"/>
          <w:sz w:val="22"/>
          <w:szCs w:val="22"/>
        </w:rPr>
        <w:t xml:space="preserve">Declaration of AI use</w:t>
      </w:r>
    </w:p>
    <w:p>
      <w:pPr>
        <w:pBdr>
          <w:top w:val="single" w:color="E8CB8A" w:sz="2" w:space="3"/>
          <w:bottom w:val="single" w:color="E8CB8A" w:sz="2" w:space="3"/>
          <w:left w:val="single" w:color="D89B0C" w:sz="18" w:space="6"/>
          <w:right w:val="single" w:color="E8CB8A" w:sz="2" w:space="3"/>
        </w:pBdr>
        <w:shd w:fill="FFF3D6" w:val="clear"/>
        <w:spacing w:after="130" w:before="90" w:line="260"/>
      </w:pPr>
      <w:r>
        <w:rPr>
          <w:rFonts w:ascii="Times New Roman" w:cs="Times New Roman" w:eastAsia="Times New Roman" w:hAnsi="Times New Roman"/>
          <w:b/>
          <w:bCs/>
          <w:color w:val="8A6208"/>
          <w:sz w:val="18"/>
          <w:szCs w:val="18"/>
        </w:rPr>
        <w:t xml:space="preserve">TODO  </w:t>
      </w:r>
      <w:r>
        <w:rPr>
          <w:rFonts w:ascii="Times New Roman" w:cs="Times New Roman" w:eastAsia="Times New Roman" w:hAnsi="Times New Roman"/>
          <w:color w:val="5C4406"/>
          <w:sz w:val="18"/>
          <w:szCs w:val="18"/>
        </w:rPr>
        <w:t xml:space="preserve">The brief links the AUT Academic Integrity policy but does not mandate a declaration table. Including one costs nothing and protects you. Fill in the table below honestly — tool, which sections, what for, and how you verified the output — or delete this appendix if your reading of the policy says it is not wanted.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2059"/>
        <w:gridCol w:w="2808"/>
        <w:gridCol w:w="2808"/>
      </w:tblGrid>
      <w:tr>
        <w:trPr>
          <w:tblHeader/>
        </w:trPr>
        <w:tc>
          <w:tcPr>
            <w:tcW w:type="dxa" w:w="1685"/>
            <w:shd w:fill="E6E6E6" w:val="clear"/>
            <w:tcMar>
              <w:top w:type="dxa" w:w="50"/>
              <w:left w:type="dxa" w:w="90"/>
              <w:bottom w:type="dxa" w:w="50"/>
              <w:right w:type="dxa" w:w="90"/>
            </w:tcMar>
          </w:tcPr>
          <w:p>
            <w:pPr>
              <w:spacing w:after="0" w:line="230"/>
              <w:jc w:val="left"/>
            </w:pPr>
            <w:r>
              <w:rPr>
                <w:rFonts w:ascii="Times New Roman" w:cs="Times New Roman" w:eastAsia="Times New Roman" w:hAnsi="Times New Roman"/>
                <w:b/>
                <w:bCs/>
                <w:sz w:val="17"/>
                <w:szCs w:val="17"/>
              </w:rPr>
              <w:t xml:space="preserve">Tool</w:t>
            </w:r>
          </w:p>
        </w:tc>
        <w:tc>
          <w:tcPr>
            <w:tcW w:type="dxa" w:w="2059"/>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Section</w:t>
            </w:r>
          </w:p>
        </w:tc>
        <w:tc>
          <w:tcPr>
            <w:tcW w:type="dxa" w:w="2808"/>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Purpose</w:t>
            </w:r>
          </w:p>
        </w:tc>
        <w:tc>
          <w:tcPr>
            <w:tcW w:type="dxa" w:w="2808"/>
            <w:shd w:fill="E6E6E6" w:val="clear"/>
            <w:tcMar>
              <w:top w:type="dxa" w:w="50"/>
              <w:left w:type="dxa" w:w="90"/>
              <w:bottom w:type="dxa" w:w="50"/>
              <w:right w:type="dxa" w:w="90"/>
            </w:tcMar>
          </w:tcPr>
          <w:p>
            <w:pPr>
              <w:spacing w:after="0" w:line="230"/>
              <w:jc w:val="center"/>
            </w:pPr>
            <w:r>
              <w:rPr>
                <w:rFonts w:ascii="Times New Roman" w:cs="Times New Roman" w:eastAsia="Times New Roman" w:hAnsi="Times New Roman"/>
                <w:b/>
                <w:bCs/>
                <w:sz w:val="17"/>
                <w:szCs w:val="17"/>
              </w:rPr>
              <w:t xml:space="preserve">How verified</w:t>
            </w:r>
          </w:p>
        </w:tc>
      </w:tr>
      <w:tr>
        <w:tc>
          <w:tcPr>
            <w:tcW w:type="dxa" w:w="1685"/>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
            </w:r>
          </w:p>
        </w:tc>
        <w:tc>
          <w:tcPr>
            <w:tcW w:type="dxa" w:w="2059"/>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
            </w:r>
          </w:p>
        </w:tc>
        <w:tc>
          <w:tcPr>
            <w:tcW w:type="dxa" w:w="2808"/>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
            </w:r>
          </w:p>
        </w:tc>
        <w:tc>
          <w:tcPr>
            <w:tcW w:type="dxa" w:w="2808"/>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
            </w:r>
          </w:p>
        </w:tc>
      </w:tr>
      <w:tr>
        <w:tc>
          <w:tcPr>
            <w:tcW w:type="dxa" w:w="1685"/>
            <w:tcMar>
              <w:top w:type="dxa" w:w="50"/>
              <w:left w:type="dxa" w:w="90"/>
              <w:bottom w:type="dxa" w:w="50"/>
              <w:right w:type="dxa" w:w="90"/>
            </w:tcMar>
          </w:tcPr>
          <w:p>
            <w:pPr>
              <w:spacing w:after="0" w:line="230"/>
              <w:jc w:val="left"/>
            </w:pPr>
            <w:r>
              <w:rPr>
                <w:rFonts w:ascii="Times New Roman" w:cs="Times New Roman" w:eastAsia="Times New Roman" w:hAnsi="Times New Roman"/>
                <w:sz w:val="17"/>
                <w:szCs w:val="17"/>
              </w:rPr>
              <w:t xml:space="preserve"/>
            </w:r>
          </w:p>
        </w:tc>
        <w:tc>
          <w:tcPr>
            <w:tcW w:type="dxa" w:w="2059"/>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
            </w:r>
          </w:p>
        </w:tc>
        <w:tc>
          <w:tcPr>
            <w:tcW w:type="dxa" w:w="2808"/>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
            </w:r>
          </w:p>
        </w:tc>
        <w:tc>
          <w:tcPr>
            <w:tcW w:type="dxa" w:w="2808"/>
            <w:tcMar>
              <w:top w:type="dxa" w:w="50"/>
              <w:left w:type="dxa" w:w="90"/>
              <w:bottom w:type="dxa" w:w="50"/>
              <w:right w:type="dxa" w:w="90"/>
            </w:tcMar>
          </w:tcPr>
          <w:p>
            <w:pPr>
              <w:spacing w:after="0" w:line="230"/>
              <w:jc w:val="center"/>
            </w:pPr>
            <w:r>
              <w:rPr>
                <w:rFonts w:ascii="Times New Roman" w:cs="Times New Roman" w:eastAsia="Times New Roman" w:hAnsi="Times New Roman"/>
                <w:sz w:val="17"/>
                <w:szCs w:val="17"/>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2026-09-14T08:32:51.030Z</dcterms:created>
  <dcterms:modified xsi:type="dcterms:W3CDTF">2026-09-14T08:32:51.045Z</dcterms:modified>
</cp:coreProperties>
</file>

<file path=docProps/custom.xml><?xml version="1.0" encoding="utf-8"?>
<Properties xmlns="http://schemas.openxmlformats.org/officeDocument/2006/custom-properties" xmlns:vt="http://schemas.openxmlformats.org/officeDocument/2006/docPropsVTypes"/>
</file>