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Title Page</w:t>
      </w:r>
    </w:p>
    <w:p>
      <w:r>
        <w:t xml:space="preserve"> </w:t>
      </w:r>
    </w:p>
    <w:p>
      <w:r>
        <w:t xml:space="preserve">Hybrid Hematology Lab Assistant: Sequential Intent Classification and Retrieval-Based Response Generation</w:t>
      </w:r>
    </w:p>
    <w:p>
      <w:r>
        <w:t xml:space="preserve"> </w:t>
      </w:r>
    </w:p>
    <w:p>
      <w:r>
        <w:t xml:space="preserve">Dissertation Draft</w:t>
      </w:r>
    </w:p>
    <w:p>
      <w:r>
        <w:t xml:space="preserve">Programme: [Update Programme Title]</w:t>
      </w:r>
    </w:p>
    <w:p>
      <w:r>
        <w:t xml:space="preserve">Student: [Update Name]</w:t>
      </w:r>
    </w:p>
    <w:p>
      <w:r>
        <w:t xml:space="preserve">Student ID: [Update ID]</w:t>
      </w:r>
    </w:p>
    <w:p>
      <w:r>
        <w:t xml:space="preserve">Supervisor: [Update Supervisor]</w:t>
      </w:r>
    </w:p>
    <w:p>
      <w:r>
        <w:t xml:space="preserve">Submission Year: 2026</w:t>
      </w:r>
    </w:p>
    <w:p>
      <w:r>
        <w:t xml:space="preserve"> </w:t>
      </w:r>
    </w:p>
    <w:p>
      <w:r>
        <w:t xml:space="preserve">Abstract</w:t>
      </w:r>
    </w:p>
    <w:p>
      <w:r>
        <w:t xml:space="preserve"> </w:t>
      </w:r>
    </w:p>
    <w:p>
      <w:r>
        <w:t xml:space="preserve">This dissertation investigated the design and evaluation of a hybrid hematology laboratory assistant that combined sequential intent classification with retrieval-based response generation. The project addressed the need for consistent, explainable, and domain-focused assistance in hematology workflows, including complete blood count interpretation support, specimen handling guidance, and quality control queries. A dual-model strategy was implemented using BiLSTM-based classifiers: a general model for workflow and communication intents and a report-focused model for CBC report interpretation intents. The architecture was integrated into a FastAPI service with an administrative interface for logging, review, and export of interaction data.</w:t>
      </w:r>
    </w:p>
    <w:p>
      <w:r>
        <w:t xml:space="preserve"> </w:t>
      </w:r>
    </w:p>
    <w:p>
      <w:r>
        <w:t xml:space="preserve">The dataset pipeline was structured into labeled data ingestion, model-specific dataset construction, and fixed train/validation/test split generation to improve reproducibility. The models were trained with validation-driven checkpoint selection and evaluated on held-out test sets. Reported results indicated strong performance, with the general model achieving approximately 0.893 accuracy and 0.865 macro-F1, and the report model achieving approximately 0.904 accuracy and 0.860 macro-F1 on their respective test sets.</w:t>
      </w:r>
    </w:p>
    <w:p>
      <w:r>
        <w:t xml:space="preserve"> </w:t>
      </w:r>
    </w:p>
    <w:p>
      <w:r>
        <w:t xml:space="preserve">The findings suggested that combining machine learning intent detection with targeted retrieval and rule-based safeguards provided practical and robust behaviour in a constrained medical-support domain. Limitations included class imbalance risks, dependence on curated knowledge content, and constrained multilingual capability. Future work should include broader external validation, confidence calibration studies, and advanced retrieval augmentation.</w:t>
      </w:r>
    </w:p>
    <w:p>
      <w:r>
        <w:t xml:space="preserve"> </w:t>
      </w:r>
    </w:p>
    <w:p>
      <w:r>
        <w:t xml:space="preserve">Acknowledgements</w:t>
      </w:r>
    </w:p>
    <w:p>
      <w:r>
        <w:t xml:space="preserve"> </w:t>
      </w:r>
    </w:p>
    <w:p>
      <w:r>
        <w:t xml:space="preserve">The support of the project supervisor, peers, and all contributors to testing and feedback was gratefully acknowledged.</w:t>
      </w:r>
    </w:p>
    <w:p>
      <w:r>
        <w:t xml:space="preserve"> </w:t>
      </w:r>
    </w:p>
    <w:p>
      <w:r>
        <w:t xml:space="preserve">Table of Contents</w:t>
      </w:r>
    </w:p>
    <w:p>
      <w:r>
        <w:t xml:space="preserve"> </w:t>
      </w:r>
    </w:p>
    <w:p>
      <w:r>
        <w:t xml:space="preserve">Chapter 1: Introduction</w:t>
      </w:r>
    </w:p>
    <w:p>
      <w:r>
        <w:t xml:space="preserve">Chapter 2: Literature Review</w:t>
      </w:r>
    </w:p>
    <w:p>
      <w:r>
        <w:t xml:space="preserve">Chapter 3: Design and Development</w:t>
      </w:r>
    </w:p>
    <w:p>
      <w:r>
        <w:t xml:space="preserve">Chapter 4: Results Analysis and Evaluation</w:t>
      </w:r>
    </w:p>
    <w:p>
      <w:r>
        <w:t xml:space="preserve">Chapter 5: Conclusions and Further Work</w:t>
      </w:r>
    </w:p>
    <w:p>
      <w:r>
        <w:t xml:space="preserve">References</w:t>
      </w:r>
    </w:p>
    <w:p>
      <w:r>
        <w:t xml:space="preserve">Appendices</w:t>
      </w:r>
    </w:p>
    <w:p>
      <w:r>
        <w:t xml:space="preserve"> </w:t>
      </w:r>
    </w:p>
    <w:p>
      <w:r>
        <w:t xml:space="preserve">Chapter 1: Introduction</w:t>
      </w:r>
    </w:p>
    <w:p>
      <w:r>
        <w:t xml:space="preserve"> </w:t>
      </w:r>
    </w:p>
    <w:p>
      <w:r>
        <w:t xml:space="preserve">1.1 Background</w:t>
      </w:r>
    </w:p>
    <w:p>
      <w:r>
        <w:t xml:space="preserve">Clinical laboratory environments require timely and consistent communication of procedural guidance and report interpretation support. Hematology workflows involve recurrent, terminology-heavy interactions where errors in understanding can reduce efficiency and potentially increase operational risk. Conversational assistants have therefore been explored as a decision-support and communication aid in focused domains.</w:t>
      </w:r>
    </w:p>
    <w:p>
      <w:r>
        <w:t xml:space="preserve"> </w:t>
      </w:r>
    </w:p>
    <w:p>
      <w:r>
        <w:t xml:space="preserve">1.2 Problem Statement</w:t>
      </w:r>
    </w:p>
    <w:p>
      <w:r>
        <w:t xml:space="preserve">General-purpose chat systems often lack domain constraints, while fully rule-based systems can be brittle and difficult to scale. The project therefore addressed how a hybrid architecture could provide both adaptability and safety for hematology lab use-cases.</w:t>
      </w:r>
    </w:p>
    <w:p>
      <w:r>
        <w:t xml:space="preserve"> </w:t>
      </w:r>
    </w:p>
    <w:p>
      <w:r>
        <w:t xml:space="preserve">1.3 Aim and Objectives</w:t>
      </w:r>
    </w:p>
    <w:p>
      <w:r>
        <w:t xml:space="preserve">The project aimed to design, implement, test, and evaluate a hybrid chatbot for hematology laboratory assistance. Objectives included: (a) developing reproducible data preparation workflows, (b) training sequential intent classifiers, (c) integrating retrieval and routing logic, (d) deploying an API and admin interface, and (e) evaluating predictive and operational performance.</w:t>
      </w:r>
    </w:p>
    <w:p>
      <w:r>
        <w:t xml:space="preserve"> </w:t>
      </w:r>
    </w:p>
    <w:p>
      <w:r>
        <w:t xml:space="preserve">1.4 Scope</w:t>
      </w:r>
    </w:p>
    <w:p>
      <w:r>
        <w:t xml:space="preserve">The implemented system focused on English-only inputs and on predefined hematology intent sets. The scope included two model profiles: a general assistant and a report-focused assistant. Out-of-scope areas included direct diagnosis automation and unrestricted open-domain dialogue.</w:t>
      </w:r>
    </w:p>
    <w:p>
      <w:r>
        <w:t xml:space="preserve"> </w:t>
      </w:r>
    </w:p>
    <w:p>
      <w:r>
        <w:t xml:space="preserve">Chapter 2: Literature Review</w:t>
      </w:r>
    </w:p>
    <w:p>
      <w:r>
        <w:t xml:space="preserve"> </w:t>
      </w:r>
    </w:p>
    <w:p>
      <w:r>
        <w:t xml:space="preserve">2.1 Domain-Specific Conversational Systems</w:t>
      </w:r>
    </w:p>
    <w:p>
      <w:r>
        <w:t xml:space="preserve">Prior work in domain conversational AI has indicated that constrained-intent systems may achieve stronger reliability than open-domain generative systems in operational contexts. In healthcare-adjacent environments, explainability, predictable behaviour, and traceability are frequently prioritised.</w:t>
      </w:r>
    </w:p>
    <w:p>
      <w:r>
        <w:t xml:space="preserve"> </w:t>
      </w:r>
    </w:p>
    <w:p>
      <w:r>
        <w:t xml:space="preserve">2.2 Sequential Models for Intent Classification</w:t>
      </w:r>
    </w:p>
    <w:p>
      <w:r>
        <w:t xml:space="preserve">Recurrent neural architectures such as LSTM and BiLSTM have historically shown effective sequence modelling for short-text classification tasks. Their strengths include contextual token modelling and comparatively stable training behaviour on moderate-sized datasets.</w:t>
      </w:r>
    </w:p>
    <w:p>
      <w:r>
        <w:t xml:space="preserve"> </w:t>
      </w:r>
    </w:p>
    <w:p>
      <w:r>
        <w:t xml:space="preserve">2.3 Retrieval-Based Response Generation</w:t>
      </w:r>
    </w:p>
    <w:p>
      <w:r>
        <w:t xml:space="preserve">Retrieval-based strategies are widely adopted when factual consistency is required. By selecting responses from curated knowledge sources using lexical similarity approaches (e.g., TF-IDF), systems may reduce hallucination risks compared with unrestricted generation.</w:t>
      </w:r>
    </w:p>
    <w:p>
      <w:r>
        <w:t xml:space="preserve"> </w:t>
      </w:r>
    </w:p>
    <w:p>
      <w:r>
        <w:t xml:space="preserve">2.4 Hybrid Architectures and Safety Rules</w:t>
      </w:r>
    </w:p>
    <w:p>
      <w:r>
        <w:t xml:space="preserve">Hybrid pipelines combine classification, deterministic routing, and retrieval layers to balance flexibility and control. In sensitive domains, static guardrails are often applied for unsupported language, out-of-scope requests, and safety-critical prompts.</w:t>
      </w:r>
    </w:p>
    <w:p>
      <w:r>
        <w:t xml:space="preserve"> </w:t>
      </w:r>
    </w:p>
    <w:p>
      <w:r>
        <w:t xml:space="preserve">2.5 Research Gap</w:t>
      </w:r>
    </w:p>
    <w:p>
      <w:r>
        <w:t xml:space="preserve">A practical gap remained in integrating reproducible ML lifecycle practices (data versioning, fixed splits, exportable evaluation artifacts) with day-to-day admin workflows in a compact laboratory assistant stack. This project addressed that gap through an end-to-end implementation.</w:t>
      </w:r>
    </w:p>
    <w:p>
      <w:r>
        <w:t xml:space="preserve"> </w:t>
      </w:r>
    </w:p>
    <w:p>
      <w:r>
        <w:t xml:space="preserve">Chapter 3: Design and Development</w:t>
      </w:r>
    </w:p>
    <w:p>
      <w:r>
        <w:t xml:space="preserve"> </w:t>
      </w:r>
    </w:p>
    <w:p>
      <w:r>
        <w:t xml:space="preserve">3.1 System Architecture</w:t>
      </w:r>
    </w:p>
    <w:p>
      <w:r>
        <w:t xml:space="preserve">The system was implemented as a FastAPI application with model registry support, inference routing, and administrative endpoints. The service exposed health, chat, model listing, tracing, and log management routes.</w:t>
      </w:r>
    </w:p>
    <w:p>
      <w:r>
        <w:t xml:space="preserve"> </w:t>
      </w:r>
    </w:p>
    <w:p>
      <w:r>
        <w:t xml:space="preserve">3.2 Data Engineering Workflow</w:t>
      </w:r>
    </w:p>
    <w:p>
      <w:r>
        <w:t xml:space="preserve">A staged data framework was applied: labeled files were merged into a master dataset, model-specific datasets were derived, and fixed train/validation/test splits were generated. This enabled consistent retraining and fair comparative evaluation across model profiles.</w:t>
      </w:r>
    </w:p>
    <w:p>
      <w:r>
        <w:t xml:space="preserve"> </w:t>
      </w:r>
    </w:p>
    <w:p>
      <w:r>
        <w:t xml:space="preserve">3.3 Model Design</w:t>
      </w:r>
    </w:p>
    <w:p>
      <w:r>
        <w:t xml:space="preserve">The core model was a sequential classifier using embeddings, BiLSTM encoding, dropout regularisation, and a linear classification head. Tokenization and vocabulary construction were controlled by configurable frequency and sequence-length constraints.</w:t>
      </w:r>
    </w:p>
    <w:p>
      <w:r>
        <w:t xml:space="preserve"> </w:t>
      </w:r>
    </w:p>
    <w:p>
      <w:r>
        <w:t xml:space="preserve">3.4 Dual-Profile Strategy</w:t>
      </w:r>
    </w:p>
    <w:p>
      <w:r>
        <w:t xml:space="preserve">Two profiles were configured: general and report. The general profile included workflow and communication intents; the report profile emphasised CBC report interpretation intents while retaining shared communication and safety intents.</w:t>
      </w:r>
    </w:p>
    <w:p>
      <w:r>
        <w:t xml:space="preserve"> </w:t>
      </w:r>
    </w:p>
    <w:p>
      <w:r>
        <w:t xml:space="preserve">3.5 Response and Routing Layer</w:t>
      </w:r>
    </w:p>
    <w:p>
      <w:r>
        <w:t xml:space="preserve">After intent prediction, a routing layer resolved static intents and mapped selected intents to retrieval-backed responses from a curated hematology knowledge file. Language checks and guardrails were applied to enforce English-only support and fallback handling.</w:t>
      </w:r>
    </w:p>
    <w:p>
      <w:r>
        <w:t xml:space="preserve"> </w:t>
      </w:r>
    </w:p>
    <w:p>
      <w:r>
        <w:t xml:space="preserve">3.6 Persistence and Admin Tooling</w:t>
      </w:r>
    </w:p>
    <w:p>
      <w:r>
        <w:t xml:space="preserve">Chat logs were stored via a PostgreSQL-backed history store configuration. Administrative APIs supported low-confidence filtering, intent breakdown reporting, review workflows, and CSV export.</w:t>
      </w:r>
    </w:p>
    <w:p>
      <w:r>
        <w:t xml:space="preserve"> </w:t>
      </w:r>
    </w:p>
    <w:p>
      <w:r>
        <w:t xml:space="preserve">3.7 Implementation Decisions</w:t>
      </w:r>
    </w:p>
    <w:p>
      <w:r>
        <w:t xml:space="preserve">It was decided that deterministic routing should be retained for safety-critical and unsupported cases. It was also decided that fixed splits should be used for final metrics to avoid optimistic estimates from non-reproducible holdout configurations.</w:t>
      </w:r>
    </w:p>
    <w:p>
      <w:r>
        <w:t xml:space="preserve"> </w:t>
      </w:r>
    </w:p>
    <w:p>
      <w:r>
        <w:t xml:space="preserve">Chapter 4: Results Analysis and Evaluation</w:t>
      </w:r>
    </w:p>
    <w:p>
      <w:r>
        <w:t xml:space="preserve"> </w:t>
      </w:r>
    </w:p>
    <w:p>
      <w:r>
        <w:t xml:space="preserve">4.1 Evaluation Procedure</w:t>
      </w:r>
    </w:p>
    <w:p>
      <w:r>
        <w:t xml:space="preserve">Evaluation was carried out on held-out test splits for each model profile. Validation data were used for model selection, while test data were reserved for final reporting.</w:t>
      </w:r>
    </w:p>
    <w:p>
      <w:r>
        <w:t xml:space="preserve"> </w:t>
      </w:r>
    </w:p>
    <w:p>
      <w:r>
        <w:t xml:space="preserve">4.2 Quantitative Results</w:t>
      </w:r>
    </w:p>
    <w:p>
      <w:r>
        <w:t xml:space="preserve">The general model evaluation snapshot reported test accuracy of approximately 0.8928 and macro-F1 of approximately 0.8649. The report model evaluation snapshot reported test accuracy of approximately 0.9040 and macro-F1 of approximately 0.8604.</w:t>
      </w:r>
    </w:p>
    <w:p>
      <w:r>
        <w:t xml:space="preserve"> </w:t>
      </w:r>
    </w:p>
    <w:p>
      <w:r>
        <w:t xml:space="preserve">4.3 Interpretation</w:t>
      </w:r>
    </w:p>
    <w:p>
      <w:r>
        <w:t xml:space="preserve">The results suggested stable predictive quality across both profiles. The higher report-model accuracy indicated good alignment between curated report intents and user-query patterns. Macro-F1 values indicated that minority-class performance remained an important consideration.</w:t>
      </w:r>
    </w:p>
    <w:p>
      <w:r>
        <w:t xml:space="preserve"> </w:t>
      </w:r>
    </w:p>
    <w:p>
      <w:r>
        <w:t xml:space="preserve">4.4 Deliverable Assessment Against Learning Outcomes</w:t>
      </w:r>
    </w:p>
    <w:p>
      <w:r>
        <w:t xml:space="preserve">LO1 was addressed through domain-grounded system design and critical engagement with intent modelling and retrieval paradigms. LO3 was addressed through end-to-end implementation, testing, and evaluation of a substantial software artifact. LO4 was addressed through structured reporting, critical reflection on limitations, and formal citation planning.</w:t>
      </w:r>
    </w:p>
    <w:p>
      <w:r>
        <w:t xml:space="preserve"> </w:t>
      </w:r>
    </w:p>
    <w:p>
      <w:r>
        <w:t xml:space="preserve">4.5 Limitations</w:t>
      </w:r>
    </w:p>
    <w:p>
      <w:r>
        <w:t xml:space="preserve">The system remained dependent on curated intent labels and knowledge content quality. English-only operation limited accessibility. External generalisation beyond the available dataset and workflow context was not fully established.</w:t>
      </w:r>
    </w:p>
    <w:p>
      <w:r>
        <w:t xml:space="preserve"> </w:t>
      </w:r>
    </w:p>
    <w:p>
      <w:r>
        <w:t xml:space="preserve">4.6 Validation Artifacts</w:t>
      </w:r>
    </w:p>
    <w:p>
      <w:r>
        <w:t xml:space="preserve">The evaluation pipeline produced reusable outputs including metrics, confusion matrices, intent distributions, and misclassification logs to support transparent review and iterative improvement.</w:t>
      </w:r>
    </w:p>
    <w:p>
      <w:r>
        <w:t xml:space="preserve"> </w:t>
      </w:r>
    </w:p>
    <w:p>
      <w:r>
        <w:t xml:space="preserve">Chapter 5: Conclusions and Further Work</w:t>
      </w:r>
    </w:p>
    <w:p>
      <w:r>
        <w:t xml:space="preserve"> </w:t>
      </w:r>
    </w:p>
    <w:p>
      <w:r>
        <w:t xml:space="preserve">5.1 Conclusions</w:t>
      </w:r>
    </w:p>
    <w:p>
      <w:r>
        <w:t xml:space="preserve">A hybrid chatbot architecture for hematology support was successfully designed and implemented. The combined use of sequential intent classification, deterministic routing, and retrieval-based responses produced a practical and auditable assistant aligned with laboratory communication needs.</w:t>
      </w:r>
    </w:p>
    <w:p>
      <w:r>
        <w:t xml:space="preserve"> </w:t>
      </w:r>
    </w:p>
    <w:p>
      <w:r>
        <w:t xml:space="preserve">5.2 Further Work</w:t>
      </w:r>
    </w:p>
    <w:p>
      <w:r>
        <w:t xml:space="preserve">Future work should include multicentre data collection, expanded intent coverage, multilingual extension, confidence calibration, and retrieval enhancement with semantic search. Additional user-centred studies should be conducted to quantify usability and trust in real operational settings.</w:t>
      </w:r>
    </w:p>
    <w:p>
      <w:r>
        <w:t xml:space="preserve"> </w:t>
      </w:r>
    </w:p>
    <w:p>
      <w:r>
        <w:t xml:space="preserve">5.3 Reflective Summary</w:t>
      </w:r>
    </w:p>
    <w:p>
      <w:r>
        <w:t xml:space="preserve">The project demonstrated that robust outcomes were supported not only by model selection but by disciplined engineering practices, including dataset governance, fixed-split evaluation, and traceable admin tooling.</w:t>
      </w:r>
    </w:p>
    <w:p>
      <w:r>
        <w:t xml:space="preserve"> </w:t>
      </w:r>
    </w:p>
    <w:p>
      <w:r>
        <w:t xml:space="preserve">References (Harvard Style Placeholder)</w:t>
      </w:r>
    </w:p>
    <w:p>
      <w:r>
        <w:t xml:space="preserve"> </w:t>
      </w:r>
    </w:p>
    <w:p>
      <w:r>
        <w:t xml:space="preserve">[Add full Harvard references here, ensuring all in-text citations are matched.]</w:t>
      </w:r>
    </w:p>
    <w:p>
      <w:r>
        <w:t xml:space="preserve"> </w:t>
      </w:r>
    </w:p>
    <w:p>
      <w:r>
        <w:t xml:space="preserve">Example format:</w:t>
      </w:r>
    </w:p>
    <w:p>
      <w:r>
        <w:t xml:space="preserve">Author Surname, Initial(s). (Year) Title. Journal/Conference, Volume(Issue), pages. DOI/URL if applicable.</w:t>
      </w:r>
    </w:p>
    <w:p>
      <w:r>
        <w:t xml:space="preserve"> </w:t>
      </w:r>
    </w:p>
    <w:p>
      <w:r>
        <w:t xml:space="preserve">Appendices</w:t>
      </w:r>
    </w:p>
    <w:p>
      <w:r>
        <w:t xml:space="preserve"> </w:t>
      </w:r>
    </w:p>
    <w:p>
      <w:r>
        <w:t xml:space="preserve">Appendix A: Programme Route Diagram</w:t>
      </w:r>
    </w:p>
    <w:p>
      <w:r>
        <w:t xml:space="preserve">Appendix B: Ethics Documentation</w:t>
      </w:r>
    </w:p>
    <w:p>
      <w:r>
        <w:t xml:space="preserve">Appendix C: Project Schedule/Gantt and Supervision Records</w:t>
      </w:r>
    </w:p>
    <w:p>
      <w:r>
        <w:t xml:space="preserve">Appendix D: Design Documentation</w:t>
      </w:r>
    </w:p>
    <w:p>
      <w:r>
        <w:t xml:space="preserve">Appendix E: Development Documentation</w:t>
      </w:r>
    </w:p>
    <w:p>
      <w:r>
        <w:t xml:space="preserve">Appendix F: Testing Documentation</w:t>
      </w:r>
    </w:p>
    <w:p>
      <w:r>
        <w:t xml:space="preserve">Appendix G: Evaluation Documentation</w:t>
      </w:r>
    </w:p>
    <w:p>
      <w:r>
        <w:t xml:space="preserve">Appendix H: User Guide</w:t>
      </w:r>
    </w:p>
    <w:p>
      <w:r>
        <w:t xml:space="preserve"> </w:t>
      </w:r>
    </w:p>
    <w:sectPr>
      <w:pgSz w:w="11906" w:h="16838"/>
      <w:pgMar w:top="1417" w:right="1134" w:bottom="1417" w:left="1701" w:header="708" w:footer="708" w:gutter="0"/>
    </w:sectPr>
  </w:body>
</w:document>
</file>