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/>
        <w:jc w:val="center"/>
      </w:pPr>
      <w:r>
        <w:rPr>
          <w:rFonts w:ascii="Arial" w:hAnsi="Arial"/>
          <w:b/>
          <w:sz w:val="40"/>
        </w:rPr>
        <w:t>Hybrid Chatbot Testing Plan and Test Execution Documentation</w:t>
      </w:r>
    </w:p>
    <w:p>
      <w:pPr>
        <w:spacing w:after="120" w:before="0" w:line="240" w:lineRule="auto"/>
        <w:jc w:val="center"/>
      </w:pPr>
      <w:r>
        <w:rPr>
          <w:rFonts w:ascii="Arial" w:hAnsi="Arial"/>
        </w:rPr>
      </w:r>
    </w:p>
    <w:p>
      <w:pPr>
        <w:spacing w:after="120" w:before="0" w:line="240" w:lineRule="auto"/>
        <w:jc w:val="center"/>
      </w:pPr>
      <w:r>
        <w:rPr>
          <w:rFonts w:ascii="Arial" w:hAnsi="Arial"/>
        </w:rPr>
        <w:t>Project: Hybrid Chatbot for Medical Haematology</w:t>
      </w:r>
    </w:p>
    <w:p>
      <w:pPr>
        <w:spacing w:after="120" w:before="0" w:line="240" w:lineRule="auto"/>
        <w:jc w:val="center"/>
      </w:pPr>
      <w:r>
        <w:rPr>
          <w:rFonts w:ascii="Arial" w:hAnsi="Arial"/>
        </w:rPr>
        <w:t>Document Type: Testing Documentation</w:t>
      </w:r>
    </w:p>
    <w:p>
      <w:pPr>
        <w:spacing w:after="120" w:before="0" w:line="240" w:lineRule="auto"/>
        <w:jc w:val="center"/>
      </w:pPr>
      <w:r>
        <w:rPr>
          <w:rFonts w:ascii="Arial" w:hAnsi="Arial"/>
        </w:rPr>
        <w:t>Prepared For: Dissertation Appendix / Supervisor Review</w:t>
      </w:r>
    </w:p>
    <w:p>
      <w:pPr>
        <w:spacing w:after="120" w:before="0" w:line="240" w:lineRule="auto"/>
        <w:jc w:val="center"/>
      </w:pPr>
      <w:r>
        <w:rPr>
          <w:rFonts w:ascii="Arial" w:hAnsi="Arial"/>
        </w:rPr>
        <w:t>Date: 03 May 2026</w:t>
      </w:r>
    </w:p>
    <w:p>
      <w:r>
        <w:br w:type="page"/>
      </w:r>
    </w:p>
    <w:p>
      <w:pPr>
        <w:pStyle w:val="Heading1"/>
        <w:spacing w:after="120" w:before="0" w:line="360" w:lineRule="auto"/>
      </w:pPr>
      <w:r>
        <w:t>1. Test Plan</w:t>
      </w:r>
    </w:p>
    <w:p>
      <w:pPr>
        <w:spacing w:after="120" w:before="0" w:line="360" w:lineRule="auto"/>
      </w:pPr>
      <w:r>
        <w:t>This document recorded the unit-level and feature-level testing approach used for the Hybrid Chatbot for Medical Haematology. The scope covered the sequential intent classifier, report-analysis layer, retrieval-based routing, API behavior, admin monitoring flows, HTTPS deployment behavior, and retraining support exports.</w:t>
      </w:r>
    </w:p>
    <w:p>
      <w:pPr>
        <w:pStyle w:val="Heading2"/>
        <w:spacing w:after="120" w:before="0" w:line="360" w:lineRule="auto"/>
      </w:pPr>
      <w:r>
        <w:t>1.1 Objectives</w:t>
      </w:r>
    </w:p>
    <w:p>
      <w:pPr>
        <w:spacing w:after="120" w:before="0" w:line="360" w:lineRule="auto"/>
      </w:pPr>
      <w:r>
        <w:t>• Verify that the BiLSTM intent models classified supported hematology prompts correctly.</w:t>
      </w:r>
    </w:p>
    <w:p>
      <w:pPr>
        <w:spacing w:after="120" w:before="0" w:line="360" w:lineRule="auto"/>
      </w:pPr>
      <w:r>
        <w:t>• Verify that rule-based safety, entity detection, model auto-switching, and retrieval routing behaved consistently.</w:t>
      </w:r>
    </w:p>
    <w:p>
      <w:pPr>
        <w:spacing w:after="120" w:before="0" w:line="360" w:lineRule="auto"/>
      </w:pPr>
      <w:r>
        <w:t>• Verify that the report model analyzed numeric CBC-style report phrases, sex-specific HGB/HCT phrases, and pediatric or age-aware phrases within bounded support rules.</w:t>
      </w:r>
    </w:p>
    <w:p>
      <w:pPr>
        <w:spacing w:after="120" w:before="0" w:line="360" w:lineRule="auto"/>
      </w:pPr>
      <w:r>
        <w:t>• Verify that the admin and MLOps support features exported the correct retraining evidence.</w:t>
      </w:r>
    </w:p>
    <w:p>
      <w:pPr>
        <w:pStyle w:val="Heading2"/>
        <w:spacing w:after="120" w:before="0" w:line="360" w:lineRule="auto"/>
      </w:pPr>
      <w:r>
        <w:t>1.2 Test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21"/>
              </w:rPr>
              <w:t>Item</w:t>
            </w:r>
          </w:p>
        </w:tc>
        <w:tc>
          <w:tcPr>
            <w:tcW w:type="dxa" w:w="4702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21"/>
              </w:rPr>
              <w:t>Value</w:t>
            </w:r>
          </w:p>
        </w:tc>
      </w:tr>
      <w:tr>
        <w:tc>
          <w:tcPr>
            <w:tcW w:type="dxa" w:w="4702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21"/>
              </w:rPr>
              <w:t>Operating environment</w:t>
            </w:r>
          </w:p>
        </w:tc>
        <w:tc>
          <w:tcPr>
            <w:tcW w:type="dxa" w:w="4702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21"/>
              </w:rPr>
              <w:t>Windows 11 local development and Docker-based deployment</w:t>
            </w:r>
          </w:p>
        </w:tc>
      </w:tr>
      <w:tr>
        <w:tc>
          <w:tcPr>
            <w:tcW w:type="dxa" w:w="4702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21"/>
              </w:rPr>
              <w:t>Backend</w:t>
            </w:r>
          </w:p>
        </w:tc>
        <w:tc>
          <w:tcPr>
            <w:tcW w:type="dxa" w:w="4702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21"/>
              </w:rPr>
              <w:t>FastAPI</w:t>
            </w:r>
          </w:p>
        </w:tc>
      </w:tr>
      <w:tr>
        <w:tc>
          <w:tcPr>
            <w:tcW w:type="dxa" w:w="4702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21"/>
              </w:rPr>
              <w:t>ML runtime</w:t>
            </w:r>
          </w:p>
        </w:tc>
        <w:tc>
          <w:tcPr>
            <w:tcW w:type="dxa" w:w="4702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21"/>
              </w:rPr>
              <w:t>PyTorch BiLSTM intent classifier</w:t>
            </w:r>
          </w:p>
        </w:tc>
      </w:tr>
      <w:tr>
        <w:tc>
          <w:tcPr>
            <w:tcW w:type="dxa" w:w="4702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21"/>
              </w:rPr>
              <w:t>Storage</w:t>
            </w:r>
          </w:p>
        </w:tc>
        <w:tc>
          <w:tcPr>
            <w:tcW w:type="dxa" w:w="4702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21"/>
              </w:rPr>
              <w:t>PostgreSQL</w:t>
            </w:r>
          </w:p>
        </w:tc>
      </w:tr>
      <w:tr>
        <w:tc>
          <w:tcPr>
            <w:tcW w:type="dxa" w:w="4702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21"/>
              </w:rPr>
              <w:t>Test framework</w:t>
            </w:r>
          </w:p>
        </w:tc>
        <w:tc>
          <w:tcPr>
            <w:tcW w:type="dxa" w:w="4702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21"/>
              </w:rPr>
              <w:t>pytest</w:t>
            </w:r>
          </w:p>
        </w:tc>
      </w:tr>
      <w:tr>
        <w:tc>
          <w:tcPr>
            <w:tcW w:type="dxa" w:w="4702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21"/>
              </w:rPr>
              <w:t>Latest automated suite</w:t>
            </w:r>
          </w:p>
        </w:tc>
        <w:tc>
          <w:tcPr>
            <w:tcW w:type="dxa" w:w="4702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21"/>
              </w:rPr>
              <w:t>50 passed</w:t>
            </w:r>
          </w:p>
        </w:tc>
      </w:tr>
    </w:tbl>
    <w:p>
      <w:pPr>
        <w:pStyle w:val="Heading2"/>
        <w:spacing w:after="120" w:before="0" w:line="360" w:lineRule="auto"/>
      </w:pPr>
      <w:r>
        <w:t>1.3 Entry and Exit Criteria</w:t>
      </w:r>
    </w:p>
    <w:p>
      <w:pPr>
        <w:spacing w:after="120" w:before="0" w:line="360" w:lineRule="auto"/>
      </w:pPr>
      <w:r>
        <w:t>Entry criteria: features implemented, datasets merged, model artifacts generated, and test environment available.</w:t>
      </w:r>
    </w:p>
    <w:p>
      <w:pPr>
        <w:spacing w:after="120" w:before="0" w:line="360" w:lineRule="auto"/>
      </w:pPr>
      <w:r>
        <w:t>Exit criteria: all planned cases executed, no blocking failures remaining, regression suite passing, and evidence captured.</w:t>
      </w:r>
    </w:p>
    <w:p>
      <w:pPr>
        <w:pStyle w:val="Heading1"/>
        <w:spacing w:after="120" w:before="0" w:line="360" w:lineRule="auto"/>
      </w:pPr>
      <w:r>
        <w:t>2. Test Case Catalogue</w:t>
      </w:r>
    </w:p>
    <w:p>
      <w:pPr>
        <w:pStyle w:val="Heading2"/>
        <w:spacing w:after="120" w:before="0" w:line="360" w:lineRule="auto"/>
      </w:pPr>
      <w:r>
        <w:t>2.1 Core inference and routing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ID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Component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Objective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Task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Expected Result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Actual Result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Status / Evidence</w:t>
            </w:r>
          </w:p>
        </w:tc>
      </w:tr>
      <w:tr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UT-01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Preprocessing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Normalize text for downstream inference.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Input mixed-case query with punctuation.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Normalized lowercase phrase is produced consistently.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Passed in `test_preprocessing.py`.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Pass | Automated</w:t>
            </w:r>
          </w:p>
        </w:tc>
      </w:tr>
      <w:tr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UT-02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Predictor rule layer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Detect greeting phrases before model inference.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Submit `hi` to the predictor.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Intent resolves to `greeting` with rule priority.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Passed in `test_predictor_rules.py` and API smoke checks.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Pass | Automated + smoke</w:t>
            </w:r>
          </w:p>
        </w:tc>
      </w:tr>
      <w:tr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UT-03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Predictor rule layer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Detect social small-talk phrases.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Submit `how are u` to the predictor.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Intent resolves to `small_talk` instead of `incomplete_query`.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Passed in `test_predictor_rules.py`.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Pass | Automated</w:t>
            </w:r>
          </w:p>
        </w:tc>
      </w:tr>
      <w:tr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UT-04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Safety rule layer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Block unsafe treatment language.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Submit phrase containing `prescribe` or `inject`.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Intent resolves to `unsafe_medical_request`.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Passed in `test_predictor_rules.py` and route tests.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Pass | Automated</w:t>
            </w:r>
          </w:p>
        </w:tc>
      </w:tr>
      <w:tr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UT-05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Entity detection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Recognize MCV as an RBC-report entity.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Submit `What is MCV?`.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Entity rule maps to canonical MCV question.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Passed in `test_entity_detection.py`.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Pass | Automated</w:t>
            </w:r>
          </w:p>
        </w:tc>
      </w:tr>
      <w:tr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UT-06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Entity detection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Recognize aPTT as coagulation entity.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Submit `What is aPTT?`.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Entity rule maps to coagulation knowledge.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Passed via routing tests and smoke checks.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Pass | Automated + smoke</w:t>
            </w:r>
          </w:p>
        </w:tc>
      </w:tr>
      <w:tr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UT-07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Routing layer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Prioritize direct sample-collection retrieval.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Submit `Which tube is used for CBC?` with `sample_collection` intent.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EDTA/lavender-top answer is returned instead of generic CBC info.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Passed in `test_routing_engine.py`.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Pass | Automated</w:t>
            </w:r>
          </w:p>
        </w:tc>
      </w:tr>
      <w:tr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UT-08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Routing layer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Return CBC sample rejection criteria.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Submit `What are the rejection criteria for a CBC sample?`.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Rejection-criteria answer mentions wrong tube / clotted sample style conditions.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Passed in `test_routing_engine.py`.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Pass | Automated</w:t>
            </w:r>
          </w:p>
        </w:tc>
      </w:tr>
      <w:tr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UT-09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Routing layer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Return CBC stability guidance.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Submit `How long is a CBC sample stable?`.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Stability answer references validated limits and SOP.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Passed in `test_routing_engine.py`.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Pass | Automated</w:t>
            </w:r>
          </w:p>
        </w:tc>
      </w:tr>
      <w:tr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UT-10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Model advisory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Auto-switch report questions from general to report model.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Submit `How do I read this CBC report?` while `general` is selected.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Model advisory recommends / routes to `report`.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Passed in `test_model_advisory.py` and UI smoke checks.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Pass | Automated + smoke</w:t>
            </w:r>
          </w:p>
        </w:tc>
      </w:tr>
    </w:tbl>
    <w:p>
      <w:pPr>
        <w:pStyle w:val="Heading2"/>
        <w:spacing w:after="120" w:before="0" w:line="360" w:lineRule="auto"/>
      </w:pPr>
      <w:r>
        <w:t>2.2 Report-analysis and prompt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ID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Component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Objective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Task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Expected Result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Actual Result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Status / Evidence</w:t>
            </w:r>
          </w:p>
        </w:tc>
      </w:tr>
      <w:tr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UT-11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Model advisory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Auto-switch workflow questions from report to general model.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Submit `Which tube is used for coagulation tests?` while `report` is selected.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Model advisory recommends / routes to `general`.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Passed in `test_model_advisory.py` and UI smoke checks.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Pass | Automated + smoke</w:t>
            </w:r>
          </w:p>
        </w:tc>
      </w:tr>
      <w:tr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UT-12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Report analysis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Interpret numeric WBC results.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Submit `WBC is 13.7`.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Intent resolves to `report_numeric_result_analysis` and response marks high range.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Passed in `test_report_analysis.py` and manual runtime verification.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Pass | Automated + manual</w:t>
            </w:r>
          </w:p>
        </w:tc>
      </w:tr>
      <w:tr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UT-13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Report analysis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Interpret printed report flag text.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Submit `My report shows anemia`.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Intent resolves to `report_flag_result_analysis` with bounded non-diagnostic explanation.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Passed in `test_report_analysis.py` and runtime verification.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Pass | Automated + manual</w:t>
            </w:r>
          </w:p>
        </w:tc>
      </w:tr>
      <w:tr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UT-14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Report analysis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Apply adult age context without exposing internal note.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Submit `in my report WBC is 13.37 age is 51`.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Adult range is applied, but no internal age-note sentence is displayed.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Verified after age-aware retraining and response cleanup.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Pass | Manual + regression</w:t>
            </w:r>
          </w:p>
        </w:tc>
      </w:tr>
      <w:tr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UT-15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Report analysis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Apply pediatric age context.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Submit `WBC is 13 age is 10`.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Pediatric range is applied and result is interpreted within pediatric criteria.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Passed in `test_report_analysis.py` and runtime verification.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Pass | Automated + manual</w:t>
            </w:r>
          </w:p>
        </w:tc>
      </w:tr>
      <w:tr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UT-16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Report analysis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Apply sex-specific HGB range.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Submit `Adult male HGB is 13.0`.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Male reference interval is used for HGB.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Passed in `test_report_analysis.py` and runtime verification.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Pass | Automated + manual</w:t>
            </w:r>
          </w:p>
        </w:tc>
      </w:tr>
      <w:tr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UT-17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Report analysis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Apply sex-specific HCT range.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Submit `Female HCT is 45`.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Female reference interval is used for HCT.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Passed in `test_report_analysis.py` and runtime verification.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Pass | Automated + manual</w:t>
            </w:r>
          </w:p>
        </w:tc>
      </w:tr>
      <w:tr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UT-18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Report analysis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Prevent age-only phrases from being treated as report analysis.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Submit `age is 43`.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Intent resolves to `incomplete_query`.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Passed in `test_report_predictor.py` and runtime verification.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Pass | Automated + manual</w:t>
            </w:r>
          </w:p>
        </w:tc>
      </w:tr>
    </w:tbl>
    <w:p>
      <w:pPr>
        <w:pStyle w:val="Heading2"/>
        <w:spacing w:after="120" w:before="0" w:line="360" w:lineRule="auto"/>
      </w:pPr>
      <w:r>
        <w:t>2.3 API, admin, export, and deployment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ID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Component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Objective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Task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Expected Result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Actual Result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Status / Evidence</w:t>
            </w:r>
          </w:p>
        </w:tc>
      </w:tr>
      <w:tr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UT-19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API layer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Return stable chat response schema.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POST `/chat` with `Hello`.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JSON response includes `intent`, `response`, `lang`, and model metadata.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Passed in `test_api.py`.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Pass | Automated</w:t>
            </w:r>
          </w:p>
        </w:tc>
      </w:tr>
      <w:tr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UT-20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API layer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Expose report-analysis preview rows.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GET `/admin/api/report-analysis-preview`.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Preview returns report-analysis retraining candidates in JSON.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Passed in `test_api.py`.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Pass | Automated</w:t>
            </w:r>
          </w:p>
        </w:tc>
      </w:tr>
      <w:tr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UT-21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Admin trace API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Trace end-to-end inference layers.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POST `/admin/api/trace` with `What is aPTT?`.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Trace returns preprocessing, classifier, retrieval, and final route fields.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Validated through admin trace runtime checks.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Pass | Manual + API</w:t>
            </w:r>
          </w:p>
        </w:tc>
      </w:tr>
      <w:tr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UT-22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Export pipeline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Export accepted reviewed samples.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GET `/admin/api/export-reviewed`.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CSV file is generated for retraining.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Validated through admin export flow.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Pass | Manual</w:t>
            </w:r>
          </w:p>
        </w:tc>
      </w:tr>
      <w:tr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UT-23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Export pipeline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Export report-analysis failure candidates.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GET `/admin/api/export-report-analysis-errors`.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CSV file contains low-confidence / fallback report-analysis rows.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Validated through admin export flow and store logic.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Pass | Manual + code review</w:t>
            </w:r>
          </w:p>
        </w:tc>
      </w:tr>
      <w:tr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UT-24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HTTPS deployment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Build redirect URL correctly.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Request `http://localhost:8000/admin?x=1` while HTTPS is enabled.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Redirect points to HTTPS target preserving path and query.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Passed in `test_https_redirect.py`.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Pass | Automated</w:t>
            </w:r>
          </w:p>
        </w:tc>
      </w:tr>
      <w:tr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UT-25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Certificate monitoring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Classify near-expiry certificate severity.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Evaluate certificate status with low remaining days.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Admin warning level becomes warn/danger based on days remaining.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Passed in `test_certificate_warning.py` and `test_ssl_utils.py`.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Pass | Automated</w:t>
            </w:r>
          </w:p>
        </w:tc>
      </w:tr>
      <w:tr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UT-26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Split pipeline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Load fixed train/validation/test splits correctly.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Read split metadata and split files.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Split rows and ratios remain reproducible for model training.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Passed in `test_split_utils.py`.</w:t>
            </w:r>
          </w:p>
        </w:tc>
        <w:tc>
          <w:tcPr>
            <w:tcW w:type="dxa" w:w="1344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19"/>
              </w:rPr>
              <w:t>Pass | Automated</w:t>
            </w:r>
          </w:p>
        </w:tc>
      </w:tr>
    </w:tbl>
    <w:p>
      <w:pPr>
        <w:pStyle w:val="Heading1"/>
        <w:spacing w:after="120" w:before="0" w:line="360" w:lineRule="auto"/>
      </w:pPr>
      <w:r>
        <w:t>3. Automated Test Evidence</w:t>
      </w:r>
    </w:p>
    <w:p>
      <w:pPr>
        <w:spacing w:after="120" w:before="0" w:line="360" w:lineRule="auto"/>
      </w:pPr>
      <w:r>
        <w:t>The following figures provide screenshot-style evidence for the automated regression tests that covered the advisory and report-analysis cases listed in the test catalogue.</w:t>
      </w:r>
    </w:p>
    <w:p>
      <w:pPr>
        <w:pStyle w:val="Heading2"/>
        <w:spacing w:after="120" w:before="0" w:line="360" w:lineRule="auto"/>
      </w:pPr>
      <w:r>
        <w:t>Automated model-advisory regression evidence</w:t>
      </w:r>
    </w:p>
    <w:p>
      <w:pPr>
        <w:spacing w:after="12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120640" cy="16499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t_auto_model_adviso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649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40" w:lineRule="auto"/>
        <w:jc w:val="center"/>
      </w:pPr>
      <w:r>
        <w:rPr>
          <w:rFonts w:ascii="Arial" w:hAnsi="Arial"/>
          <w:b/>
          <w:i/>
          <w:sz w:val="20"/>
        </w:rPr>
        <w:t>Figure A1 Automated pytest evidence covering UT-10 and UT-11.</w:t>
      </w:r>
    </w:p>
    <w:p>
      <w:pPr>
        <w:pStyle w:val="Heading2"/>
        <w:spacing w:after="120" w:before="0" w:line="360" w:lineRule="auto"/>
      </w:pPr>
      <w:r>
        <w:t>Automated report-analysis regression evidence</w:t>
      </w:r>
    </w:p>
    <w:p>
      <w:pPr>
        <w:spacing w:after="12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120640" cy="22644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t_auto_report_analysi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264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40" w:lineRule="auto"/>
        <w:jc w:val="center"/>
      </w:pPr>
      <w:r>
        <w:rPr>
          <w:rFonts w:ascii="Arial" w:hAnsi="Arial"/>
          <w:b/>
          <w:i/>
          <w:sz w:val="20"/>
        </w:rPr>
        <w:t>Figure A2 Automated pytest evidence covering UT-12 to UT-18.</w:t>
      </w:r>
    </w:p>
    <w:p>
      <w:pPr>
        <w:pStyle w:val="Heading1"/>
        <w:spacing w:after="120" w:before="0" w:line="360" w:lineRule="auto"/>
      </w:pPr>
      <w:r>
        <w:t>4. Detailed Test Execution Examples</w:t>
      </w:r>
    </w:p>
    <w:p>
      <w:pPr>
        <w:pStyle w:val="Heading2"/>
        <w:spacing w:after="120" w:before="0" w:line="360" w:lineRule="auto"/>
      </w:pPr>
      <w:r>
        <w:t>4.1 UT-12 Report numeric result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21"/>
              </w:rPr>
              <w:t>Test Case: UT-12</w:t>
            </w:r>
          </w:p>
        </w:tc>
        <w:tc>
          <w:tcPr>
            <w:tcW w:type="dxa" w:w="3135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21"/>
              </w:rPr>
              <w:t>Component: Report analysis</w:t>
            </w:r>
          </w:p>
        </w:tc>
        <w:tc>
          <w:tcPr>
            <w:tcW w:type="dxa" w:w="3135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21"/>
              </w:rPr>
              <w:t>Designed By: Project Author</w:t>
            </w:r>
          </w:p>
        </w:tc>
      </w:tr>
      <w:tr>
        <w:tc>
          <w:tcPr>
            <w:tcW w:type="dxa" w:w="3135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21"/>
              </w:rPr>
              <w:t>Data Source: Code / API / Prompt Input</w:t>
            </w:r>
          </w:p>
        </w:tc>
        <w:tc>
          <w:tcPr>
            <w:tcW w:type="dxa" w:w="3135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21"/>
              </w:rPr>
              <w:t>Objective: Interpret numeric WBC results.</w:t>
            </w:r>
          </w:p>
        </w:tc>
        <w:tc>
          <w:tcPr>
            <w:tcW w:type="dxa" w:w="3135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21"/>
              </w:rPr>
              <w:t>Tester: Project Author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20"/>
              </w:rPr>
              <w:t>Test Case</w:t>
            </w:r>
          </w:p>
        </w:tc>
        <w:tc>
          <w:tcPr>
            <w:tcW w:type="dxa" w:w="1881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20"/>
              </w:rPr>
              <w:t>Description</w:t>
            </w:r>
          </w:p>
        </w:tc>
        <w:tc>
          <w:tcPr>
            <w:tcW w:type="dxa" w:w="1881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20"/>
              </w:rPr>
              <w:t>Tasks</w:t>
            </w:r>
          </w:p>
        </w:tc>
        <w:tc>
          <w:tcPr>
            <w:tcW w:type="dxa" w:w="1881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20"/>
              </w:rPr>
              <w:t>Expected Result</w:t>
            </w:r>
          </w:p>
        </w:tc>
        <w:tc>
          <w:tcPr>
            <w:tcW w:type="dxa" w:w="1881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20"/>
              </w:rPr>
              <w:t>Actual Result</w:t>
            </w:r>
          </w:p>
        </w:tc>
      </w:tr>
      <w:tr>
        <w:tc>
          <w:tcPr>
            <w:tcW w:type="dxa" w:w="1881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20"/>
              </w:rPr>
              <w:t>UT-12</w:t>
            </w:r>
          </w:p>
        </w:tc>
        <w:tc>
          <w:tcPr>
            <w:tcW w:type="dxa" w:w="1881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20"/>
              </w:rPr>
              <w:t>Interpret numeric WBC results.</w:t>
            </w:r>
          </w:p>
        </w:tc>
        <w:tc>
          <w:tcPr>
            <w:tcW w:type="dxa" w:w="1881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20"/>
              </w:rPr>
              <w:t>Submit `WBC is 13.7`.</w:t>
            </w:r>
          </w:p>
        </w:tc>
        <w:tc>
          <w:tcPr>
            <w:tcW w:type="dxa" w:w="1881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20"/>
              </w:rPr>
              <w:t>Intent resolves to `report_numeric_result_analysis` and response marks high range.</w:t>
            </w:r>
          </w:p>
        </w:tc>
        <w:tc>
          <w:tcPr>
            <w:tcW w:type="dxa" w:w="1881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20"/>
              </w:rPr>
              <w:t>Passed in `test_report_analysis.py` and manual runtime verification. Status: Pass.</w:t>
            </w:r>
          </w:p>
        </w:tc>
      </w:tr>
    </w:tbl>
    <w:p>
      <w:pPr>
        <w:spacing w:after="12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120640" cy="40965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3_3_chat_u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096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40" w:lineRule="auto"/>
        <w:jc w:val="center"/>
      </w:pPr>
      <w:r>
        <w:rPr>
          <w:rFonts w:ascii="Arial" w:hAnsi="Arial"/>
          <w:b/>
          <w:i/>
          <w:sz w:val="20"/>
        </w:rPr>
        <w:t>Figure T1 Supporting interface or evidence for UT-12</w:t>
      </w:r>
    </w:p>
    <w:p>
      <w:pPr>
        <w:pStyle w:val="Heading2"/>
        <w:spacing w:after="120" w:before="0" w:line="360" w:lineRule="auto"/>
      </w:pPr>
      <w:r>
        <w:t>4.2 UT-15 Pediatric report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21"/>
              </w:rPr>
              <w:t>Test Case: UT-15</w:t>
            </w:r>
          </w:p>
        </w:tc>
        <w:tc>
          <w:tcPr>
            <w:tcW w:type="dxa" w:w="3135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21"/>
              </w:rPr>
              <w:t>Component: Report analysis</w:t>
            </w:r>
          </w:p>
        </w:tc>
        <w:tc>
          <w:tcPr>
            <w:tcW w:type="dxa" w:w="3135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21"/>
              </w:rPr>
              <w:t>Designed By: Project Author</w:t>
            </w:r>
          </w:p>
        </w:tc>
      </w:tr>
      <w:tr>
        <w:tc>
          <w:tcPr>
            <w:tcW w:type="dxa" w:w="3135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21"/>
              </w:rPr>
              <w:t>Data Source: Code / API / Prompt Input</w:t>
            </w:r>
          </w:p>
        </w:tc>
        <w:tc>
          <w:tcPr>
            <w:tcW w:type="dxa" w:w="3135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21"/>
              </w:rPr>
              <w:t>Objective: Apply pediatric age context.</w:t>
            </w:r>
          </w:p>
        </w:tc>
        <w:tc>
          <w:tcPr>
            <w:tcW w:type="dxa" w:w="3135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21"/>
              </w:rPr>
              <w:t>Tester: Project Author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20"/>
              </w:rPr>
              <w:t>Test Case</w:t>
            </w:r>
          </w:p>
        </w:tc>
        <w:tc>
          <w:tcPr>
            <w:tcW w:type="dxa" w:w="1881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20"/>
              </w:rPr>
              <w:t>Description</w:t>
            </w:r>
          </w:p>
        </w:tc>
        <w:tc>
          <w:tcPr>
            <w:tcW w:type="dxa" w:w="1881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20"/>
              </w:rPr>
              <w:t>Tasks</w:t>
            </w:r>
          </w:p>
        </w:tc>
        <w:tc>
          <w:tcPr>
            <w:tcW w:type="dxa" w:w="1881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20"/>
              </w:rPr>
              <w:t>Expected Result</w:t>
            </w:r>
          </w:p>
        </w:tc>
        <w:tc>
          <w:tcPr>
            <w:tcW w:type="dxa" w:w="1881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20"/>
              </w:rPr>
              <w:t>Actual Result</w:t>
            </w:r>
          </w:p>
        </w:tc>
      </w:tr>
      <w:tr>
        <w:tc>
          <w:tcPr>
            <w:tcW w:type="dxa" w:w="1881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20"/>
              </w:rPr>
              <w:t>UT-15</w:t>
            </w:r>
          </w:p>
        </w:tc>
        <w:tc>
          <w:tcPr>
            <w:tcW w:type="dxa" w:w="1881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20"/>
              </w:rPr>
              <w:t>Apply pediatric age context.</w:t>
            </w:r>
          </w:p>
        </w:tc>
        <w:tc>
          <w:tcPr>
            <w:tcW w:type="dxa" w:w="1881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20"/>
              </w:rPr>
              <w:t>Submit `WBC is 13 age is 10`.</w:t>
            </w:r>
          </w:p>
        </w:tc>
        <w:tc>
          <w:tcPr>
            <w:tcW w:type="dxa" w:w="1881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20"/>
              </w:rPr>
              <w:t>Pediatric range is applied and result is interpreted within pediatric criteria.</w:t>
            </w:r>
          </w:p>
        </w:tc>
        <w:tc>
          <w:tcPr>
            <w:tcW w:type="dxa" w:w="1881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20"/>
              </w:rPr>
              <w:t>Passed in `test_report_analysis.py` and runtime verification. Status: Pass.</w:t>
            </w:r>
          </w:p>
        </w:tc>
      </w:tr>
    </w:tbl>
    <w:p>
      <w:pPr>
        <w:spacing w:after="12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120640" cy="6400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4_7_admin_tra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64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40" w:lineRule="auto"/>
        <w:jc w:val="center"/>
      </w:pPr>
      <w:r>
        <w:rPr>
          <w:rFonts w:ascii="Arial" w:hAnsi="Arial"/>
          <w:b/>
          <w:i/>
          <w:sz w:val="20"/>
        </w:rPr>
        <w:t>Figure T2 Supporting interface or evidence for UT-15</w:t>
      </w:r>
    </w:p>
    <w:p>
      <w:pPr>
        <w:pStyle w:val="Heading2"/>
        <w:spacing w:after="120" w:before="0" w:line="360" w:lineRule="auto"/>
      </w:pPr>
      <w:r>
        <w:t>4.3 UT-20 Report-analysis preview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21"/>
              </w:rPr>
              <w:t>Test Case: UT-20</w:t>
            </w:r>
          </w:p>
        </w:tc>
        <w:tc>
          <w:tcPr>
            <w:tcW w:type="dxa" w:w="3135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21"/>
              </w:rPr>
              <w:t>Component: API layer</w:t>
            </w:r>
          </w:p>
        </w:tc>
        <w:tc>
          <w:tcPr>
            <w:tcW w:type="dxa" w:w="3135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21"/>
              </w:rPr>
              <w:t>Designed By: Project Author</w:t>
            </w:r>
          </w:p>
        </w:tc>
      </w:tr>
      <w:tr>
        <w:tc>
          <w:tcPr>
            <w:tcW w:type="dxa" w:w="3135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21"/>
              </w:rPr>
              <w:t>Data Source: Code / API / Prompt Input</w:t>
            </w:r>
          </w:p>
        </w:tc>
        <w:tc>
          <w:tcPr>
            <w:tcW w:type="dxa" w:w="3135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21"/>
              </w:rPr>
              <w:t>Objective: Expose report-analysis preview rows.</w:t>
            </w:r>
          </w:p>
        </w:tc>
        <w:tc>
          <w:tcPr>
            <w:tcW w:type="dxa" w:w="3135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21"/>
              </w:rPr>
              <w:t>Tester: Project Author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20"/>
              </w:rPr>
              <w:t>Test Case</w:t>
            </w:r>
          </w:p>
        </w:tc>
        <w:tc>
          <w:tcPr>
            <w:tcW w:type="dxa" w:w="1881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20"/>
              </w:rPr>
              <w:t>Description</w:t>
            </w:r>
          </w:p>
        </w:tc>
        <w:tc>
          <w:tcPr>
            <w:tcW w:type="dxa" w:w="1881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20"/>
              </w:rPr>
              <w:t>Tasks</w:t>
            </w:r>
          </w:p>
        </w:tc>
        <w:tc>
          <w:tcPr>
            <w:tcW w:type="dxa" w:w="1881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20"/>
              </w:rPr>
              <w:t>Expected Result</w:t>
            </w:r>
          </w:p>
        </w:tc>
        <w:tc>
          <w:tcPr>
            <w:tcW w:type="dxa" w:w="1881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20"/>
              </w:rPr>
              <w:t>Actual Result</w:t>
            </w:r>
          </w:p>
        </w:tc>
      </w:tr>
      <w:tr>
        <w:tc>
          <w:tcPr>
            <w:tcW w:type="dxa" w:w="1881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20"/>
              </w:rPr>
              <w:t>UT-20</w:t>
            </w:r>
          </w:p>
        </w:tc>
        <w:tc>
          <w:tcPr>
            <w:tcW w:type="dxa" w:w="1881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20"/>
              </w:rPr>
              <w:t>Expose report-analysis preview rows.</w:t>
            </w:r>
          </w:p>
        </w:tc>
        <w:tc>
          <w:tcPr>
            <w:tcW w:type="dxa" w:w="1881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20"/>
              </w:rPr>
              <w:t>GET `/admin/api/report-analysis-preview`.</w:t>
            </w:r>
          </w:p>
        </w:tc>
        <w:tc>
          <w:tcPr>
            <w:tcW w:type="dxa" w:w="1881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20"/>
              </w:rPr>
              <w:t>Preview returns report-analysis retraining candidates in JSON.</w:t>
            </w:r>
          </w:p>
        </w:tc>
        <w:tc>
          <w:tcPr>
            <w:tcW w:type="dxa" w:w="1881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20"/>
              </w:rPr>
              <w:t>Passed in `test_api.py`. Status: Pass.</w:t>
            </w:r>
          </w:p>
        </w:tc>
      </w:tr>
    </w:tbl>
    <w:p>
      <w:pPr>
        <w:spacing w:after="12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120640" cy="57607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4_5_admin_over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760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40" w:lineRule="auto"/>
        <w:jc w:val="center"/>
      </w:pPr>
      <w:r>
        <w:rPr>
          <w:rFonts w:ascii="Arial" w:hAnsi="Arial"/>
          <w:b/>
          <w:i/>
          <w:sz w:val="20"/>
        </w:rPr>
        <w:t>Figure T3 Supporting interface or evidence for UT-20</w:t>
      </w:r>
    </w:p>
    <w:p>
      <w:pPr>
        <w:pStyle w:val="Heading2"/>
        <w:spacing w:after="120" w:before="0" w:line="360" w:lineRule="auto"/>
      </w:pPr>
      <w:r>
        <w:t>4.4 UT-24 HTTPS redirect and deployment validation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21"/>
              </w:rPr>
              <w:t>Test Case: UT-24</w:t>
            </w:r>
          </w:p>
        </w:tc>
        <w:tc>
          <w:tcPr>
            <w:tcW w:type="dxa" w:w="3135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21"/>
              </w:rPr>
              <w:t>Component: HTTPS deployment</w:t>
            </w:r>
          </w:p>
        </w:tc>
        <w:tc>
          <w:tcPr>
            <w:tcW w:type="dxa" w:w="3135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21"/>
              </w:rPr>
              <w:t>Designed By: Project Author</w:t>
            </w:r>
          </w:p>
        </w:tc>
      </w:tr>
      <w:tr>
        <w:tc>
          <w:tcPr>
            <w:tcW w:type="dxa" w:w="3135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21"/>
              </w:rPr>
              <w:t>Data Source: Code / API / Prompt Input</w:t>
            </w:r>
          </w:p>
        </w:tc>
        <w:tc>
          <w:tcPr>
            <w:tcW w:type="dxa" w:w="3135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21"/>
              </w:rPr>
              <w:t>Objective: Build redirect URL correctly.</w:t>
            </w:r>
          </w:p>
        </w:tc>
        <w:tc>
          <w:tcPr>
            <w:tcW w:type="dxa" w:w="3135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21"/>
              </w:rPr>
              <w:t>Tester: Project Author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20"/>
              </w:rPr>
              <w:t>Test Case</w:t>
            </w:r>
          </w:p>
        </w:tc>
        <w:tc>
          <w:tcPr>
            <w:tcW w:type="dxa" w:w="1881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20"/>
              </w:rPr>
              <w:t>Description</w:t>
            </w:r>
          </w:p>
        </w:tc>
        <w:tc>
          <w:tcPr>
            <w:tcW w:type="dxa" w:w="1881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20"/>
              </w:rPr>
              <w:t>Tasks</w:t>
            </w:r>
          </w:p>
        </w:tc>
        <w:tc>
          <w:tcPr>
            <w:tcW w:type="dxa" w:w="1881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20"/>
              </w:rPr>
              <w:t>Expected Result</w:t>
            </w:r>
          </w:p>
        </w:tc>
        <w:tc>
          <w:tcPr>
            <w:tcW w:type="dxa" w:w="1881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20"/>
              </w:rPr>
              <w:t>Actual Result</w:t>
            </w:r>
          </w:p>
        </w:tc>
      </w:tr>
      <w:tr>
        <w:tc>
          <w:tcPr>
            <w:tcW w:type="dxa" w:w="1881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20"/>
              </w:rPr>
              <w:t>UT-24</w:t>
            </w:r>
          </w:p>
        </w:tc>
        <w:tc>
          <w:tcPr>
            <w:tcW w:type="dxa" w:w="1881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20"/>
              </w:rPr>
              <w:t>Build redirect URL correctly.</w:t>
            </w:r>
          </w:p>
        </w:tc>
        <w:tc>
          <w:tcPr>
            <w:tcW w:type="dxa" w:w="1881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20"/>
              </w:rPr>
              <w:t>Request `http://localhost:8000/admin?x=1` while HTTPS is enabled.</w:t>
            </w:r>
          </w:p>
        </w:tc>
        <w:tc>
          <w:tcPr>
            <w:tcW w:type="dxa" w:w="1881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20"/>
              </w:rPr>
              <w:t>Redirect points to HTTPS target preserving path and query.</w:t>
            </w:r>
          </w:p>
        </w:tc>
        <w:tc>
          <w:tcPr>
            <w:tcW w:type="dxa" w:w="1881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20"/>
              </w:rPr>
              <w:t>Passed in `test_https_redirect.py`. Status: Pass.</w:t>
            </w:r>
          </w:p>
        </w:tc>
      </w:tr>
    </w:tbl>
    <w:p>
      <w:pPr>
        <w:spacing w:after="12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120640" cy="57607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4_5_admin_over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760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40" w:lineRule="auto"/>
        <w:jc w:val="center"/>
      </w:pPr>
      <w:r>
        <w:rPr>
          <w:rFonts w:ascii="Arial" w:hAnsi="Arial"/>
          <w:b/>
          <w:i/>
          <w:sz w:val="20"/>
        </w:rPr>
        <w:t>Figure T4 Supporting interface or evidence for UT-24</w:t>
      </w:r>
    </w:p>
    <w:p>
      <w:pPr>
        <w:pStyle w:val="Heading1"/>
        <w:spacing w:after="120" w:before="0" w:line="360" w:lineRule="auto"/>
      </w:pPr>
      <w:r>
        <w:t>5. Execution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21"/>
              </w:rPr>
              <w:t>Metric</w:t>
            </w:r>
          </w:p>
        </w:tc>
        <w:tc>
          <w:tcPr>
            <w:tcW w:type="dxa" w:w="4702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21"/>
              </w:rPr>
              <w:t>Value</w:t>
            </w:r>
          </w:p>
        </w:tc>
      </w:tr>
      <w:tr>
        <w:tc>
          <w:tcPr>
            <w:tcW w:type="dxa" w:w="4702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21"/>
              </w:rPr>
              <w:t>Planned cases</w:t>
            </w:r>
          </w:p>
        </w:tc>
        <w:tc>
          <w:tcPr>
            <w:tcW w:type="dxa" w:w="4702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21"/>
              </w:rPr>
              <w:t>26</w:t>
            </w:r>
          </w:p>
        </w:tc>
      </w:tr>
      <w:tr>
        <w:tc>
          <w:tcPr>
            <w:tcW w:type="dxa" w:w="4702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21"/>
              </w:rPr>
              <w:t>Passed</w:t>
            </w:r>
          </w:p>
        </w:tc>
        <w:tc>
          <w:tcPr>
            <w:tcW w:type="dxa" w:w="4702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21"/>
              </w:rPr>
              <w:t>26</w:t>
            </w:r>
          </w:p>
        </w:tc>
      </w:tr>
      <w:tr>
        <w:tc>
          <w:tcPr>
            <w:tcW w:type="dxa" w:w="4702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21"/>
              </w:rPr>
              <w:t>Failed</w:t>
            </w:r>
          </w:p>
        </w:tc>
        <w:tc>
          <w:tcPr>
            <w:tcW w:type="dxa" w:w="4702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21"/>
              </w:rPr>
              <w:t>0</w:t>
            </w:r>
          </w:p>
        </w:tc>
      </w:tr>
      <w:tr>
        <w:tc>
          <w:tcPr>
            <w:tcW w:type="dxa" w:w="4702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21"/>
              </w:rPr>
              <w:t>Blocked</w:t>
            </w:r>
          </w:p>
        </w:tc>
        <w:tc>
          <w:tcPr>
            <w:tcW w:type="dxa" w:w="4702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21"/>
              </w:rPr>
              <w:t>0</w:t>
            </w:r>
          </w:p>
        </w:tc>
      </w:tr>
      <w:tr>
        <w:tc>
          <w:tcPr>
            <w:tcW w:type="dxa" w:w="4702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21"/>
              </w:rPr>
              <w:t>Automated regression suite</w:t>
            </w:r>
          </w:p>
        </w:tc>
        <w:tc>
          <w:tcPr>
            <w:tcW w:type="dxa" w:w="4702"/>
          </w:tcPr>
          <w:p>
            <w:pPr>
              <w:spacing w:after="120" w:before="0" w:line="240" w:lineRule="auto"/>
            </w:pPr>
            <w:r>
              <w:rPr>
                <w:rFonts w:ascii="Arial" w:hAnsi="Arial"/>
                <w:sz w:val="21"/>
              </w:rPr>
              <w:t>50 passed</w:t>
            </w:r>
          </w:p>
        </w:tc>
      </w:tr>
    </w:tbl>
    <w:p>
      <w:pPr>
        <w:pStyle w:val="Heading1"/>
        <w:spacing w:after="120" w:before="0" w:line="360" w:lineRule="auto"/>
      </w:pPr>
      <w:r>
        <w:t>6. Residual Risks and Notes</w:t>
      </w:r>
    </w:p>
    <w:p>
      <w:pPr>
        <w:spacing w:after="120" w:before="0" w:line="360" w:lineRule="auto"/>
      </w:pPr>
      <w:r>
        <w:t>The report-analysis layer remained bounded and did not attempt diagnosis, treatment recommendation, or unrestricted clinical reasoning.</w:t>
      </w:r>
    </w:p>
    <w:p>
      <w:pPr>
        <w:spacing w:after="120" w:before="0" w:line="360" w:lineRule="auto"/>
      </w:pPr>
      <w:r>
        <w:t>Reference intervals remained generalized for assistant support and had to defer to the printed report range and local laboratory policy.</w:t>
      </w:r>
    </w:p>
    <w:p>
      <w:pPr>
        <w:spacing w:after="120" w:before="0" w:line="360" w:lineRule="auto"/>
      </w:pPr>
      <w:r>
        <w:t>Pediatric support remained deliberately simplified and should be documented as bounded laboratory assistance rather than clinical decision support.</w:t>
      </w:r>
    </w:p>
    <w:sectPr w:rsidR="00FC693F" w:rsidRPr="0006063C" w:rsidSect="00034616">
      <w:footerReference w:type="default" r:id="rId14"/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