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36"/>
          <w:szCs w:val="36"/>
        </w:rPr>
        <w:t xml:space="preserve">APPLICATION FOR AUTHORITY TO ADOPT</w:t>
      </w:r>
    </w:p>
    <w:p>
      <w:pPr>
        <w:jc w:val="center"/>
      </w:pPr>
      <w:r>
        <w:rPr>
          <w:rFonts w:ascii="Arial" w:cs="Arial" w:eastAsia="Arial" w:hAnsi="Arial"/>
          <w:b/>
          <w:bCs/>
          <w:sz w:val="36"/>
          <w:szCs w:val="36"/>
        </w:rPr>
        <w:t xml:space="preserve">COMPONENTS OF A COMPUTERIZED</w:t>
      </w:r>
    </w:p>
    <w:p>
      <w:pPr>
        <w:jc w:val="center"/>
      </w:pPr>
      <w:r>
        <w:rPr>
          <w:rFonts w:ascii="Arial" w:cs="Arial" w:eastAsia="Arial" w:hAnsi="Arial"/>
          <w:b/>
          <w:bCs/>
          <w:sz w:val="36"/>
          <w:szCs w:val="36"/>
        </w:rPr>
        <w:t xml:space="preserve">ACCOUNTING SYSTEM (CAS)</w:t>
      </w:r>
    </w:p>
    <w:p>
      <w:r>
        <w:t xml:space="preserve"/>
      </w:r>
    </w:p>
    <w:p>
      <w:pPr>
        <w:jc w:val="center"/>
      </w:pPr>
      <w:r>
        <w:rPr>
          <w:b/>
          <w:bCs/>
          <w:i/>
          <w:iCs/>
          <w:sz w:val="24"/>
          <w:szCs w:val="24"/>
        </w:rPr>
        <w:t xml:space="preserve">Scope of Application: Sales / Invoicing Module Only</w:t>
      </w:r>
    </w:p>
    <w:p>
      <w:r>
        <w:t xml:space="preserve"/>
      </w:r>
    </w:p>
    <w:p>
      <w:pPr>
        <w:jc w:val="center"/>
      </w:pPr>
      <w:r>
        <w:rPr>
          <w:i/>
          <w:iCs/>
          <w:sz w:val="22"/>
          <w:szCs w:val="22"/>
        </w:rPr>
        <w:t xml:space="preserve">Filed pursuant to BIR Form 1900 and RR No. 11-2024 (EOPT Act)</w:t>
      </w:r>
    </w:p>
    <w:p>
      <w:r>
        <w:t xml:space="preserve"/>
      </w:r>
    </w:p>
    <w:p>
      <w:r>
        <w:t xml:space="preserve"/>
      </w:r>
    </w:p>
    <w:p>
      <w:pPr>
        <w:jc w:val="center"/>
      </w:pPr>
      <w:r>
        <w:rPr>
          <w:sz w:val="24"/>
          <w:szCs w:val="24"/>
        </w:rPr>
        <w:t xml:space="preserve">Applicant:</w:t>
      </w:r>
    </w:p>
    <w:p>
      <w:pPr>
        <w:jc w:val="center"/>
      </w:pPr>
      <w:r>
        <w:rPr>
          <w:b/>
          <w:bCs/>
          <w:sz w:val="28"/>
          <w:szCs w:val="28"/>
        </w:rPr>
        <w:t xml:space="preserve">BAUTISTA, JENNIFER KRISTINE BONNEVIE</w:t>
      </w:r>
    </w:p>
    <w:p>
      <w:pPr>
        <w:jc w:val="center"/>
      </w:pPr>
      <w:r>
        <w:rPr>
          <w:i/>
          <w:iCs/>
          <w:sz w:val="22"/>
          <w:szCs w:val="22"/>
        </w:rPr>
        <w:t xml:space="preserve">Trading as "Luxury Momnrock Laundry Service"</w:t>
      </w:r>
    </w:p>
    <w:p>
      <w:r>
        <w:t xml:space="preserve"/>
      </w:r>
    </w:p>
    <w:p>
      <w:r>
        <w:t xml:space="preserve"/>
      </w:r>
    </w:p>
    <w:p>
      <w:r>
        <w:t xml:space="preserve"/>
      </w:r>
    </w:p>
    <w:p>
      <w:pPr>
        <w:jc w:val="center"/>
      </w:pPr>
      <w:r>
        <w:rPr>
          <w:sz w:val="22"/>
          <w:szCs w:val="22"/>
        </w:rPr>
        <w:t xml:space="preserve">Component of CAS: Integrated Business Management System (IBMS) — Sales Module</w:t>
      </w:r>
    </w:p>
    <w:p>
      <w:pPr>
        <w:jc w:val="center"/>
      </w:pPr>
      <w:r>
        <w:rPr>
          <w:sz w:val="22"/>
          <w:szCs w:val="22"/>
        </w:rPr>
        <w:t xml:space="preserve">Developer: AIBOS (proprietor: Jian Miguel Bautista)</w:t>
      </w:r>
    </w:p>
    <w:p>
      <w:r>
        <w:t xml:space="preserve"/>
      </w:r>
    </w:p>
    <w:p>
      <w:r>
        <w:t xml:space="preserve"/>
      </w:r>
    </w:p>
    <w:p>
      <w:r>
        <w:t xml:space="preserve"/>
      </w:r>
    </w:p>
    <w:p>
      <w:pPr>
        <w:jc w:val="center"/>
      </w:pPr>
      <w:r>
        <w:rPr>
          <w:sz w:val="22"/>
          <w:szCs w:val="22"/>
        </w:rPr>
        <w:t xml:space="preserve">Filing date: 22 April 2026</w:t>
      </w:r>
    </w:p>
    <w:p>
      <w:r>
        <w:br w:type="page"/>
      </w:r>
    </w:p>
    <w:p>
      <w:pPr>
        <w:pStyle w:val="Heading1"/>
      </w:pPr>
      <w:r>
        <w:rPr>
          <w:b/>
          <w:bCs/>
        </w:rPr>
        <w:t xml:space="preserve">Table of Contents</w:t>
      </w:r>
    </w:p>
    <w:p>
      <w:r>
        <w:t xml:space="preserve">A.  Cover / Application Letter</w:t>
      </w:r>
    </w:p>
    <w:p>
      <w:r>
        <w:t xml:space="preserve">B.  Applicant Information</w:t>
      </w:r>
    </w:p>
    <w:p>
      <w:r>
        <w:t xml:space="preserve">C.  Scope of this Application — What is and is NOT Covered</w:t>
      </w:r>
    </w:p>
    <w:p>
      <w:r>
        <w:t xml:space="preserve">D.  System Overview — Sales Module</w:t>
      </w:r>
    </w:p>
    <w:p>
      <w:r>
        <w:t xml:space="preserve">E.  Functional Features of the Sales Module</w:t>
      </w:r>
    </w:p>
    <w:p>
      <w:r>
        <w:t xml:space="preserve">F.  System Flow</w:t>
      </w:r>
    </w:p>
    <w:p>
      <w:r>
        <w:t xml:space="preserve">G.  Process Flow — Sales Transaction Cycle</w:t>
      </w:r>
    </w:p>
    <w:p>
      <w:r>
        <w:t xml:space="preserve">H.  Sample Sales Invoice (Facsimile)</w:t>
      </w:r>
    </w:p>
    <w:p>
      <w:r>
        <w:t xml:space="preserve">I.   Sample Collection / Acknowledgment Receipt (Facsimile)</w:t>
      </w:r>
    </w:p>
    <w:p>
      <w:r>
        <w:t xml:space="preserve">J.  List of System-Generated Reports (Sales Module)</w:t>
      </w:r>
    </w:p>
    <w:p>
      <w:r>
        <w:t xml:space="preserve">K.  Books of Accounts — Maintained OUTSIDE the System</w:t>
      </w:r>
    </w:p>
    <w:p>
      <w:r>
        <w:t xml:space="preserve">L.  Backup, Archival, and Retention Procedures</w:t>
      </w:r>
    </w:p>
    <w:p>
      <w:r>
        <w:t xml:space="preserve">M. Disaster Recovery Plan</w:t>
      </w:r>
    </w:p>
    <w:p>
      <w:r>
        <w:t xml:space="preserve">N.  User Manual for the Sales Module</w:t>
      </w:r>
    </w:p>
    <w:p>
      <w:r>
        <w:t xml:space="preserve">O.  Annex — List of Supporting Documents</w:t>
      </w:r>
    </w:p>
    <w:p>
      <w:r>
        <w:br w:type="page"/>
      </w:r>
    </w:p>
    <w:p>
      <w:pPr>
        <w:pStyle w:val="Heading1"/>
      </w:pPr>
      <w:r>
        <w:rPr>
          <w:b/>
          <w:bCs/>
        </w:rPr>
        <w:t xml:space="preserve">A. Cover / Application Letter</w:t>
      </w:r>
    </w:p>
    <w:p>
      <w:r>
        <w:t xml:space="preserve">22 April 2026</w:t>
      </w:r>
    </w:p>
    <w:p>
      <w:r>
        <w:t xml:space="preserve"/>
      </w:r>
    </w:p>
    <w:p>
      <w:r>
        <w:t xml:space="preserve">The Revenue District Officer</w:t>
      </w:r>
    </w:p>
    <w:p>
      <w:r>
        <w:t xml:space="preserve">Bureau of Internal Revenue — RDO No. 040 — Cubao, Quezon City (per footer note on Arton West 2303 and explicit VAT statement on Xavierville 2303)</w:t>
      </w:r>
    </w:p>
    <w:p>
      <w:r>
        <w:t xml:space="preserve">[RDO OFFICE ADDRESS]</w:t>
      </w:r>
    </w:p>
    <w:p>
      <w:r>
        <w:t xml:space="preserve"/>
      </w:r>
    </w:p>
    <w:p>
      <w:r>
        <w:rPr>
          <w:b/>
          <w:bCs/>
        </w:rPr>
        <w:t xml:space="preserve">Subject: </w:t>
      </w:r>
      <w:r>
        <w:t xml:space="preserve">Application for Authority to Adopt Components of a Computerized Accounting System — Sales / Invoicing Module — Luxury Momnrock Laundry Service</w:t>
      </w:r>
    </w:p>
    <w:p>
      <w:r>
        <w:t xml:space="preserve"/>
      </w:r>
    </w:p>
    <w:p>
      <w:r>
        <w:t xml:space="preserve">Dear Sir/Madam:</w:t>
      </w:r>
    </w:p>
    <w:p>
      <w:r>
        <w:t xml:space="preserve"/>
      </w:r>
    </w:p>
    <w:p>
      <w:r>
        <w:t xml:space="preserve">The undersigned, in behalf of BAUTISTA, JENNIFER KRISTINE BONNEVIE (TIN 236-606-454 (Head Office branch code 00000 to be confirmed; branch codes per branch listed in Sec. B.1)), a taxpayer registered with your Office as a sole proprietor engaged in laundry services under the trade name "Luxury Momnrock Laundry Service", respectfully applies for authority to adopt components of a Computerized Accounting System, specifically the Sales and Invoicing module of the "Integrated Business Management System" ("IBMS") developed by AIBOS (proprietor: Jian Miguel Bautista).</w:t>
      </w:r>
    </w:p>
    <w:p>
      <w:r>
        <w:t xml:space="preserve"/>
      </w:r>
    </w:p>
    <w:p>
      <w:r>
        <w:t xml:space="preserve">The scope of this application is deliberately limited to the Sales / Invoicing module — that is, the issuance of Sales Invoices and Collection Receipts by the System, the audit trail over those documents, and the sales reports generated by the System. The applicant's books of accounts (General Journal, General Ledger, Sales Journal, Cash Receipts Journal, and related books) will continue to be maintained OUTSIDE the System as loose-leaf or manual books of accounts, pursuant to a separate registration.</w:t>
      </w:r>
    </w:p>
    <w:p>
      <w:r>
        <w:t xml:space="preserve"/>
      </w:r>
    </w:p>
    <w:p>
      <w:r>
        <w:t xml:space="preserve">In support of this application, we submit herewith BIR Form 1900, duly accomplished, and the documentary requirements enumerated in the Annex. The System complies with Section 237 of the Tax Code and with Revenue Regulations Nos. 7-2024 and 11-2024, including: (a) the issuance of an Invoice (not an Official Receipt) as the principal document for every sale; (b) sequential, non-resettable serial numbering per branch; (c) all mandatory fields on the face of the Invoice; (d) an immutable audit trail over issuances, voids, and collection receipts; and (e) electronic retention of Invoices, Collection Receipts, and sales reports for a period of not less than ten (10) years.</w:t>
      </w:r>
    </w:p>
    <w:p>
      <w:r>
        <w:t xml:space="preserve"/>
      </w:r>
    </w:p>
    <w:p>
      <w:r>
        <w:t xml:space="preserve">We respectfully request the issuance of the corresponding Acknowledgment Certificate authorizing the use of the IBMS Sales Module in the operation of our business.</w:t>
      </w:r>
    </w:p>
    <w:p>
      <w:r>
        <w:t xml:space="preserve"/>
      </w:r>
    </w:p>
    <w:p>
      <w:r>
        <w:t xml:space="preserve">Thank you for the favorable consideration of this application.</w:t>
      </w:r>
    </w:p>
    <w:p>
      <w:r>
        <w:t xml:space="preserve"/>
      </w:r>
    </w:p>
    <w:p>
      <w:r>
        <w:t xml:space="preserve">Very truly yours,</w:t>
      </w:r>
    </w:p>
    <w:p>
      <w:r>
        <w:t xml:space="preserve"/>
      </w:r>
    </w:p>
    <w:p>
      <w:r>
        <w:t xml:space="preserve"/>
      </w:r>
    </w:p>
    <w:p>
      <w:r>
        <w:rPr>
          <w:b/>
          <w:bCs/>
        </w:rPr>
        <w:t xml:space="preserve">Jennifer Kristine Bonnevie Bautista</w:t>
      </w:r>
    </w:p>
    <w:p>
      <w:r>
        <w:t xml:space="preserve">Sole Proprietor</w:t>
      </w:r>
    </w:p>
    <w:p>
      <w:r>
        <w:t xml:space="preserve">Contact: miguel@bonnevie-bautista.com  |  Mobile: [CONTACT NUMBER]</w:t>
      </w:r>
    </w:p>
    <w:p>
      <w:r>
        <w:t xml:space="preserve"/>
      </w:r>
    </w:p>
    <w:p>
      <w:r>
        <w:t xml:space="preserve">Authorized Representative: Jian Miguel Bautista (Authorized System Representative (AIBOS — system developer))</w:t>
      </w:r>
    </w:p>
    <w:p>
      <w:r>
        <w:br w:type="page"/>
      </w:r>
    </w:p>
    <w:p>
      <w:pPr>
        <w:pStyle w:val="Heading1"/>
      </w:pPr>
      <w:r>
        <w:rPr>
          <w:b/>
          <w:bCs/>
        </w:rPr>
        <w:t xml:space="preserve">B. Applicant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Field</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Value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Registered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Trade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Luxury Momnrock Laundry Service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Taxpayer Identification Number (TIN)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 (Head Office branch code 00000 to be confirmed; branch codes per branch listed in Sec. B.1)</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Head Office RDO</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040 — Cubao, Quezon City (per footer note on Arton West 2303 and explicit VAT statement on Xavierville 2303)</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Type (per BIR Form 2303)</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VAT-Registered (Head Office, per explicit notation on Xavierville BIR 2303 dated 27 July 2020)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Line of Business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Laundry Services</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PSIC</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96210 — Washing and Dry Cleaning of Textile and Fur Products (current; older Xavierville COR uses 9301)</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Registered Head Office Address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[HEAD OFFICE ADDRESS — to be confirmed from Head Office 2303]</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Registration Date (BIR 2303)</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Head Office: TBC | Xavierville: 27 July 2020 | Tiendesitas: 14 June 2022 | Arton West: 22 October 2025</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Proprietor</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Jennifer Kristine Bonnevie Bautista</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Authorized System Representative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Jian Miguel Bautista (Authorized System Representative (AIBOS — system developer))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Contact</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miguel@bonnevie-bautista.com / [CONTACT NUMBER]</w:t>
            </w:r>
          </w:p>
        </w:tc>
      </w:tr>
    </w:tbl>
    <w:p>
      <w:r>
        <w:t xml:space="preserve"/>
      </w:r>
    </w:p>
    <w:p>
      <w:pPr>
        <w:pStyle w:val="Heading2"/>
      </w:pPr>
      <w:r>
        <w:rPr>
          <w:b/>
          <w:bCs/>
        </w:rPr>
        <w:t xml:space="preserve">B.1 Branches Covered by This Application</w:t>
      </w:r>
    </w:p>
    <w:p>
      <w:r>
        <w:t xml:space="preserve">Note: branches span more than one Revenue District. The Head Office is registered under RDO 040; the branches are registered under RDO 039 (South Quezon City) and RDO 043 (Pasig). This Application is filed at the Head Office RDO; the issued Acknowledgment Certificate covers all listed branches.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900"/>
        <w:gridCol w:w="4660"/>
      </w:tblGrid>
      <w:tr>
        <w:trPr>
          <w:tblHeader/>
        </w:trPr>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Branch Code</w:t>
            </w:r>
          </w:p>
        </w:tc>
        <w:tc>
          <w:tcPr>
            <w:tcW w:type="dxa" w:w="1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Branch Name</w:t>
            </w:r>
          </w:p>
        </w:tc>
        <w:tc>
          <w:tcPr>
            <w:tcW w:type="dxa" w:w="1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RDO</w:t>
            </w:r>
          </w:p>
        </w:tc>
        <w:tc>
          <w:tcPr>
            <w:tcW w:type="dxa" w:w="46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Address</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001</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Xavierville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039 — South Quezon City</w:t>
            </w:r>
          </w:p>
        </w:tc>
        <w:tc>
          <w:tcPr>
            <w:tcW w:type="dxa" w:w="46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 45 Xavierville Avenue, Loyola Heights, Quezon City 1108 — registered 27 July 2020</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00003</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Tiendesitas</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043 — Pasig</w:t>
            </w:r>
          </w:p>
        </w:tc>
        <w:tc>
          <w:tcPr>
            <w:tcW w:type="dxa" w:w="46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Unit PA-01 Level 1 Building A, Tiendesitas en Frontera Verde, Ortigas East, Ugong, 1604 City of Pasig, NCR — registered 14 June 2022</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00004</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Arton West</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039 — South Quezon City</w:t>
            </w:r>
          </w:p>
        </w:tc>
        <w:tc>
          <w:tcPr>
            <w:tcW w:type="dxa" w:w="46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Unit GF-RS-102 Arton by Rockwell Condominium, Aurora Boulevard, Loyola Heights, 1108 Quezon City, NCR — registered 22 October 2025</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[CONFIRM]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Ayala 30th</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[CONFIRM RDO]</w:t>
            </w:r>
          </w:p>
        </w:tc>
        <w:tc>
          <w:tcPr>
            <w:tcW w:type="dxa" w:w="46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ADDRESS — 2303 not yet provided]</w:t>
            </w:r>
          </w:p>
        </w:tc>
      </w:tr>
    </w:tbl>
    <w:p>
      <w:r>
        <w:br w:type="page"/>
      </w:r>
    </w:p>
    <w:p>
      <w:pPr>
        <w:pStyle w:val="Heading1"/>
      </w:pPr>
      <w:r>
        <w:rPr>
          <w:b/>
          <w:bCs/>
        </w:rPr>
        <w:t xml:space="preserve">C. Scope of this Application</w:t>
      </w:r>
    </w:p>
    <w:p>
      <w:r>
        <w:t xml:space="preserve">This section explicitly identifies what is — and what is NOT — within the scope of this application for the Acknowledgment Certificate.</w:t>
      </w:r>
    </w:p>
    <w:p>
      <w:r>
        <w:t xml:space="preserve"/>
      </w:r>
    </w:p>
    <w:p>
      <w:pPr>
        <w:pStyle w:val="Heading2"/>
      </w:pPr>
      <w:r>
        <w:rPr>
          <w:b/>
          <w:bCs/>
        </w:rPr>
        <w:t xml:space="preserve">C.1 What is covered (and must be evaluated by the Bureau)</w:t>
      </w:r>
    </w:p>
    <w:p>
      <w:pPr>
        <w:pStyle w:val="ListParagraph"/>
        <w:numPr>
          <w:ilvl w:val="0"/>
          <w:numId w:val="2"/>
        </w:numPr>
      </w:pPr>
      <w:r>
        <w:t xml:space="preserve">The issuance of a Sales Invoice by IBMS for every sale of service to a customer, including the numbering, content, and print format.</w:t>
      </w:r>
    </w:p>
    <w:p>
      <w:pPr>
        <w:pStyle w:val="ListParagraph"/>
        <w:numPr>
          <w:ilvl w:val="0"/>
          <w:numId w:val="2"/>
        </w:numPr>
      </w:pPr>
      <w:r>
        <w:t xml:space="preserve">The issuance of a Collection Receipt by IBMS when payment is received in a period subsequent to the issuance of the Sales Invoice.</w:t>
      </w:r>
    </w:p>
    <w:p>
      <w:pPr>
        <w:pStyle w:val="ListParagraph"/>
        <w:numPr>
          <w:ilvl w:val="0"/>
          <w:numId w:val="2"/>
        </w:numPr>
      </w:pPr>
      <w:r>
        <w:t xml:space="preserve">The recording and retention of Sales Invoices, Collection Receipts, voids, and related audit-trail data inside IBMS for a period of not less than 10 years.</w:t>
      </w:r>
    </w:p>
    <w:p>
      <w:pPr>
        <w:pStyle w:val="ListParagraph"/>
        <w:numPr>
          <w:ilvl w:val="0"/>
          <w:numId w:val="2"/>
        </w:numPr>
      </w:pPr>
      <w:r>
        <w:t xml:space="preserve">The sales-related reports generated by IBMS (Section J of this package).</w:t>
      </w:r>
    </w:p>
    <w:p>
      <w:pPr>
        <w:pStyle w:val="Heading2"/>
      </w:pPr>
      <w:r>
        <w:rPr>
          <w:b/>
          <w:bCs/>
        </w:rPr>
        <w:t xml:space="preserve">C.2 What is NOT covered</w:t>
      </w:r>
    </w:p>
    <w:p>
      <w:pPr>
        <w:pStyle w:val="ListParagraph"/>
        <w:numPr>
          <w:ilvl w:val="0"/>
          <w:numId w:val="2"/>
        </w:numPr>
      </w:pPr>
      <w:r>
        <w:t xml:space="preserve">The General Journal, General Ledger, Sales Journal, Cash Receipts Journal, Cash Disbursements Journal, and Subsidiary Ledgers. These books are maintained by the applicant OUTSIDE the System, in loose-leaf or manual form, pursuant to a separate registration under Section 232 of the Tax Code.</w:t>
      </w:r>
    </w:p>
    <w:p>
      <w:pPr>
        <w:pStyle w:val="ListParagraph"/>
        <w:numPr>
          <w:ilvl w:val="0"/>
          <w:numId w:val="2"/>
        </w:numPr>
      </w:pPr>
      <w:r>
        <w:t xml:space="preserve">Payroll and human-resource records, which are maintained in a separate system.</w:t>
      </w:r>
    </w:p>
    <w:p>
      <w:pPr>
        <w:pStyle w:val="ListParagraph"/>
        <w:numPr>
          <w:ilvl w:val="0"/>
          <w:numId w:val="2"/>
        </w:numPr>
      </w:pPr>
      <w:r>
        <w:t xml:space="preserve">Purchases, accounts payable, and input VAT records, which are maintained manually.</w:t>
      </w:r>
    </w:p>
    <w:p>
      <w:pPr>
        <w:pStyle w:val="ListParagraph"/>
        <w:numPr>
          <w:ilvl w:val="0"/>
          <w:numId w:val="2"/>
        </w:numPr>
      </w:pPr>
      <w:r>
        <w:t xml:space="preserve">The customer-facing website and marketing materials, which do not affect the tax records of the applicant.</w:t>
      </w:r>
    </w:p>
    <w:p>
      <w:pPr>
        <w:pStyle w:val="Heading2"/>
      </w:pPr>
      <w:r>
        <w:rPr>
          <w:b/>
          <w:bCs/>
        </w:rPr>
        <w:t xml:space="preserve">C.3 Interface between the System and the Books of Accounts</w:t>
      </w:r>
    </w:p>
    <w:p>
      <w:r>
        <w:t xml:space="preserve">At the end of each month, IBMS produces a Sales Summary by Day (see Section J) that the applicant's accountant uses to post the period's sales into the registered loose-leaf Sales Journal. IBMS also produces a Collection Summary by Day that is used to post receipts into the Cash Receipts Journal. The posting is performed by the accountant; the System does not write to the books of accounts directly.</w:t>
      </w:r>
    </w:p>
    <w:p>
      <w:r>
        <w:br w:type="page"/>
      </w:r>
    </w:p>
    <w:p>
      <w:pPr>
        <w:pStyle w:val="Heading1"/>
      </w:pPr>
      <w:r>
        <w:rPr>
          <w:b/>
          <w:bCs/>
        </w:rPr>
        <w:t xml:space="preserve">D. System Overview — Sales Module</w:t>
      </w:r>
    </w:p>
    <w:p>
      <w:r>
        <w:t xml:space="preserve">IBMS is a proprietary multi-tenant, cloud-based business operations platform. For the purposes of this application, only its Sales / Invoicing module is submitted for accreditation. That module is described below.</w:t>
      </w:r>
    </w:p>
    <w:p>
      <w:r>
        <w:t xml:space="preserve"/>
      </w:r>
    </w:p>
    <w:p>
      <w:pPr>
        <w:pStyle w:val="Heading2"/>
      </w:pPr>
      <w:r>
        <w:rPr>
          <w:b/>
          <w:bCs/>
        </w:rPr>
        <w:t xml:space="preserve">D.1 Application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Attribute</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Detail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Application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IBMS — Sales / Invoicing Module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Version Being Submitted</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1.0.0 (production release)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Developer / System Owner</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AIBOS — Jian Miguel Bautista, sole proprietor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Licensed To</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Deployment Model</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Cloud-hosted SaaS; accessed via HTTPS in a modern web browser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Programming Languages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TypeScript (Node.js / Fastify) on the server; React on the client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Database Engine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PostgreSQL 16 (managed — Neon)</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File / PDF Storage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Cloudflare R2 (S3-compatible, encrypted at rest)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Authentication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JWT access + refresh tokens; role-based access control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System Timezone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Asia/Manila (UTC+08:00) — authoritative for all transaction timestamps</w:t>
            </w:r>
          </w:p>
        </w:tc>
      </w:tr>
    </w:tbl>
    <w:p>
      <w:r>
        <w:br w:type="page"/>
      </w:r>
    </w:p>
    <w:p>
      <w:pPr>
        <w:pStyle w:val="Heading1"/>
      </w:pPr>
      <w:r>
        <w:rPr>
          <w:b/>
          <w:bCs/>
        </w:rPr>
        <w:t xml:space="preserve">E. Functional Features of the Sales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20"/>
        <w:gridCol w:w="3640"/>
      </w:tblGrid>
      <w:tr>
        <w:trPr>
          <w:tblHeader/>
        </w:trPr>
        <w:tc>
          <w:tcPr>
            <w:tcW w:type="dxa" w:w="2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Feature</w:t>
            </w:r>
          </w:p>
        </w:tc>
        <w:tc>
          <w:tcPr>
            <w:tcW w:type="dxa" w:w="36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c>
          <w:tcPr>
            <w:tcW w:type="dxa" w:w="36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Output</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Customer master</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Captures customer name, address, and TIN.</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Customer record referenced by invoices.</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Service catalog</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Defines services (wash &amp; fold, dry clean, iron, specials) with prices per kilo or per piece.</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as invoice line items.</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Invoice issuance</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Creates an Invoice for each sale; assigns a sequential, non-resettable serial per branch.</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Invoice (thermal 80mm + A5 PDF).</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Receipt issuance</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Acknowledges payment received in a later period against an outstanding Invoice.</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Receipt.</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 / Reversal</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Marks an Invoice as voided. The original is never deleted — a paired reversal Invoice is issued.</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 Invoice with reference to the original.</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Records every create / update / void on an invoice-side record with user, timestamp, and before/after values.</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 report (on-demand).</w:t>
            </w:r>
          </w:p>
        </w:tc>
      </w:tr>
      <w:tr>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Reports</w:t>
            </w:r>
          </w:p>
        </w:tc>
        <w:tc>
          <w:tcPr>
            <w:tcW w:type="dxa" w:w="36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Generates the operational and compliance reports listed in Section J.</w:t>
            </w:r>
          </w:p>
        </w:tc>
        <w:tc>
          <w:tcPr>
            <w:tcW w:type="dxa" w:w="36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PDF reports archived in Cloudflare R2.</w:t>
            </w:r>
          </w:p>
        </w:tc>
      </w:tr>
    </w:tbl>
    <w:p>
      <w:r>
        <w:br w:type="page"/>
      </w:r>
    </w:p>
    <w:p>
      <w:pPr>
        <w:pStyle w:val="Heading1"/>
      </w:pPr>
      <w:r>
        <w:rPr>
          <w:b/>
          <w:bCs/>
        </w:rPr>
        <w:t xml:space="preserve">F. System Flow</w:t>
      </w:r>
    </w:p>
    <w:p>
      <w:r>
        <w:t xml:space="preserve">IBMS follows a three-tier architecture. The POS client application, used by the cashier at each branch, communicates over HTTPS with a central API. The API enforces authentication, authorization, and validation, computes all monetary amounts server-side, and persists records to the PostgreSQL database. Invoice and Collection Receipt PDFs are rendered server-side and served to the client for printing; the client may not alter them.</w:t>
      </w:r>
    </w:p>
    <w:p>
      <w:r>
        <w:t xml:space="preserve"/>
      </w:r>
    </w:p>
    <w:p>
      <w:pPr>
        <w:pStyle w:val="Heading2"/>
      </w:pPr>
      <w:r>
        <w:rPr>
          <w:b/>
          <w:bCs/>
        </w:rPr>
        <w:t xml:space="preserve">F.1 Interfaces to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External System</w:t>
            </w:r>
          </w:p>
        </w:tc>
        <w:tc>
          <w:tcPr>
            <w:tcW w:type="dxa" w:w="351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c>
          <w:tcPr>
            <w:tcW w:type="dxa" w:w="351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Data Exchanged</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PayMongo</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Electronic payment processing (GCash, Maya, card)</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Payment intent ID, status, amount, timestamp</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Resend</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Transactional email (invoice PDFs)</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Email address, PDF attachment, event timestamp</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Cloudflare R2</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Archival storage of Invoices, Collection Receipts, and reports</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Encrypted files with checksums</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Neon (PostgreSQL)</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Database of record</w:t>
            </w:r>
          </w:p>
        </w:tc>
        <w:tc>
          <w:tcPr>
            <w:tcW w:type="dxa" w:w="351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All transactional writes; point-in-time recovery enabled</w:t>
            </w:r>
          </w:p>
        </w:tc>
      </w:tr>
    </w:tbl>
    <w:p>
      <w:r>
        <w:t xml:space="preserve"/>
      </w:r>
    </w:p>
    <w:p>
      <w:pPr>
        <w:pStyle w:val="Heading2"/>
      </w:pPr>
      <w:r>
        <w:rPr>
          <w:b/>
          <w:bCs/>
        </w:rPr>
        <w:t xml:space="preserve">F.2 Audit Trail and Controls</w:t>
      </w:r>
    </w:p>
    <w:p>
      <w:pPr>
        <w:pStyle w:val="ListParagraph"/>
        <w:numPr>
          <w:ilvl w:val="0"/>
          <w:numId w:val="2"/>
        </w:numPr>
      </w:pPr>
      <w:r>
        <w:t xml:space="preserve">Every create, update, or void on a Sales Invoice, Collection Receipt, or related line item writes a row to the audit_trail table capturing user ID, role, IP address, timestamp, table, record ID, operation, and a JSON snapshot of before/after values.</w:t>
      </w:r>
    </w:p>
    <w:p>
      <w:pPr>
        <w:pStyle w:val="ListParagraph"/>
        <w:numPr>
          <w:ilvl w:val="0"/>
          <w:numId w:val="2"/>
        </w:numPr>
      </w:pPr>
      <w:r>
        <w:t xml:space="preserve">Invoice serial numbers are issued from a PostgreSQL sequence that is unique per branch; the sequence cannot be reset. Gaps (e.g., from voids) are recorded and explained, never renumbered.</w:t>
      </w:r>
    </w:p>
    <w:p>
      <w:pPr>
        <w:pStyle w:val="ListParagraph"/>
        <w:numPr>
          <w:ilvl w:val="0"/>
          <w:numId w:val="2"/>
        </w:numPr>
      </w:pPr>
      <w:r>
        <w:t xml:space="preserve">Voids and refunds after issuance are performed by issuing a separate, clearly marked Void Invoice that references the original. The original record is never deleted or overwritten.</w:t>
      </w:r>
    </w:p>
    <w:p>
      <w:pPr>
        <w:pStyle w:val="ListParagraph"/>
        <w:numPr>
          <w:ilvl w:val="0"/>
          <w:numId w:val="2"/>
        </w:numPr>
      </w:pPr>
      <w:r>
        <w:t xml:space="preserve">Administrative functions (price changes, user permissions) require maker-checker approval: one user proposes, a second user approves, both are captured in the audit trail.</w:t>
      </w:r>
    </w:p>
    <w:p>
      <w:r>
        <w:br w:type="page"/>
      </w:r>
    </w:p>
    <w:p>
      <w:pPr>
        <w:pStyle w:val="Heading1"/>
      </w:pPr>
      <w:r>
        <w:rPr>
          <w:b/>
          <w:bCs/>
        </w:rPr>
        <w:t xml:space="preserve">G. Process Flow — Sales Transaction Cycle</w:t>
      </w:r>
    </w:p>
    <w:p>
      <w:r>
        <w:t xml:space="preserve">The following describes a complete laundry transaction from customer intake to settlement.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rPr>
          <w:tblHeader/>
        </w:trPr>
        <w:tc>
          <w:tcPr>
            <w:tcW w:type="dxa" w:w="7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Step</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User Action</w:t>
            </w:r>
          </w:p>
        </w:tc>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System Action</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Document Issued</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Cashier logs in at the POS.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JWT issued; branch context bound to session.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Cashier creates a new order for a walk-in or pickup customer.</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Captures customer; adds service lines and quantities.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 (draft only)</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Cashier confirms the order.</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Server computes totals, any VAT or Percentage Tax, and senior/PWD discount treatment. A branch-scoped Invoice serial is assigned.</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Invoice (printed and emailed).</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Customer pays in full at the counter.</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Payment module records the tender; reference number captured for electronic payments.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Settlement noted on the Invoice (no separate Collection Receipt needed).</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4a</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Customer pays later (credit / partial).</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Payment module issues a Collection Receipt against the outstanding Invoice.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Receipt.</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Laundry is processed; status updates are logged.</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Append-only status history; no tax document issued.</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6</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Order is delivered or picked up.</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Proof-of-service captured (photo, signature, or SMS confirmation).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7</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End of day per branch.</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 generated and printed in duplicate; Daily Sales Summary PDF archived.</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w:t>
            </w:r>
          </w:p>
        </w:tc>
      </w:tr>
    </w:tbl>
    <w:p>
      <w:r>
        <w:br w:type="page"/>
      </w:r>
    </w:p>
    <w:p>
      <w:pPr>
        <w:pStyle w:val="Heading1"/>
      </w:pPr>
      <w:r>
        <w:rPr>
          <w:b/>
          <w:bCs/>
        </w:rPr>
        <w:t xml:space="preserve">H. Sample Sales Invoice (Facsimile)</w:t>
      </w:r>
    </w:p>
    <w:p>
      <w:r>
        <w:t xml:space="preserve">Facsimile of the principal Sales Invoice generated by IBMS. All fields required under Sec. 237 of the Tax Code and RR 7-2024 / RR 11-2024 are included. The format shown is the 80 mm thermal receipt; an A5 PDF variant with the same content is emailed to customers.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[HEAD OFFICE ADDRESS]</w:t>
            </w:r>
          </w:p>
          <w:p>
            <w:pPr>
              <w:jc w:val="center"/>
            </w:pPr>
            <w:r>
              <w:rPr>
                <w:rFonts w:ascii="Courier New" w:cs="Courier New" w:eastAsia="Courier New" w:hAnsi="Courier New"/>
                <w:sz w:val="20"/>
                <w:szCs w:val="20"/>
              </w:rPr>
              <w:t xml:space="preserve">TIN: 236-606-454 (Head Office branch code 00000 to be confirmed; branch codes per branch listed in Sec. B.1)   VAT-Registered (Head Office, per explicit notation on Xavierville BIR 2303 dated 27 July 2020)</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SALES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Invoice No.: LM-BR004-00001   (non-resettable serial)</w:t>
            </w:r>
          </w:p>
          <w:p>
            <w:pPr>
              <w:jc w:val="left"/>
            </w:pPr>
            <w:r>
              <w:rPr>
                <w:rFonts w:ascii="Courier New" w:cs="Courier New" w:eastAsia="Courier New" w:hAnsi="Courier New"/>
                <w:sz w:val="20"/>
                <w:szCs w:val="20"/>
              </w:rPr>
              <w:t xml:space="preserve">Date/Time: 22-Apr-2026 14:32 PHT</w:t>
            </w:r>
          </w:p>
          <w:p>
            <w:pPr>
              <w:jc w:val="left"/>
            </w:pPr>
            <w:r>
              <w:rPr>
                <w:rFonts w:ascii="Courier New" w:cs="Courier New" w:eastAsia="Courier New" w:hAnsi="Courier New"/>
                <w:sz w:val="20"/>
                <w:szCs w:val="20"/>
              </w:rPr>
              <w:t xml:space="preserve">Branch: Arton West (Branch Code 00004)</w:t>
            </w:r>
          </w:p>
          <w:p>
            <w:pPr>
              <w:jc w:val="left"/>
            </w:pPr>
            <w:r>
              <w:rPr>
                <w:rFonts w:ascii="Courier New" w:cs="Courier New" w:eastAsia="Courier New" w:hAnsi="Courier New"/>
                <w:sz w:val="20"/>
                <w:szCs w:val="20"/>
              </w:rPr>
              <w:t xml:space="preserve">Cashier: Maria D. Santos (User ID 017)</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Sold To: Juan P. Cruz</w:t>
            </w:r>
          </w:p>
          <w:p>
            <w:pPr>
              <w:jc w:val="left"/>
            </w:pPr>
            <w:r>
              <w:rPr>
                <w:rFonts w:ascii="Courier New" w:cs="Courier New" w:eastAsia="Courier New" w:hAnsi="Courier New"/>
                <w:sz w:val="20"/>
                <w:szCs w:val="20"/>
              </w:rPr>
              <w:t xml:space="preserve">Address: 21 Sampaguita St., Quezon City</w:t>
            </w:r>
          </w:p>
          <w:p>
            <w:pPr>
              <w:jc w:val="left"/>
            </w:pPr>
            <w:r>
              <w:rPr>
                <w:rFonts w:ascii="Courier New" w:cs="Courier New" w:eastAsia="Courier New" w:hAnsi="Courier New"/>
                <w:sz w:val="20"/>
                <w:szCs w:val="20"/>
              </w:rPr>
              <w:t xml:space="preserve">TIN: 123-456-789-000  (required if sale ≥ PHP 1,000)</w:t>
            </w:r>
          </w:p>
          <w:p>
            <w:pPr>
              <w:jc w:val="left"/>
            </w:pPr>
            <w:r>
              <w:rPr>
                <w:rFonts w:ascii="Courier New" w:cs="Courier New" w:eastAsia="Courier New" w:hAnsi="Courier New"/>
                <w:sz w:val="20"/>
                <w:szCs w:val="20"/>
              </w:rPr>
              <w:t xml:space="preserve">Business Style: N/A</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Description                     Qty      Amount</w:t>
            </w:r>
          </w:p>
          <w:p>
            <w:pPr>
              <w:jc w:val="left"/>
            </w:pPr>
            <w:r>
              <w:rPr>
                <w:rFonts w:ascii="Courier New" w:cs="Courier New" w:eastAsia="Courier New" w:hAnsi="Courier New"/>
                <w:sz w:val="20"/>
                <w:szCs w:val="20"/>
              </w:rPr>
              <w:t xml:space="preserve">Wash &amp; Fold (per kg)          8.00 kg  PHP  560.00</w:t>
            </w:r>
          </w:p>
          <w:p>
            <w:pPr>
              <w:jc w:val="left"/>
            </w:pPr>
            <w:r>
              <w:rPr>
                <w:rFonts w:ascii="Courier New" w:cs="Courier New" w:eastAsia="Courier New" w:hAnsi="Courier New"/>
                <w:sz w:val="20"/>
                <w:szCs w:val="20"/>
              </w:rPr>
              <w:t xml:space="preserve">Dry Clean — Barong            1 pc     PHP  250.00</w:t>
            </w:r>
          </w:p>
          <w:p>
            <w:pPr>
              <w:jc w:val="left"/>
            </w:pPr>
            <w:r>
              <w:rPr>
                <w:rFonts w:ascii="Courier New" w:cs="Courier New" w:eastAsia="Courier New" w:hAnsi="Courier New"/>
                <w:sz w:val="20"/>
                <w:szCs w:val="20"/>
              </w:rPr>
              <w:t xml:space="preserve">Delivery Fee                            PHP   80.00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VATable Sales                           PHP  794.64</w:t>
            </w:r>
          </w:p>
          <w:p>
            <w:pPr>
              <w:jc w:val="left"/>
            </w:pPr>
            <w:r>
              <w:rPr>
                <w:rFonts w:ascii="Courier New" w:cs="Courier New" w:eastAsia="Courier New" w:hAnsi="Courier New"/>
                <w:sz w:val="20"/>
                <w:szCs w:val="20"/>
              </w:rPr>
              <w:t xml:space="preserve">VAT-Exempt Sales                        PHP    0.00</w:t>
            </w:r>
          </w:p>
          <w:p>
            <w:pPr>
              <w:jc w:val="left"/>
            </w:pPr>
            <w:r>
              <w:rPr>
                <w:rFonts w:ascii="Courier New" w:cs="Courier New" w:eastAsia="Courier New" w:hAnsi="Courier New"/>
                <w:sz w:val="20"/>
                <w:szCs w:val="20"/>
              </w:rPr>
              <w:t xml:space="preserve">Zero-Rated Sales                        PHP    0.00</w:t>
            </w:r>
          </w:p>
          <w:p>
            <w:pPr>
              <w:jc w:val="left"/>
            </w:pPr>
            <w:r>
              <w:rPr>
                <w:rFonts w:ascii="Courier New" w:cs="Courier New" w:eastAsia="Courier New" w:hAnsi="Courier New"/>
                <w:sz w:val="20"/>
                <w:szCs w:val="20"/>
              </w:rPr>
              <w:t xml:space="preserve">VAT Amount (12%)                        PHP   95.36</w:t>
            </w:r>
          </w:p>
          <w:p>
            <w:pPr>
              <w:jc w:val="left"/>
            </w:pPr>
            <w:r>
              <w:rPr>
                <w:rFonts w:ascii="Courier New" w:cs="Courier New" w:eastAsia="Courier New" w:hAnsi="Courier New"/>
                <w:b/>
                <w:bCs/>
                <w:sz w:val="20"/>
                <w:szCs w:val="20"/>
              </w:rPr>
              <w:t xml:space="preserve">TOTAL AMOUNT DUE                        PHP  890.00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Payment: GCash  —  Ref 8823-PM-449201</w:t>
            </w:r>
          </w:p>
          <w:p>
            <w:pPr>
              <w:jc w:val="left"/>
            </w:pPr>
            <w:r>
              <w:rPr>
                <w:rFonts w:ascii="Courier New" w:cs="Courier New" w:eastAsia="Courier New" w:hAnsi="Courier New"/>
                <w:sz w:val="20"/>
                <w:szCs w:val="20"/>
              </w:rPr>
              <w:t xml:space="preserve">Amount Tendered: PHP 890.00   Change: PHP 0.00</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sz w:val="20"/>
                <w:szCs w:val="20"/>
              </w:rPr>
              <w:t xml:space="preserve">Generated by: IBMS v1.0.0 (Sales Module)</w:t>
            </w:r>
          </w:p>
          <w:p>
            <w:pPr>
              <w:jc w:val="center"/>
            </w:pPr>
            <w:r>
              <w:rPr>
                <w:rFonts w:ascii="Courier New" w:cs="Courier New" w:eastAsia="Courier New" w:hAnsi="Courier New"/>
                <w:sz w:val="20"/>
                <w:szCs w:val="20"/>
              </w:rPr>
              <w:t xml:space="preserve">CAS Components Acknowledgment Cert.: [AC-NO.]</w:t>
            </w:r>
          </w:p>
          <w:p>
            <w:pPr>
              <w:jc w:val="center"/>
            </w:pPr>
            <w:r>
              <w:rPr>
                <w:rFonts w:ascii="Courier New" w:cs="Courier New" w:eastAsia="Courier New" w:hAnsi="Courier New"/>
                <w:sz w:val="20"/>
                <w:szCs w:val="20"/>
              </w:rPr>
              <w:t xml:space="preserve">Date of Issuance: [DATE]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"THIS INVOICE SHALL BE VALID FOR</w:t>
            </w:r>
          </w:p>
          <w:p>
            <w:pPr>
              <w:jc w:val="center"/>
            </w:pPr>
            <w:r>
              <w:rPr>
                <w:rFonts w:ascii="Courier New" w:cs="Courier New" w:eastAsia="Courier New" w:hAnsi="Courier New"/>
                <w:b/>
                <w:bCs/>
                <w:sz w:val="20"/>
                <w:szCs w:val="20"/>
              </w:rPr>
              <w:t xml:space="preserve">FIVE (5) YEARS FROM THE DATE OF THE PERMIT"</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i/>
                <w:iCs/>
                <w:sz w:val="20"/>
                <w:szCs w:val="20"/>
              </w:rPr>
              <w:t xml:space="preserve">Thank you!</w:t>
            </w:r>
          </w:p>
        </w:tc>
      </w:tr>
    </w:tbl>
    <w:p>
      <w:r>
        <w:t xml:space="preserve"/>
      </w:r>
    </w:p>
    <w:p>
      <w:pPr>
        <w:pStyle w:val="Heading3"/>
      </w:pPr>
      <w:r>
        <w:rPr>
          <w:b/>
          <w:bCs/>
        </w:rPr>
        <w:t xml:space="preserve">Mandatory Fields Present</w:t>
      </w:r>
    </w:p>
    <w:p>
      <w:pPr>
        <w:pStyle w:val="ListParagraph"/>
        <w:numPr>
          <w:ilvl w:val="0"/>
          <w:numId w:val="2"/>
        </w:numPr>
      </w:pPr>
      <w:r>
        <w:t xml:space="preserve">Registered name, trade name, and business address of seller.</w:t>
      </w:r>
    </w:p>
    <w:p>
      <w:pPr>
        <w:pStyle w:val="ListParagraph"/>
        <w:numPr>
          <w:ilvl w:val="0"/>
          <w:numId w:val="2"/>
        </w:numPr>
      </w:pPr>
      <w:r>
        <w:t xml:space="preserve">Seller's TIN and tax registration status.</w:t>
      </w:r>
    </w:p>
    <w:p>
      <w:pPr>
        <w:pStyle w:val="ListParagraph"/>
        <w:numPr>
          <w:ilvl w:val="0"/>
          <w:numId w:val="2"/>
        </w:numPr>
      </w:pPr>
      <w:r>
        <w:t xml:space="preserve">Unique, sequential, non-resettable Invoice Number per branch.</w:t>
      </w:r>
    </w:p>
    <w:p>
      <w:pPr>
        <w:pStyle w:val="ListParagraph"/>
        <w:numPr>
          <w:ilvl w:val="0"/>
          <w:numId w:val="2"/>
        </w:numPr>
      </w:pPr>
      <w:r>
        <w:t xml:space="preserve">Date and time of issuance (Asia/Manila).</w:t>
      </w:r>
    </w:p>
    <w:p>
      <w:pPr>
        <w:pStyle w:val="ListParagraph"/>
        <w:numPr>
          <w:ilvl w:val="0"/>
          <w:numId w:val="2"/>
        </w:numPr>
      </w:pPr>
      <w:r>
        <w:t xml:space="preserve">Customer's name and address; TIN when sale is PHP 1,000 or more, or on customer request.</w:t>
      </w:r>
    </w:p>
    <w:p>
      <w:pPr>
        <w:pStyle w:val="ListParagraph"/>
        <w:numPr>
          <w:ilvl w:val="0"/>
          <w:numId w:val="2"/>
        </w:numPr>
      </w:pPr>
      <w:r>
        <w:t xml:space="preserve">Description, unit, quantity, and amount of each item.</w:t>
      </w:r>
    </w:p>
    <w:p>
      <w:pPr>
        <w:pStyle w:val="ListParagraph"/>
        <w:numPr>
          <w:ilvl w:val="0"/>
          <w:numId w:val="2"/>
        </w:numPr>
      </w:pPr>
      <w:r>
        <w:t xml:space="preserve">Tax breakdown appropriate to the seller's status (VAT breakdown if VAT-registered; Percentage Tax line if Non-VAT).</w:t>
      </w:r>
    </w:p>
    <w:p>
      <w:pPr>
        <w:pStyle w:val="ListParagraph"/>
        <w:numPr>
          <w:ilvl w:val="0"/>
          <w:numId w:val="2"/>
        </w:numPr>
      </w:pPr>
      <w:r>
        <w:t xml:space="preserve">Total Amount Due.</w:t>
      </w:r>
    </w:p>
    <w:p>
      <w:pPr>
        <w:pStyle w:val="ListParagraph"/>
        <w:numPr>
          <w:ilvl w:val="0"/>
          <w:numId w:val="2"/>
        </w:numPr>
      </w:pPr>
      <w:r>
        <w:t xml:space="preserve">Mode of payment and reference number.</w:t>
      </w:r>
    </w:p>
    <w:p>
      <w:pPr>
        <w:pStyle w:val="ListParagraph"/>
        <w:numPr>
          <w:ilvl w:val="0"/>
          <w:numId w:val="2"/>
        </w:numPr>
      </w:pPr>
      <w:r>
        <w:t xml:space="preserve">System identifier (IBMS v1.0.0 Sales Module) and the BIR Acknowledgment Certificate number.</w:t>
      </w:r>
    </w:p>
    <w:p>
      <w:pPr>
        <w:pStyle w:val="ListParagraph"/>
        <w:numPr>
          <w:ilvl w:val="0"/>
          <w:numId w:val="2"/>
        </w:numPr>
      </w:pPr>
      <w:r>
        <w:t xml:space="preserve">Validity statement as required by RR 7-2024.</w:t>
      </w:r>
    </w:p>
    <w:p>
      <w:r>
        <w:br w:type="page"/>
      </w:r>
    </w:p>
    <w:p>
      <w:pPr>
        <w:pStyle w:val="Heading1"/>
      </w:pPr>
      <w:r>
        <w:rPr>
          <w:b/>
          <w:bCs/>
        </w:rPr>
        <w:t xml:space="preserve">I. Sample Collection / Acknowledgment Receipt (Facsimile)</w:t>
      </w:r>
    </w:p>
    <w:p>
      <w:r>
        <w:t xml:space="preserve">Issued when a subsequent payment is collected against a previously issued Invoice. Under EOPT, the Collection Receipt is a supplementary receipt and does not give rise to a taxable event.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TIN: 236-606-454 (Head Office branch code 00000 to be confirmed; branch codes per branch listed in Sec. B.1)   VAT-Registered (Head Office, per explicit notation on Xavierville BIR 2303 dated 27 July 2020)</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COLLECTION RECEIPT</w:t>
            </w:r>
          </w:p>
          <w:p>
            <w:pPr>
              <w:jc w:val="center"/>
            </w:pPr>
            <w:r>
              <w:rPr>
                <w:rFonts w:ascii="Courier New" w:cs="Courier New" w:eastAsia="Courier New" w:hAnsi="Courier New"/>
                <w:sz w:val="20"/>
                <w:szCs w:val="20"/>
              </w:rPr>
              <w:t xml:space="preserve">(Supplementary — not valid as an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CR No.: LM-CR-BR004-00001   (non-resettable serial)</w:t>
            </w:r>
          </w:p>
          <w:p>
            <w:pPr>
              <w:jc w:val="left"/>
            </w:pPr>
            <w:r>
              <w:rPr>
                <w:rFonts w:ascii="Courier New" w:cs="Courier New" w:eastAsia="Courier New" w:hAnsi="Courier New"/>
                <w:sz w:val="20"/>
                <w:szCs w:val="20"/>
              </w:rPr>
              <w:t xml:space="preserve">Date: 24-Apr-2026 09:12 PHT</w:t>
            </w:r>
          </w:p>
          <w:p>
            <w:pPr>
              <w:jc w:val="left"/>
            </w:pPr>
            <w:r>
              <w:rPr>
                <w:rFonts w:ascii="Courier New" w:cs="Courier New" w:eastAsia="Courier New" w:hAnsi="Courier New"/>
                <w:sz w:val="20"/>
                <w:szCs w:val="20"/>
              </w:rPr>
              <w:t xml:space="preserve">Branch: Arton West (Branch Code 00004)</w:t>
            </w:r>
          </w:p>
          <w:p>
            <w:pPr>
              <w:jc w:val="left"/>
            </w:pPr>
            <w:r>
              <w:rPr>
                <w:rFonts w:ascii="Courier New" w:cs="Courier New" w:eastAsia="Courier New" w:hAnsi="Courier New"/>
                <w:sz w:val="20"/>
                <w:szCs w:val="20"/>
              </w:rPr>
              <w:t xml:space="preserve">Cashier: Maria D. Santos</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Received from: Juan P. Cruz</w:t>
            </w:r>
          </w:p>
          <w:p>
            <w:pPr>
              <w:jc w:val="left"/>
            </w:pPr>
            <w:r>
              <w:rPr>
                <w:rFonts w:ascii="Courier New" w:cs="Courier New" w:eastAsia="Courier New" w:hAnsi="Courier New"/>
                <w:sz w:val="20"/>
                <w:szCs w:val="20"/>
              </w:rPr>
              <w:t xml:space="preserve">TIN: 123-456-789-000</w:t>
            </w:r>
          </w:p>
          <w:p>
            <w:pPr>
              <w:jc w:val="left"/>
            </w:pPr>
            <w:r>
              <w:rPr>
                <w:rFonts w:ascii="Courier New" w:cs="Courier New" w:eastAsia="Courier New" w:hAnsi="Courier New"/>
                <w:sz w:val="20"/>
                <w:szCs w:val="20"/>
              </w:rPr>
              <w:t xml:space="preserve">In payment of: Invoice LM-BR004-00001 dated 22-Apr-2026</w:t>
            </w:r>
          </w:p>
          <w:p>
            <w:pPr>
              <w:jc w:val="left"/>
            </w:pPr>
            <w:r>
              <w:rPr>
                <w:rFonts w:ascii="Courier New" w:cs="Courier New" w:eastAsia="Courier New" w:hAnsi="Courier New"/>
                <w:sz w:val="20"/>
                <w:szCs w:val="20"/>
              </w:rPr>
              <w:t xml:space="preserve">Amount: PHP 890.00</w:t>
            </w:r>
          </w:p>
          <w:p>
            <w:pPr>
              <w:jc w:val="left"/>
            </w:pPr>
            <w:r>
              <w:rPr>
                <w:rFonts w:ascii="Courier New" w:cs="Courier New" w:eastAsia="Courier New" w:hAnsi="Courier New"/>
                <w:sz w:val="20"/>
                <w:szCs w:val="20"/>
              </w:rPr>
              <w:t xml:space="preserve">Mode: Cash</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b/>
                <w:bCs/>
                <w:sz w:val="20"/>
                <w:szCs w:val="20"/>
              </w:rPr>
              <w:t xml:space="preserve">"THIS DOCUMENT IS NOT VALID AS A PROOF OF SALE."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sz w:val="20"/>
                <w:szCs w:val="20"/>
              </w:rPr>
              <w:t xml:space="preserve">Generated by: IBMS v1.0.0  CAS Components AC: [AC-NO.]</w:t>
            </w:r>
          </w:p>
        </w:tc>
      </w:tr>
    </w:tbl>
    <w:p>
      <w:r>
        <w:br w:type="page"/>
      </w:r>
    </w:p>
    <w:p>
      <w:pPr>
        <w:pStyle w:val="Heading1"/>
      </w:pPr>
      <w:r>
        <w:rPr>
          <w:b/>
          <w:bCs/>
        </w:rPr>
        <w:t xml:space="preserve">J. List of System-Generated Reports (Sales Module)</w:t>
      </w:r>
    </w:p>
    <w:p>
      <w:r>
        <w:t xml:space="preserve">All reports are reproducible from the transactional data, carry the branch, date range, and the user who generated them, and are archived in PDF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60"/>
      </w:tblGrid>
      <w:tr>
        <w:trPr>
          <w:tblHeader/>
        </w:trPr>
        <w:tc>
          <w:tcPr>
            <w:tcW w:type="dxa" w:w="3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Report</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Frequency</w:t>
            </w:r>
          </w:p>
        </w:tc>
        <w:tc>
          <w:tcPr>
            <w:tcW w:type="dxa" w:w="44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 (End-of-Day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per branch</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Closes the shift; totals gross sales, tax, discounts, voids; sequential Z-counter.</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Sales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Invoice issued; reconciles to the Z-Reading.</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Summary by Day — for posting to Sales Journal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sales into the registered loose-leaf Sales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Summary by Day — for posting to CRJ</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receipts into the registered Cash Receipts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Voids and Refunds Schedule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voided Invoice and every refund issued, with reference to the original serial.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 Report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Append-only log of every change on a sales-side record.</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Summary (for VAT / Percentage Tax returns)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 / Quarterly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Supports preparation of BIR Form 2550 or 2551 as applicable.</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Performance Dashboard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Operational view — revenue, order volume, service mix.</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Customer Ledger</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Per-customer order and payment history.</w:t>
            </w:r>
          </w:p>
        </w:tc>
      </w:tr>
    </w:tbl>
    <w:p>
      <w:r>
        <w:br w:type="page"/>
      </w:r>
    </w:p>
    <w:p>
      <w:pPr>
        <w:pStyle w:val="Heading1"/>
      </w:pPr>
      <w:r>
        <w:rPr>
          <w:b/>
          <w:bCs/>
        </w:rPr>
        <w:t xml:space="preserve">K. Books of Accounts — Maintained OUTSIDE the System</w:t>
      </w:r>
    </w:p>
    <w:p>
      <w:r>
        <w:t xml:space="preserve">The following books of accounts are NOT maintained by IBMS and are NOT within the scope of this application. The applicant maintains these books separately in loose-leaf or manual form, registered with the Bureau pursuant to Section 232 of the Tax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00"/>
        <w:gridCol w:w="3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Book of Accounts</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Form</w:t>
            </w:r>
          </w:p>
        </w:tc>
        <w:tc>
          <w:tcPr>
            <w:tcW w:type="dxa" w:w="3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Registered Separately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General Journal</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Yes — under BIR Form 1905 / 1900 loose-leaf track</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General Ledger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Yes</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Journal</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Posted from IBMS monthly Sales Summary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Cash Receipts Journal</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Posted from IBMS monthly Collection Summary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Cash Disbursements Journal</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Maintained independently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Subsidiary Ledgers (A/R, A/P)</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Loose-leaf / Manual</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Maintained independently</w:t>
            </w:r>
          </w:p>
        </w:tc>
      </w:tr>
    </w:tbl>
    <w:p>
      <w:r>
        <w:t xml:space="preserve"/>
      </w:r>
    </w:p>
    <w:p>
      <w:r>
        <w:t xml:space="preserve">A copy of the applicant's separate Permit to Use Loose-Leaf Books of Accounts (or manual books registration, as applicable) is attached as part of the supporting documents in the Annex.</w:t>
      </w:r>
    </w:p>
    <w:p>
      <w:r>
        <w:br w:type="page"/>
      </w:r>
    </w:p>
    <w:p>
      <w:pPr>
        <w:pStyle w:val="Heading1"/>
      </w:pPr>
      <w:r>
        <w:rPr>
          <w:b/>
          <w:bCs/>
        </w:rPr>
        <w:t xml:space="preserve">L. Backup, Archival, and Retention Procedures</w:t>
      </w:r>
    </w:p>
    <w:p>
      <w:pPr>
        <w:pStyle w:val="Heading2"/>
      </w:pPr>
      <w:r>
        <w:rPr>
          <w:b/>
          <w:bCs/>
        </w:rPr>
        <w:t xml:space="preserve">L.1 Real-Time Replication</w:t>
      </w:r>
    </w:p>
    <w:p>
      <w:r>
        <w:t xml:space="preserve">The managed PostgreSQL service (Neon) maintains continuous write-ahead-log replication with point-in-time recovery over a rolling 30-day window, allowing restoration to any second within that period.</w:t>
      </w:r>
    </w:p>
    <w:p>
      <w:pPr>
        <w:pStyle w:val="Heading2"/>
      </w:pPr>
      <w:r>
        <w:rPr>
          <w:b/>
          <w:bCs/>
        </w:rPr>
        <w:t xml:space="preserve">L.2 Nightly Full Backup</w:t>
      </w:r>
    </w:p>
    <w:p>
      <w:r>
        <w:t xml:space="preserve">A scheduled job runs at 02:00 PHT every night. The job: (a) takes a consistent snapshot; (b) runs pg_dump; (c) encrypts the dump with AES-256; (d) writes the encrypted file to Cloudflare R2 in a dedicated versioned bucket; (e) records the SHA-256 checksum in the Backup Log; (f) keeps 30 daily, 12 monthly, and 10 annual copies — satisfying the 10-year retention requirement under EOPT.</w:t>
      </w:r>
    </w:p>
    <w:p>
      <w:pPr>
        <w:pStyle w:val="Heading2"/>
      </w:pPr>
      <w:r>
        <w:rPr>
          <w:b/>
          <w:bCs/>
        </w:rPr>
        <w:t xml:space="preserve">L.3 PDF Archival</w:t>
      </w:r>
    </w:p>
    <w:p>
      <w:r>
        <w:t xml:space="preserve">At month-end, every Sales Invoice, Collection Receipt, Z-Reading, and sales report for the closed period is rendered to PDF, time-stamped, and written to the R2 archive bucket with a manifest and per-file checksum.</w:t>
      </w:r>
    </w:p>
    <w:p>
      <w:pPr>
        <w:pStyle w:val="Heading2"/>
      </w:pPr>
      <w:r>
        <w:rPr>
          <w:b/>
          <w:bCs/>
        </w:rPr>
        <w:t xml:space="preserve">L.4 Retention</w:t>
      </w:r>
    </w:p>
    <w:p>
      <w:r>
        <w:t xml:space="preserve">All invoice records, collection receipts, sales reports, and backups are retained for ten (10) years from the date of filing of the corresponding tax return, in compliance with Section 235 of the Tax Code as amended by RA 11976 (EOPT).</w:t>
      </w:r>
    </w:p>
    <w:p>
      <w:pPr>
        <w:pStyle w:val="Heading2"/>
      </w:pPr>
      <w:r>
        <w:rPr>
          <w:b/>
          <w:bCs/>
        </w:rPr>
        <w:t xml:space="preserve">L.5 Restoration Drill</w:t>
      </w:r>
    </w:p>
    <w:p>
      <w:r>
        <w:t xml:space="preserve">A quarterly restoration drill restores the previous month's encrypted backup to a staging environment, verifies record counts and checksums against the Backup Log, and produces a signed Restoration Drill Report retained with this manual.</w:t>
      </w:r>
    </w:p>
    <w:p>
      <w:r>
        <w:br w:type="page"/>
      </w:r>
    </w:p>
    <w:p>
      <w:pPr>
        <w:pStyle w:val="Heading1"/>
      </w:pPr>
      <w:r>
        <w:rPr>
          <w:b/>
          <w:bCs/>
        </w:rPr>
        <w:t xml:space="preserve">M. Disaster Recovery Plan</w:t>
      </w:r>
    </w:p>
    <w:p>
      <w:r>
        <w:t xml:space="preserve">In the event of a disaster rendering the primary hosting region unavailable:</w:t>
      </w:r>
    </w:p>
    <w:p>
      <w:r>
        <w:t xml:space="preserve">Within 1 hour (RTO): provision a replacement API service in the secondary region, point DNS to the new endpoint, and restore the most recent encrypted backup to a fresh Neon branch.</w:t>
      </w:r>
    </w:p>
    <w:p>
      <w:r>
        <w:t xml:space="preserve">Within 4 hours: bring all branches back online, verify the last Sales Invoice and Collection Receipt numbers against the Audit Trail (no gaps, no duplicates), and perform the daily reconciliation.</w:t>
      </w:r>
    </w:p>
    <w:p>
      <w:r>
        <w:t xml:space="preserve">Within 24 hours: issue a formal Incident Report to management and, if personal data is affected, to the National Privacy Commission in compliance with the Data Privacy Act.</w:t>
      </w:r>
    </w:p>
    <w:p>
      <w:r>
        <w:t xml:space="preserve">Recovery Point Objective (RPO): 5 minutes. Recovery Time Objective (RTO): 4 hours.</w:t>
      </w:r>
    </w:p>
    <w:p>
      <w:r>
        <w:br w:type="page"/>
      </w:r>
    </w:p>
    <w:p>
      <w:pPr>
        <w:pStyle w:val="Heading1"/>
      </w:pPr>
      <w:r>
        <w:rPr>
          <w:b/>
          <w:bCs/>
        </w:rPr>
        <w:t xml:space="preserve">N. User Manual for the Sales Module</w:t>
      </w:r>
    </w:p>
    <w:p>
      <w:pPr>
        <w:pStyle w:val="Heading2"/>
      </w:pPr>
      <w:r>
        <w:rPr>
          <w:b/>
          <w:bCs/>
        </w:rPr>
        <w:t xml:space="preserve">N.1 Start of Day</w:t>
      </w:r>
    </w:p>
    <w:p>
      <w:pPr>
        <w:pStyle w:val="ListParagraph"/>
        <w:numPr>
          <w:ilvl w:val="0"/>
          <w:numId w:val="3"/>
        </w:numPr>
      </w:pPr>
      <w:r>
        <w:t xml:space="preserve">Cashier logs in with individual credentials.</w:t>
      </w:r>
    </w:p>
    <w:p>
      <w:pPr>
        <w:pStyle w:val="ListParagraph"/>
        <w:numPr>
          <w:ilvl w:val="0"/>
          <w:numId w:val="3"/>
        </w:numPr>
      </w:pPr>
      <w:r>
        <w:t xml:space="preserve">System prompts for the opening cash float; the value is recorded for shift-close reconciliation.</w:t>
      </w:r>
    </w:p>
    <w:p>
      <w:pPr>
        <w:pStyle w:val="Heading2"/>
      </w:pPr>
      <w:r>
        <w:rPr>
          <w:b/>
          <w:bCs/>
        </w:rPr>
        <w:t xml:space="preserve">N.2 Recording a Sale</w:t>
      </w:r>
    </w:p>
    <w:p>
      <w:pPr>
        <w:pStyle w:val="ListParagraph"/>
        <w:numPr>
          <w:ilvl w:val="0"/>
          <w:numId w:val="3"/>
        </w:numPr>
      </w:pPr>
      <w:r>
        <w:t xml:space="preserve">Select 'New Order' from the POS home.</w:t>
      </w:r>
    </w:p>
    <w:p>
      <w:pPr>
        <w:pStyle w:val="ListParagraph"/>
        <w:numPr>
          <w:ilvl w:val="0"/>
          <w:numId w:val="3"/>
        </w:numPr>
      </w:pPr>
      <w:r>
        <w:t xml:space="preserve">Select an existing customer or create a new customer record.</w:t>
      </w:r>
    </w:p>
    <w:p>
      <w:pPr>
        <w:pStyle w:val="ListParagraph"/>
        <w:numPr>
          <w:ilvl w:val="0"/>
          <w:numId w:val="3"/>
        </w:numPr>
      </w:pPr>
      <w:r>
        <w:t xml:space="preserve">Add one or more service lines (e.g., Wash &amp; Fold 8 kg).</w:t>
      </w:r>
    </w:p>
    <w:p>
      <w:pPr>
        <w:pStyle w:val="ListParagraph"/>
        <w:numPr>
          <w:ilvl w:val="0"/>
          <w:numId w:val="3"/>
        </w:numPr>
      </w:pPr>
      <w:r>
        <w:t xml:space="preserve">If delivery is requested, capture the delivery address and fee.</w:t>
      </w:r>
    </w:p>
    <w:p>
      <w:pPr>
        <w:pStyle w:val="ListParagraph"/>
        <w:numPr>
          <w:ilvl w:val="0"/>
          <w:numId w:val="3"/>
        </w:numPr>
      </w:pPr>
      <w:r>
        <w:t xml:space="preserve">Apply any authorized discount. Senior Citizen and PWD discounts require the ID number; the System handles the tax treatment automatically.</w:t>
      </w:r>
    </w:p>
    <w:p>
      <w:pPr>
        <w:pStyle w:val="ListParagraph"/>
        <w:numPr>
          <w:ilvl w:val="0"/>
          <w:numId w:val="3"/>
        </w:numPr>
      </w:pPr>
      <w:r>
        <w:t xml:space="preserve">Tap 'Confirm &amp; Issue Invoice'. A Sales Invoice is issued and printed.</w:t>
      </w:r>
    </w:p>
    <w:p>
      <w:pPr>
        <w:pStyle w:val="Heading2"/>
      </w:pPr>
      <w:r>
        <w:rPr>
          <w:b/>
          <w:bCs/>
        </w:rPr>
        <w:t xml:space="preserve">N.3 Receiving Payment</w:t>
      </w:r>
    </w:p>
    <w:p>
      <w:pPr>
        <w:pStyle w:val="ListParagraph"/>
        <w:numPr>
          <w:ilvl w:val="0"/>
          <w:numId w:val="3"/>
        </w:numPr>
      </w:pPr>
      <w:r>
        <w:t xml:space="preserve">Select the Sales Invoice to be paid.</w:t>
      </w:r>
    </w:p>
    <w:p>
      <w:pPr>
        <w:pStyle w:val="ListParagraph"/>
        <w:numPr>
          <w:ilvl w:val="0"/>
          <w:numId w:val="3"/>
        </w:numPr>
      </w:pPr>
      <w:r>
        <w:t xml:space="preserve">Select the tender mode: Cash, GCash, Maya, Card, or Bank Transfer.</w:t>
      </w:r>
    </w:p>
    <w:p>
      <w:pPr>
        <w:pStyle w:val="ListParagraph"/>
        <w:numPr>
          <w:ilvl w:val="0"/>
          <w:numId w:val="3"/>
        </w:numPr>
      </w:pPr>
      <w:r>
        <w:t xml:space="preserve">For Cash, enter the amount tendered; the System computes change.</w:t>
      </w:r>
    </w:p>
    <w:p>
      <w:pPr>
        <w:pStyle w:val="ListParagraph"/>
        <w:numPr>
          <w:ilvl w:val="0"/>
          <w:numId w:val="3"/>
        </w:numPr>
      </w:pPr>
      <w:r>
        <w:t xml:space="preserve">For electronic tenders, the reference number is captured automatically from PayMongo.</w:t>
      </w:r>
    </w:p>
    <w:p>
      <w:pPr>
        <w:pStyle w:val="ListParagraph"/>
        <w:numPr>
          <w:ilvl w:val="0"/>
          <w:numId w:val="3"/>
        </w:numPr>
      </w:pPr>
      <w:r>
        <w:t xml:space="preserve">If the payment occurs after the Invoice was already marked as unpaid, a Collection Receipt is issued.</w:t>
      </w:r>
    </w:p>
    <w:p>
      <w:pPr>
        <w:pStyle w:val="Heading2"/>
      </w:pPr>
      <w:r>
        <w:rPr>
          <w:b/>
          <w:bCs/>
        </w:rPr>
        <w:t xml:space="preserve">N.4 Void and Refund</w:t>
      </w:r>
    </w:p>
    <w:p>
      <w:pPr>
        <w:pStyle w:val="ListParagraph"/>
        <w:numPr>
          <w:ilvl w:val="0"/>
          <w:numId w:val="3"/>
        </w:numPr>
      </w:pPr>
      <w:r>
        <w:t xml:space="preserve">A void is permitted only on the same business day, before the Z-Reading, by a user with 'void' authority.</w:t>
      </w:r>
    </w:p>
    <w:p>
      <w:pPr>
        <w:pStyle w:val="ListParagraph"/>
        <w:numPr>
          <w:ilvl w:val="0"/>
          <w:numId w:val="3"/>
        </w:numPr>
      </w:pPr>
      <w:r>
        <w:t xml:space="preserve">The System issues a paired Void Invoice with opposite amounts and a link to the original. The original is NOT deleted.</w:t>
      </w:r>
    </w:p>
    <w:p>
      <w:pPr>
        <w:pStyle w:val="ListParagraph"/>
        <w:numPr>
          <w:ilvl w:val="0"/>
          <w:numId w:val="3"/>
        </w:numPr>
      </w:pPr>
      <w:r>
        <w:t xml:space="preserve">Refunds after Z-Reading require a Credit Note issued by the Branch Admin with an explanation.</w:t>
      </w:r>
    </w:p>
    <w:p>
      <w:pPr>
        <w:pStyle w:val="Heading2"/>
      </w:pPr>
      <w:r>
        <w:rPr>
          <w:b/>
          <w:bCs/>
        </w:rPr>
        <w:t xml:space="preserve">N.5 End-of-Day</w:t>
      </w:r>
    </w:p>
    <w:p>
      <w:pPr>
        <w:pStyle w:val="ListParagraph"/>
        <w:numPr>
          <w:ilvl w:val="0"/>
          <w:numId w:val="3"/>
        </w:numPr>
      </w:pPr>
      <w:r>
        <w:t xml:space="preserve">Cashier selects 'Close Register'.</w:t>
      </w:r>
    </w:p>
    <w:p>
      <w:pPr>
        <w:pStyle w:val="ListParagraph"/>
        <w:numPr>
          <w:ilvl w:val="0"/>
          <w:numId w:val="3"/>
        </w:numPr>
      </w:pPr>
      <w:r>
        <w:t xml:space="preserve">Physical cash count is entered; the System computes over/short.</w:t>
      </w:r>
    </w:p>
    <w:p>
      <w:pPr>
        <w:pStyle w:val="ListParagraph"/>
        <w:numPr>
          <w:ilvl w:val="0"/>
          <w:numId w:val="3"/>
        </w:numPr>
      </w:pPr>
      <w:r>
        <w:t xml:space="preserve">The Z-Reading is printed in duplicate (one for the branch, one for head office).</w:t>
      </w:r>
    </w:p>
    <w:p>
      <w:pPr>
        <w:pStyle w:val="ListParagraph"/>
        <w:numPr>
          <w:ilvl w:val="0"/>
          <w:numId w:val="3"/>
        </w:numPr>
      </w:pPr>
      <w:r>
        <w:t xml:space="preserve">The Daily Sales Summary PDF is archived automatically.</w:t>
      </w:r>
    </w:p>
    <w:p>
      <w:r>
        <w:br w:type="page"/>
      </w:r>
    </w:p>
    <w:p>
      <w:pPr>
        <w:pStyle w:val="Heading1"/>
      </w:pPr>
      <w:r>
        <w:rPr>
          <w:b/>
          <w:bCs/>
        </w:rPr>
        <w:t xml:space="preserve">O. Annex — List of Supporting Documents</w:t>
      </w:r>
    </w:p>
    <w:p>
      <w:r>
        <w:t xml:space="preserve">1. Accomplished BIR Form 1900 — Application for Authority to Adopt Components of CAS (one original, two photocopies).</w:t>
      </w:r>
    </w:p>
    <w:p>
      <w:r>
        <w:t xml:space="preserve">2. Photocopy of BIR Certificate of Registration (Form 2303) — Head Office.</w:t>
      </w:r>
    </w:p>
    <w:p>
      <w:r>
        <w:t xml:space="preserve">3. Photocopy of BIR Certificate of Registration (Form 2303) — each branch covered by this application.</w:t>
      </w:r>
    </w:p>
    <w:p>
      <w:r>
        <w:t xml:space="preserve">4. Photocopy of the most recent Form 0605 registration fee payment (if any — annual registration fee was discontinued in 2024 under EOPT; state 'N/A per EOPT' if no payment applies).</w:t>
      </w:r>
    </w:p>
    <w:p>
      <w:r>
        <w:t xml:space="preserve">5. Location map of the Head Office and each branch.</w:t>
      </w:r>
    </w:p>
    <w:p>
      <w:r>
        <w:t xml:space="preserve">6. Inventory of previously approved, unused official receipts or invoices, if any.</w:t>
      </w:r>
    </w:p>
    <w:p>
      <w:r>
        <w:t xml:space="preserve">7. Notarized Sworn Statement executed by the proprietor (separate document).</w:t>
      </w:r>
    </w:p>
    <w:p>
      <w:r>
        <w:t xml:space="preserve">8. Proof of system ownership and licensing — screenshot of the source-code repository and a software licensing memo between AIBOS and the applicant.</w:t>
      </w:r>
    </w:p>
    <w:p>
      <w:r>
        <w:t xml:space="preserve">9. Photocopy of the applicant's separate Permit to Use Loose-Leaf Books of Accounts (or manual books registration), covering the General Journal, General Ledger, Sales Journal, Cash Receipts Journal, and Cash Disbursements Journal.</w:t>
      </w:r>
    </w:p>
    <w:p>
      <w:r>
        <w:t xml:space="preserve">10. Valid government-issued ID of the proprietor.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IBMS Components of CAS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2026-04-27T05:27:02.570Z</dcterms:created>
  <dcterms:modified xsi:type="dcterms:W3CDTF">2026-04-27T05:27:02.571Z</dcterms:modified>
</cp:coreProperties>
</file>

<file path=docProps/custom.xml><?xml version="1.0" encoding="utf-8"?>
<Properties xmlns="http://schemas.openxmlformats.org/officeDocument/2006/custom-properties" xmlns:vt="http://schemas.openxmlformats.org/officeDocument/2006/docPropsVTypes"/>
</file>