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IBMS — BIR Components-of-CAS Gap Analysis &amp; Remediation Plan</w:t>
      </w:r>
    </w:p>
    <w:p>
      <w:pPr>
        <w:jc w:val="center"/>
      </w:pPr>
      <w:r>
        <w:rPr>
          <w:i/>
          <w:iCs/>
        </w:rPr>
        <w:t xml:space="preserve">For: BAUTISTA, JENNIFER KRISTINE BONNEVIE (Luxury Momnrock Laundry Service)</w:t>
      </w:r>
    </w:p>
    <w:p>
      <w:pPr>
        <w:jc w:val="center"/>
      </w:pPr>
      <w:r>
        <w:rPr>
          <w:sz w:val="20"/>
          <w:szCs w:val="20"/>
        </w:rPr>
        <w:t xml:space="preserve">Scope: Sales / Invoicing module only    |    Prepared: 22 April 2026</w:t>
      </w:r>
    </w:p>
    <w:p>
      <w:r>
        <w:t xml:space="preserve"/>
      </w:r>
    </w:p>
    <w:p>
      <w:pPr>
        <w:pStyle w:val="Heading1"/>
      </w:pPr>
      <w:r>
        <w:rPr>
          <w:b/>
          <w:bCs/>
        </w:rPr>
        <w:t xml:space="preserve">Executive Summary</w:t>
      </w:r>
    </w:p>
    <w:p>
      <w:r>
        <w:t xml:space="preserve">The IBMS prototype is functionally complete for POS and order management. Because this application is limited to the Sales / Invoicing module (Components of CAS, not full CAS), the scope of engineering work is smaller. We do NOT need to build General Journal, General Ledger, Sales Journal, or any other book of accounts inside IBMS — those remain OUTSIDE the System, in the applicant's registered loose-leaf books. What we DO need, before filing, is a compliant Sales Invoice, a compliant Collection Receipt, a non-resettable serial per branch, an audit trail, a void flow, and 10-year archival. Estimated effort: approximately 2 weeks of focused development plus 1 week of UAT.</w:t>
      </w:r>
    </w:p>
    <w:p>
      <w:r>
        <w:t xml:space="preserve"/>
      </w:r>
    </w:p>
    <w:p>
      <w:pPr>
        <w:pStyle w:val="Heading1"/>
      </w:pPr>
      <w:r>
        <w:rPr>
          <w:b/>
          <w:bCs/>
        </w:rPr>
        <w:t xml:space="preserve">Gap Table</w:t>
      </w:r>
    </w:p>
    <w:p>
      <w:r>
        <w:t xml:space="preserve">P0 = blocker for filing. P1 = required for go-live. P2 = recommended hardening.</w:t>
      </w:r>
    </w:p>
    <w:p>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80"/>
        <w:gridCol w:w="2040"/>
        <w:gridCol w:w="2160"/>
        <w:gridCol w:w="3480"/>
        <w:gridCol w:w="600"/>
      </w:tblGrid>
      <w:tr>
        <w:trPr>
          <w:tblHeader/>
        </w:trPr>
        <w:tc>
          <w:tcPr>
            <w:tcW w:type="dxa" w:w="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w:t>
            </w:r>
          </w:p>
        </w:tc>
        <w:tc>
          <w:tcPr>
            <w:tcW w:type="dxa" w:w="204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Requirement</w:t>
            </w:r>
          </w:p>
        </w:tc>
        <w:tc>
          <w:tcPr>
            <w:tcW w:type="dxa" w:w="216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Current State</w:t>
            </w:r>
          </w:p>
        </w:tc>
        <w:tc>
          <w:tcPr>
            <w:tcW w:type="dxa" w:w="348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Fix</w:t>
            </w:r>
          </w:p>
        </w:tc>
        <w:tc>
          <w:tcPr>
            <w:tcW w:type="dxa" w:w="600"/>
            <w:tcBorders>
              <w:top w:val="single" w:color="888888" w:sz="4"/>
              <w:left w:val="single" w:color="888888" w:sz="4"/>
              <w:bottom w:val="single" w:color="888888" w:sz="4"/>
              <w:right w:val="single" w:color="888888" w:sz="4"/>
            </w:tcBorders>
            <w:shd w:fill="D5E8F0" w:val="clear"/>
            <w:tcMar>
              <w:top w:type="dxa" w:w="80"/>
              <w:left w:type="dxa" w:w="120"/>
              <w:bottom w:type="dxa" w:w="80"/>
              <w:right w:type="dxa" w:w="120"/>
            </w:tcMar>
            <w:vAlign w:val="top"/>
          </w:tcPr>
          <w:p>
            <w:pPr>
              <w:jc w:val="left"/>
            </w:pPr>
            <w:r>
              <w:rPr>
                <w:b/>
                <w:bCs/>
              </w:rPr>
              <w:t xml:space="preserve">Pri</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Sales Invoice as principal sales document (EOPT / RR 7-2024)</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Prints a 'Receipt' HTML with no BIR header fields</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Rename to Sales Invoice; add all Section 237 fields; server-rendered PDF</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2</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Sequential, non-resettable serial per branch</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Uses order_number from a generic sequence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per-branch PostgreSQL sequence (invoice_seq_br_XXXXX); trigger prevents reset</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3</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Mandatory fields: seller TIN, VAT or non-VAT status, customer TIN when ≥ PHP 1k</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Absent from printReceipt() in OrderDetail.tsx</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Extend DB + UI + print template; pull seller info from config</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4</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Tax breakdown (VAT if VAT-reg; Percentage Tax line if Non-VAT)</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 tax columns in orders / order_items</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tax_type, vatable_amount, vat_exempt_amount, zero_rated_amount, vat_amount (or percentage_tax_amount); compute server-side</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5</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Senior Citizen / PWD discount handling</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Plain discount column; no discount_type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discount_type enum + ID capture; correct tax treatment</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6</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Immutable audit trail on sales-side records</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 audit_trail table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audit_trail table + Drizzle middleware on orders, order_items, payments, invoices, collection_receipts</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7</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Collection Receipt for subsequent payments</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Not distinct from invoice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collection_receipts table + issuance flow when payment follows an invoice in a later session</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8</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Void / reversal semantics — no hard delete of posted invoices</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Orders can be deleted via schema</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posted flag; reject DELETE via Postgres trigger; Void issues paired reversal invoice</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9</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10-year electronic retention of invoices + CRs</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Neon PITR is only 30 days</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Nightly encrypted pg_dump → Cloudflare R2 with 10y retention and object-lock</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10</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Z-Reading / end-of-day close per branch</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Not implemented</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register_sessions + Z-Reading generator; block next day until previous day closed</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11</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CAS Components AC number on every invoice</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Not printed</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Inject AC_NO + validity block after BIR issues the AC</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P0 (post-AC)</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12</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Monthly Sales Summary &amp; Collection Summary (for accountant to post)</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Not implemented</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Build monthly summary reports in PDF; the accountant posts these into the loose-leaf books</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P1</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13</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Maker-checker on pricing edits</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Single admin can change silently</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Add approval workflow on services and users tables</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P1</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14</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Data Privacy Act (privacy notice, DPO, breach log)</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None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Handled in a separate legal track</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P1</w:t>
            </w:r>
          </w:p>
        </w:tc>
      </w:tr>
      <w:tr>
        <w:tc>
          <w:tcPr>
            <w:tcW w:type="dxa" w:w="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15</w:t>
            </w:r>
          </w:p>
        </w:tc>
        <w:tc>
          <w:tcPr>
            <w:tcW w:type="dxa" w:w="204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Restoration drill log</w:t>
            </w:r>
          </w:p>
        </w:tc>
        <w:tc>
          <w:tcPr>
            <w:tcW w:type="dxa" w:w="216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None</w:t>
            </w:r>
          </w:p>
        </w:tc>
        <w:tc>
          <w:tcPr>
            <w:tcW w:type="dxa" w:w="348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Quarterly drill; artifact kept in /ops/drills/</w:t>
            </w:r>
          </w:p>
        </w:tc>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vAlign w:val="top"/>
          </w:tcPr>
          <w:p>
            <w:pPr>
              <w:jc w:val="left"/>
            </w:pPr>
            <w:r>
              <w:rPr>
                <w:b w:val="false"/>
                <w:bCs w:val="false"/>
              </w:rPr>
              <w:t xml:space="preserve">P2</w:t>
            </w:r>
          </w:p>
        </w:tc>
      </w:tr>
    </w:tbl>
    <w:p>
      <w:r>
        <w:t xml:space="preserve"/>
      </w:r>
    </w:p>
    <w:p>
      <w:pPr>
        <w:pStyle w:val="Heading1"/>
      </w:pPr>
      <w:r>
        <w:rPr>
          <w:b/>
          <w:bCs/>
        </w:rPr>
        <w:t xml:space="preserve">Remediation — Proposed Sprint Plan</w:t>
      </w:r>
    </w:p>
    <w:p>
      <w:pPr>
        <w:pStyle w:val="Heading2"/>
      </w:pPr>
      <w:r>
        <w:rPr>
          <w:b/>
          <w:bCs/>
        </w:rPr>
        <w:t xml:space="preserve">Sprint 1 (Week 1) — Schema + Invoice Layer</w:t>
      </w:r>
    </w:p>
    <w:p>
      <w:pPr>
        <w:pStyle w:val="ListParagraph"/>
        <w:numPr>
          <w:ilvl w:val="0"/>
          <w:numId w:val="2"/>
        </w:numPr>
      </w:pPr>
      <w:r>
        <w:t xml:space="preserve">Add sales_invoices table (or promote orders into a proper invoice representation) with all BIR-required columns: seller, customer, tax breakdown, discount_type, total, posted, voided_by.</w:t>
      </w:r>
    </w:p>
    <w:p>
      <w:pPr>
        <w:pStyle w:val="ListParagraph"/>
        <w:numPr>
          <w:ilvl w:val="0"/>
          <w:numId w:val="2"/>
        </w:numPr>
      </w:pPr>
      <w:r>
        <w:t xml:space="preserve">Add per-branch Postgres sequences and an issue_invoice_number() function.</w:t>
      </w:r>
    </w:p>
    <w:p>
      <w:pPr>
        <w:pStyle w:val="ListParagraph"/>
        <w:numPr>
          <w:ilvl w:val="0"/>
          <w:numId w:val="2"/>
        </w:numPr>
      </w:pPr>
      <w:r>
        <w:t xml:space="preserve">Add tax columns; implement server-side tax computation with unit tests for rounding.</w:t>
      </w:r>
    </w:p>
    <w:p>
      <w:pPr>
        <w:pStyle w:val="ListParagraph"/>
        <w:numPr>
          <w:ilvl w:val="0"/>
          <w:numId w:val="2"/>
        </w:numPr>
      </w:pPr>
      <w:r>
        <w:t xml:space="preserve">Add discount_type enum (none, sc, pwd, promo, manager) with rules and ID capture.</w:t>
      </w:r>
    </w:p>
    <w:p>
      <w:pPr>
        <w:pStyle w:val="ListParagraph"/>
        <w:numPr>
          <w:ilvl w:val="0"/>
          <w:numId w:val="2"/>
        </w:numPr>
      </w:pPr>
      <w:r>
        <w:t xml:space="preserve">Add audit_trail table; wire Drizzle insert/update/delete hooks on sales-side tables.</w:t>
      </w:r>
    </w:p>
    <w:p>
      <w:pPr>
        <w:pStyle w:val="Heading2"/>
      </w:pPr>
      <w:r>
        <w:rPr>
          <w:b/>
          <w:bCs/>
        </w:rPr>
        <w:t xml:space="preserve">Sprint 2 (Week 2) — Invoices, CRs, Voids, Z-Reading</w:t>
      </w:r>
    </w:p>
    <w:p>
      <w:pPr>
        <w:pStyle w:val="ListParagraph"/>
        <w:numPr>
          <w:ilvl w:val="0"/>
          <w:numId w:val="2"/>
        </w:numPr>
      </w:pPr>
      <w:r>
        <w:t xml:space="preserve">Rewrite printReceipt() → server-rendered Sales Invoice PDF served from /api/v1/invoices/:id/print. POS prints exactly what the server returns.</w:t>
      </w:r>
    </w:p>
    <w:p>
      <w:pPr>
        <w:pStyle w:val="ListParagraph"/>
        <w:numPr>
          <w:ilvl w:val="0"/>
          <w:numId w:val="2"/>
        </w:numPr>
      </w:pPr>
      <w:r>
        <w:t xml:space="preserve">Implement Collection Receipt issuance when payment is recorded against an invoice in a later session.</w:t>
      </w:r>
    </w:p>
    <w:p>
      <w:pPr>
        <w:pStyle w:val="ListParagraph"/>
        <w:numPr>
          <w:ilvl w:val="0"/>
          <w:numId w:val="2"/>
        </w:numPr>
      </w:pPr>
      <w:r>
        <w:t xml:space="preserve">Implement Void flow: posted invoices cannot be deleted; void issues paired reversal; all reflected in audit trail.</w:t>
      </w:r>
    </w:p>
    <w:p>
      <w:pPr>
        <w:pStyle w:val="ListParagraph"/>
        <w:numPr>
          <w:ilvl w:val="0"/>
          <w:numId w:val="2"/>
        </w:numPr>
      </w:pPr>
      <w:r>
        <w:t xml:space="preserve">Add register_sessions table and Z-Reading generator; block new sales if previous day not closed.</w:t>
      </w:r>
    </w:p>
    <w:p>
      <w:pPr>
        <w:pStyle w:val="ListParagraph"/>
        <w:numPr>
          <w:ilvl w:val="0"/>
          <w:numId w:val="2"/>
        </w:numPr>
      </w:pPr>
      <w:r>
        <w:t xml:space="preserve">Build monthly Sales Summary and Collection Summary reports (for the accountant to post to the loose-leaf books).</w:t>
      </w:r>
    </w:p>
    <w:p>
      <w:pPr>
        <w:pStyle w:val="ListParagraph"/>
        <w:numPr>
          <w:ilvl w:val="0"/>
          <w:numId w:val="2"/>
        </w:numPr>
      </w:pPr>
      <w:r>
        <w:t xml:space="preserve">Wire nightly encrypted pg_dump → R2 with 10-year retention + object-lock.</w:t>
      </w:r>
    </w:p>
    <w:p>
      <w:pPr>
        <w:pStyle w:val="Heading2"/>
      </w:pPr>
      <w:r>
        <w:rPr>
          <w:b/>
          <w:bCs/>
        </w:rPr>
        <w:t xml:space="preserve">UAT (Week 3)</w:t>
      </w:r>
    </w:p>
    <w:p>
      <w:pPr>
        <w:pStyle w:val="ListParagraph"/>
        <w:numPr>
          <w:ilvl w:val="0"/>
          <w:numId w:val="2"/>
        </w:numPr>
      </w:pPr>
      <w:r>
        <w:t xml:space="preserve">Parallel run at Arton West: IBMS invoices alongside hand receipts for one full week; reconcile daily.</w:t>
      </w:r>
    </w:p>
    <w:p>
      <w:pPr>
        <w:pStyle w:val="ListParagraph"/>
        <w:numPr>
          <w:ilvl w:val="0"/>
          <w:numId w:val="2"/>
        </w:numPr>
      </w:pPr>
      <w:r>
        <w:t xml:space="preserve">Tag the release as v1.0.0-cas-sales. Lock the branch.</w:t>
      </w:r>
    </w:p>
    <w:p>
      <w:pPr>
        <w:pStyle w:val="ListParagraph"/>
        <w:numPr>
          <w:ilvl w:val="0"/>
          <w:numId w:val="2"/>
        </w:numPr>
      </w:pPr>
      <w:r>
        <w:t xml:space="preserve">Run the first restoration drill; file the Drill Report.</w:t>
      </w:r>
    </w:p>
    <w:p>
      <w:pPr>
        <w:pStyle w:val="Heading2"/>
      </w:pPr>
      <w:r>
        <w:rPr>
          <w:b/>
          <w:bCs/>
        </w:rPr>
        <w:t xml:space="preserve">Filing (Week 3 end → Week 4)</w:t>
      </w:r>
    </w:p>
    <w:p>
      <w:pPr>
        <w:pStyle w:val="ListParagraph"/>
        <w:numPr>
          <w:ilvl w:val="0"/>
          <w:numId w:val="2"/>
        </w:numPr>
      </w:pPr>
      <w:r>
        <w:t xml:space="preserve">Fill real TIN/RDO/address values into the Filing Package and Sworn Statement.</w:t>
      </w:r>
    </w:p>
    <w:p>
      <w:pPr>
        <w:pStyle w:val="ListParagraph"/>
        <w:numPr>
          <w:ilvl w:val="0"/>
          <w:numId w:val="2"/>
        </w:numPr>
      </w:pPr>
      <w:r>
        <w:t xml:space="preserve">Notarize the Sworn Statement.</w:t>
      </w:r>
    </w:p>
    <w:p>
      <w:pPr>
        <w:pStyle w:val="ListParagraph"/>
        <w:numPr>
          <w:ilvl w:val="0"/>
          <w:numId w:val="2"/>
        </w:numPr>
      </w:pPr>
      <w:r>
        <w:t xml:space="preserve">Walk the package in to the Head Office RDO (or upload via ORUS) along with BIR Form 1900.</w:t>
      </w:r>
    </w:p>
    <w:p>
      <w:pPr>
        <w:pStyle w:val="ListParagraph"/>
        <w:numPr>
          <w:ilvl w:val="0"/>
          <w:numId w:val="2"/>
        </w:numPr>
      </w:pPr>
      <w:r>
        <w:t xml:space="preserve">Once the AC is issued, inject the AC number into the invoice template and deploy to all branches.</w:t>
      </w:r>
    </w:p>
    <w:p>
      <w:r>
        <w:t xml:space="preserve"/>
      </w:r>
    </w:p>
    <w:p>
      <w:pPr>
        <w:pStyle w:val="Heading1"/>
      </w:pPr>
      <w:r>
        <w:rPr>
          <w:b/>
          <w:bCs/>
        </w:rPr>
        <w:t xml:space="preserve">Engineering Notes</w:t>
      </w:r>
    </w:p>
    <w:p>
      <w:pPr>
        <w:pStyle w:val="ListParagraph"/>
        <w:numPr>
          <w:ilvl w:val="0"/>
          <w:numId w:val="2"/>
        </w:numPr>
      </w:pPr>
      <w:r>
        <w:t xml:space="preserve">Biggest file to rewrite: apps/pos/src/pages/OrderDetail.tsx — the printReceipt() function. Replace with a call to /api/v1/invoices/:id/print returning a server-rendered PDF. No client-side invoice generation.</w:t>
      </w:r>
    </w:p>
    <w:p>
      <w:pPr>
        <w:pStyle w:val="ListParagraph"/>
        <w:numPr>
          <w:ilvl w:val="0"/>
          <w:numId w:val="2"/>
        </w:numPr>
      </w:pPr>
      <w:r>
        <w:t xml:space="preserve">Keep order_number (AS-2026-00001) for human reference. Add invoice_number with a strict format like LM-BR&lt;code&gt;-00000001 backed by a per-branch sequence.</w:t>
      </w:r>
    </w:p>
    <w:p>
      <w:pPr>
        <w:pStyle w:val="ListParagraph"/>
        <w:numPr>
          <w:ilvl w:val="0"/>
          <w:numId w:val="2"/>
        </w:numPr>
      </w:pPr>
      <w:r>
        <w:t xml:space="preserve">Add PG triggers on orders/invoices: RAISE EXCEPTION on DELETE when posted = true. Drizzle alone will not stop this.</w:t>
      </w:r>
    </w:p>
    <w:p>
      <w:pPr>
        <w:pStyle w:val="ListParagraph"/>
        <w:numPr>
          <w:ilvl w:val="0"/>
          <w:numId w:val="2"/>
        </w:numPr>
      </w:pPr>
      <w:r>
        <w:t xml:space="preserve">Schema files: extend packages/db/src/schema/orders.ts; add schema/invoices.ts, schema/collection_receipts.ts, schema/audit_trail.ts, schema/register_sessions.ts.</w:t>
      </w:r>
    </w:p>
    <w:p>
      <w:pPr>
        <w:pStyle w:val="ListParagraph"/>
        <w:numPr>
          <w:ilvl w:val="0"/>
          <w:numId w:val="2"/>
        </w:numPr>
      </w:pPr>
      <w:r>
        <w:t xml:space="preserve">The monthly Sales Summary / Collection Summary PDFs are the BIR-critical bridge between IBMS and the loose-leaf books. Make sure these are clean, consistent, and easy for the accountant to tie-out.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Luxury Momnrock Laundry Service — IBMS Components of CAS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jc w:val="center"/>
    </w:pPr>
    <w:rPr>
      <w:rFonts w:ascii="Arial" w:cs="Arial" w:eastAsia="Arial" w:hAnsi="Arial"/>
      <w:b/>
      <w:bCs/>
      <w:sz w:val="44"/>
      <w:szCs w:val="44"/>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2026-04-27T05:27:02.654Z</dcterms:created>
  <dcterms:modified xsi:type="dcterms:W3CDTF">2026-04-27T05:27:02.654Z</dcterms:modified>
</cp:coreProperties>
</file>

<file path=docProps/custom.xml><?xml version="1.0" encoding="utf-8"?>
<Properties xmlns="http://schemas.openxmlformats.org/officeDocument/2006/custom-properties" xmlns:vt="http://schemas.openxmlformats.org/officeDocument/2006/docPropsVTypes"/>
</file>