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IBMS — POS Compliance Gap Analysis &amp; Sprint Plan</w:t>
      </w:r>
    </w:p>
    <w:p>
      <w:pPr>
        <w:jc w:val="center"/>
      </w:pPr>
      <w:r>
        <w:rPr>
          <w:i/>
          <w:iCs/>
        </w:rPr>
        <w:t xml:space="preserve">Scope: per-branch POS / CRM permit filings — three branches</w:t>
      </w:r>
    </w:p>
    <w:p>
      <w:pPr>
        <w:jc w:val="center"/>
      </w:pPr>
      <w:r>
        <w:rPr>
          <w:sz w:val="20"/>
          <w:szCs w:val="20"/>
        </w:rPr>
        <w:t xml:space="preserve">Prepared: 27 April 2026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Reclassification Note</w:t>
      </w:r>
    </w:p>
    <w:p>
      <w:r>
        <w:t xml:space="preserve">Earlier drafts of this document framed IBMS as a Computerized Accounting System (CAS) candidate. On reconsideration, IBMS is more accurately classified as a Point-of-Sale system: it issues invoices and records payments but does NOT maintain books of accounts (no General Journal, no General Ledger, no posting workflow). The correct BIR accreditation is therefore a per-branch POS / CRM Permit to Use (PTU), filed at each branch's RDO, not a CAS Acknowledgment Certificate at the Head Office.</w:t>
      </w:r>
    </w:p>
    <w:p>
      <w:r>
        <w:t xml:space="preserve">This reclassification simplifies the filing materially (lighter documentary set, faster turnaround, per-branch scope) but does NOT change the engineering work required of IBMS. The EOPT invoice rules (sequential serials, audit trail, mandatory fields, 10-year retention) apply to POS systems as fully as they do to CAS.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r>
        <w:t xml:space="preserve">IBMS is functionally complete for POS and order management. To file POS permits and go live across the three branches, the gaps below must be closed. Estimated effort: roughly 2 weeks of focused development plus 1 week of UAT — same as the earlier estimate, since the engineering changes are not driven by the choice of permit type.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Gap Table</w:t>
      </w:r>
    </w:p>
    <w:p>
      <w:r>
        <w:t xml:space="preserve">P0 = blocker for filing. P1 = required for go-live. P2 = recommended hardening.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900"/>
        <w:gridCol w:w="4180"/>
        <w:gridCol w:w="600"/>
      </w:tblGrid>
      <w:tr>
        <w:trPr>
          <w:tblHeader/>
        </w:trP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Pri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Sales Invoice as principal sales document (EOPT / RR 7-2024)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 prints a 'Receipt' HTML with no BIR header fields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Rename to Sales Invoice; server-render PDF with all Section 237 fields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Sequential, non-resettable serial per branch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Uses generic order_number sequence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Per-branch PostgreSQL sequence; format LM-BR&lt;code&gt;-&lt;00000001&gt;; no reset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Mandatory fields: seller TIN incl. branch code, VAT status, customer TIN ≥ PHP 1k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Absent from printReceipt()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Extend DB + UI + print template; pull seller info from branch config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VAT breakdown (VATable / Exempt / Zero-Rated / VAT Amount)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tax columns on orders / order_items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columns; compute server-side; mirror onto invoice + line items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 / PWD discount handling (20% off + VAT-exempt + ID capture)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Plain discount column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discount_type enum + ID capture; tax computation handles SC/PWD correctly (already done in vat.ts)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Immutable audit trail on sales-side records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audit_trail table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audit_trail + Drizzle middleware + Postgres triggers (DONE in Sprint 1)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Collection Receipt for subsequent payments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distinct from invoice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collection_receipts table + issuance flow (DONE in Sprint 1 schema)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Void / reversal — no hard delete of posted invoices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 can be deleted via schema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posted flag + Postgres trigger blocking DELETE/UPDATE on posted (DONE in SQL post-migration)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10-year electronic retention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Neon PITR is only 30 days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Nightly encrypted pg_dump → Cloudflare R2 with 10y retention + object lock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Z-Reading per branch / end-of-day close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implemented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register_sessions + Z-Reading generator; block next day until previous closed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PTU + MIN injection on every invoice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printed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After BIR issues PTU + MIN per branch, inject into invoice template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(post-PTU)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 Sales Summary + Collection Summary (for accountant)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implemented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monthly summary PDFs for the accountant to post into the loose-leaf books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Maker-checker on pricing edits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 admin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Approval workflow for services and admin tables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Privacy Act compliance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Separate legal track (deferred)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Restoration drill log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41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Quarterly drill artifact in /ops/drills/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Sprint Plan</w:t>
      </w:r>
    </w:p>
    <w:p>
      <w:pPr>
        <w:pStyle w:val="Heading2"/>
      </w:pPr>
      <w:r>
        <w:rPr>
          <w:b/>
          <w:bCs/>
        </w:rPr>
        <w:t xml:space="preserve">Sprint 1 — Schema + Invoice Layer (DONE on feat/bir-cas-sprint-1 branch)</w:t>
      </w:r>
    </w:p>
    <w:p>
      <w:pPr>
        <w:pStyle w:val="ListParagraph"/>
        <w:numPr>
          <w:ilvl w:val="0"/>
          <w:numId w:val="2"/>
        </w:numPr>
      </w:pPr>
      <w:r>
        <w:t xml:space="preserve">sales_invoices, sales_invoice_items, collection_receipts tables.</w:t>
      </w:r>
    </w:p>
    <w:p>
      <w:pPr>
        <w:pStyle w:val="ListParagraph"/>
        <w:numPr>
          <w:ilvl w:val="0"/>
          <w:numId w:val="2"/>
        </w:numPr>
      </w:pPr>
      <w:r>
        <w:t xml:space="preserve">Per-branch invoice / CR sequences via Postgres functions issue_invoice_number() and issue_cr_number().</w:t>
      </w:r>
    </w:p>
    <w:p>
      <w:pPr>
        <w:pStyle w:val="ListParagraph"/>
        <w:numPr>
          <w:ilvl w:val="0"/>
          <w:numId w:val="2"/>
        </w:numPr>
      </w:pPr>
      <w:r>
        <w:t xml:space="preserve">audit_trail table + Drizzle middleware (auditedInsert, auditedUpdate, withAudit, postSalesInvoice, voidSalesInvoice).</w:t>
      </w:r>
    </w:p>
    <w:p>
      <w:pPr>
        <w:pStyle w:val="ListParagraph"/>
        <w:numPr>
          <w:ilvl w:val="0"/>
          <w:numId w:val="2"/>
        </w:numPr>
      </w:pPr>
      <w:r>
        <w:t xml:space="preserve">VAT / Percentage Tax computation library in @aunt-sallys/shared/tax — 14 tests, all passing.</w:t>
      </w:r>
    </w:p>
    <w:p>
      <w:pPr>
        <w:pStyle w:val="ListParagraph"/>
        <w:numPr>
          <w:ilvl w:val="0"/>
          <w:numId w:val="2"/>
        </w:numPr>
      </w:pPr>
      <w:r>
        <w:t xml:space="preserve">Postgres triggers: append-only audit_trail; posted invoices immutable; collection_receipts no-delete; per-line items locked when parent invoice is posted.</w:t>
      </w:r>
    </w:p>
    <w:p>
      <w:pPr>
        <w:pStyle w:val="ListParagraph"/>
        <w:numPr>
          <w:ilvl w:val="0"/>
          <w:numId w:val="2"/>
        </w:numPr>
      </w:pPr>
      <w:r>
        <w:t xml:space="preserve">branches schema extended with branch_code, rdo, registered_address, bir_registered_on for invoice serial generation and receipt-header rendering.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Sprint 2 — POS, Voids, Z-Reading, Archival (NEXT)</w:t>
      </w:r>
    </w:p>
    <w:p>
      <w:pPr>
        <w:pStyle w:val="ListParagraph"/>
        <w:numPr>
          <w:ilvl w:val="0"/>
          <w:numId w:val="2"/>
        </w:numPr>
      </w:pPr>
      <w:r>
        <w:t xml:space="preserve">Rewrite printReceipt() in apps/pos/src/pages/OrderDetail.tsx → call /api/v1/invoices/:id/print returning a server-rendered PDF.</w:t>
      </w:r>
    </w:p>
    <w:p>
      <w:pPr>
        <w:pStyle w:val="ListParagraph"/>
        <w:numPr>
          <w:ilvl w:val="0"/>
          <w:numId w:val="2"/>
        </w:numPr>
      </w:pPr>
      <w:r>
        <w:t xml:space="preserve">Implement Collection Receipt issuance flow when payment is recorded against an invoice in a later session.</w:t>
      </w:r>
    </w:p>
    <w:p>
      <w:pPr>
        <w:pStyle w:val="ListParagraph"/>
        <w:numPr>
          <w:ilvl w:val="0"/>
          <w:numId w:val="2"/>
        </w:numPr>
      </w:pPr>
      <w:r>
        <w:t xml:space="preserve">Implement Void: posted invoices cannot be deleted; void issues paired reversal with cross-reference.</w:t>
      </w:r>
    </w:p>
    <w:p>
      <w:pPr>
        <w:pStyle w:val="ListParagraph"/>
        <w:numPr>
          <w:ilvl w:val="0"/>
          <w:numId w:val="2"/>
        </w:numPr>
      </w:pPr>
      <w:r>
        <w:t xml:space="preserve">register_sessions table + Z-Reading generator; block new sales if previous day not closed.</w:t>
      </w:r>
    </w:p>
    <w:p>
      <w:pPr>
        <w:pStyle w:val="ListParagraph"/>
        <w:numPr>
          <w:ilvl w:val="0"/>
          <w:numId w:val="2"/>
        </w:numPr>
      </w:pPr>
      <w:r>
        <w:t xml:space="preserve">Monthly Sales Summary + Collection Summary report generators for the accountant.</w:t>
      </w:r>
    </w:p>
    <w:p>
      <w:pPr>
        <w:pStyle w:val="ListParagraph"/>
        <w:numPr>
          <w:ilvl w:val="0"/>
          <w:numId w:val="2"/>
        </w:numPr>
      </w:pPr>
      <w:r>
        <w:t xml:space="preserve">Nightly encrypted pg_dump → Cloudflare R2 with 10-year retention and object-lock.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UAT (Week 3)</w:t>
      </w:r>
    </w:p>
    <w:p>
      <w:pPr>
        <w:pStyle w:val="ListParagraph"/>
        <w:numPr>
          <w:ilvl w:val="0"/>
          <w:numId w:val="2"/>
        </w:numPr>
      </w:pPr>
      <w:r>
        <w:t xml:space="preserve">Parallel run at Arton West for one week: IBMS invoices side-by-side with hand receipts; daily reconciliation.</w:t>
      </w:r>
    </w:p>
    <w:p>
      <w:pPr>
        <w:pStyle w:val="ListParagraph"/>
        <w:numPr>
          <w:ilvl w:val="0"/>
          <w:numId w:val="2"/>
        </w:numPr>
      </w:pPr>
      <w:r>
        <w:t xml:space="preserve">Tag the release as v1.0.0-pos. Lock the branch.</w:t>
      </w:r>
    </w:p>
    <w:p>
      <w:pPr>
        <w:pStyle w:val="ListParagraph"/>
        <w:numPr>
          <w:ilvl w:val="0"/>
          <w:numId w:val="2"/>
        </w:numPr>
      </w:pPr>
      <w:r>
        <w:t xml:space="preserve">Run the first restoration drill; file the Drill Report in /ops/drills/.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Filing (Week 3 end → Week 4)</w:t>
      </w:r>
    </w:p>
    <w:p>
      <w:pPr>
        <w:pStyle w:val="ListParagraph"/>
        <w:numPr>
          <w:ilvl w:val="0"/>
          <w:numId w:val="2"/>
        </w:numPr>
      </w:pPr>
      <w:r>
        <w:t xml:space="preserve">Fill remaining placeholders in the per-branch packages (contact number, notarization city, AIBOS address, HQ address).</w:t>
      </w:r>
    </w:p>
    <w:p>
      <w:pPr>
        <w:pStyle w:val="ListParagraph"/>
        <w:numPr>
          <w:ilvl w:val="0"/>
          <w:numId w:val="2"/>
        </w:numPr>
      </w:pPr>
      <w:r>
        <w:t xml:space="preserve">Notarize each Sworn Statement.</w:t>
      </w:r>
    </w:p>
    <w:p>
      <w:pPr>
        <w:pStyle w:val="ListParagraph"/>
        <w:numPr>
          <w:ilvl w:val="0"/>
          <w:numId w:val="2"/>
        </w:numPr>
      </w:pPr>
      <w:r>
        <w:t xml:space="preserve">File at RDO 039 (Xavierville + Arton West together) and at RDO 043 (Tiendesitas).</w:t>
      </w:r>
    </w:p>
    <w:p>
      <w:pPr>
        <w:pStyle w:val="ListParagraph"/>
        <w:numPr>
          <w:ilvl w:val="0"/>
          <w:numId w:val="2"/>
        </w:numPr>
      </w:pPr>
      <w:r>
        <w:t xml:space="preserve">Once each PTU + MIN is issued, inject into IBMS and redeploy.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IBMS POS Compliance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2026-05-01T10:15:17.297Z</dcterms:created>
  <dcterms:modified xsi:type="dcterms:W3CDTF">2026-05-01T10:15:17.297Z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