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1B3A5C"/>
          <w:sz w:val="52"/>
          <w:szCs w:val="52"/>
        </w:rPr>
        <w:t xml:space="preserve">PHYSIOELITE</w:t>
      </w:r>
    </w:p>
    <w:p>
      <w:pPr>
        <w:spacing w:before="0" w:after="40"/>
        <w:jc w:val="center"/>
      </w:pPr>
      <w:r>
        <w:rPr>
          <w:rFonts w:ascii="Arial" w:cs="Arial" w:eastAsia="Arial" w:hAnsi="Arial"/>
          <w:color w:val="2E75B6"/>
          <w:sz w:val="28"/>
          <w:szCs w:val="28"/>
        </w:rPr>
        <w:t xml:space="preserve">Federacao Portuguesa de Futebol</w:t>
      </w:r>
    </w:p>
    <w:p>
      <w:pPr>
        <w:pBdr>
          <w:bottom w:val="single" w:color="1B3A5C" w:sz="8" w:space="1"/>
        </w:pBdr>
        <w:spacing w:before="80" w:after="240"/>
        <w:jc w:val="center"/>
      </w:pPr>
      <w:r>
        <w:rPr>
          <w:sz w:val="20"/>
          <w:szCs w:val="20"/>
        </w:rPr>
        <w:t xml:space="preserve"/>
      </w:r>
    </w:p>
    <w:p>
      <w:pPr>
        <w:spacing w:before="80" w:after="0"/>
      </w:pPr>
      <w:r>
        <w:t xml:space="preserve"/>
      </w:r>
    </w:p>
    <w:p>
      <w:pPr>
        <w:spacing w:before="0" w:after="80"/>
        <w:jc w:val="center"/>
      </w:pPr>
      <w:r>
        <w:rPr>
          <w:rFonts w:ascii="Arial" w:cs="Arial" w:eastAsia="Arial" w:hAnsi="Arial"/>
          <w:b/>
          <w:bCs/>
          <w:color w:val="1B3A5C"/>
          <w:sz w:val="40"/>
          <w:szCs w:val="40"/>
        </w:rPr>
        <w:t xml:space="preserve">Revisao de Literatura</w:t>
      </w:r>
    </w:p>
    <w:p>
      <w:pPr>
        <w:spacing w:before="0" w:after="80"/>
        <w:jc w:val="center"/>
      </w:pPr>
      <w:r>
        <w:rPr>
          <w:rFonts w:ascii="Arial" w:cs="Arial" w:eastAsia="Arial" w:hAnsi="Arial"/>
          <w:color w:val="444444"/>
          <w:sz w:val="26"/>
          <w:szCs w:val="26"/>
        </w:rPr>
        <w:t xml:space="preserve">Base Cientifica do Modelo Preditivo de Lesao v1.1</w:t>
      </w:r>
    </w:p>
    <w:p>
      <w:pPr>
        <w:spacing w:before="80" w:after="0"/>
      </w:pPr>
      <w:r>
        <w:t xml:space="preserve"/>
      </w:r>
    </w:p>
    <w:p>
      <w:pPr>
        <w:spacing w:before="0" w:after="40"/>
        <w:jc w:val="center"/>
      </w:pPr>
      <w:r>
        <w:rPr>
          <w:rFonts w:ascii="Arial" w:cs="Arial" w:eastAsia="Arial" w:hAnsi="Arial"/>
          <w:i/>
          <w:iCs/>
          <w:color w:val="666666"/>
          <w:sz w:val="20"/>
          <w:szCs w:val="20"/>
        </w:rPr>
        <w:t xml:space="preserve">Documento preparado para reuniao medico-clinica</w:t>
      </w:r>
    </w:p>
    <w:p>
      <w:pPr>
        <w:spacing w:before="0" w:after="40"/>
        <w:jc w:val="center"/>
      </w:pPr>
      <w:r>
        <w:rPr>
          <w:rFonts w:ascii="Arial" w:cs="Arial" w:eastAsia="Arial" w:hAnsi="Arial"/>
          <w:color w:val="666666"/>
          <w:sz w:val="20"/>
          <w:szCs w:val="20"/>
        </w:rPr>
        <w:t xml:space="preserve">Abril 2026</w:t>
      </w:r>
    </w:p>
    <w:p>
      <w:pPr>
        <w:spacing w:before="240" w:after="0"/>
      </w:pPr>
      <w:r>
        <w:t xml:space="preserve"/>
      </w:r>
    </w:p>
    <w:p>
      <w:pPr>
        <w:pStyle w:val="Heading1"/>
        <w:spacing w:before="360" w:after="160"/>
      </w:pPr>
      <w:r>
        <w:rPr>
          <w:rFonts w:ascii="Arial" w:cs="Arial" w:eastAsia="Arial" w:hAnsi="Arial"/>
          <w:b/>
          <w:bCs/>
          <w:color w:val="1B3A5C"/>
          <w:sz w:val="28"/>
          <w:szCs w:val="28"/>
        </w:rPr>
        <w:t xml:space="preserve">1. Introducao e Enquadramento</w:t>
      </w:r>
    </w:p>
    <w:p>
      <w:pPr>
        <w:spacing w:before="60" w:after="80"/>
      </w:pPr>
      <w:r>
        <w:rPr>
          <w:rFonts w:ascii="Arial" w:cs="Arial" w:eastAsia="Arial" w:hAnsi="Arial"/>
          <w:sz w:val="20"/>
          <w:szCs w:val="20"/>
        </w:rPr>
        <w:t xml:space="preserve">Este documento apresenta a revisao de literatura que sustenta o modelo preditivo de risco de lesao integrado na plataforma PhysioElite, desenvolvida em parceria com a Federacao Portuguesa de Futebol (FPF). O modelo combina cinco dimensoes de monitorização — carga externa, carga interna, recuperacao, psicologica e historial clinico — num score preditivo unico com interpretabilidade por variavel.</w:t>
      </w:r>
    </w:p>
    <w:p>
      <w:pPr>
        <w:spacing w:before="80" w:after="0"/>
      </w:pPr>
      <w:r>
        <w:t xml:space="preserve"/>
      </w:r>
    </w:p>
    <w:p>
      <w:pPr>
        <w:spacing w:before="60" w:after="80"/>
      </w:pPr>
      <w:r>
        <w:rPr>
          <w:rFonts w:ascii="Arial" w:cs="Arial" w:eastAsia="Arial" w:hAnsi="Arial"/>
          <w:sz w:val="20"/>
          <w:szCs w:val="20"/>
        </w:rPr>
        <w:t xml:space="preserve">A pesquisa bibliografica foi conduzida nas bases de dados PubMed, SPORTDiscus, Scopus, Web of Science, PEDro, Cochrane Library e Google Scholar. Foram priorizados estudos dos ultimos 5 anos (2020-2025), com preferencia por revisoes sistematicas, meta-analises, ensaios clinicos randomizados e estudos prospetivos de coorte em futebol profissional. Os journals privilegiados incluem o British Journal of Sports Medicine (BJSM, IF 18.4), American Journal of Sports Medicine (AJSM, IF 6.6), Sports Medicine (IF 9.3) e Journal of Science and Medicine in Sport (JSMS, IF 4.9).</w:t>
      </w:r>
    </w:p>
    <w:p>
      <w:pPr>
        <w:spacing w:before="80" w:after="0"/>
      </w:pPr>
      <w:r>
        <w:t xml:space="preserve"/>
      </w:r>
    </w:p>
    <w:p>
      <w:pPr>
        <w:spacing w:before="60" w:after="80"/>
      </w:pPr>
      <w:r>
        <w:rPr>
          <w:rFonts w:ascii="Arial" w:cs="Arial" w:eastAsia="Arial" w:hAnsi="Arial"/>
          <w:sz w:val="20"/>
          <w:szCs w:val="20"/>
        </w:rPr>
        <w:t xml:space="preserve">A versao 1.1 do modelo incorpora as seguintes alteracoes face a versao inicial: aumento do peso do historial de lesoes, aumento do peso do sono, reducao do peso do ACWR, reducao do peso do stress percebido, adicao de duas novas variaveis (desaceleracoes de alta intensidade e dias desde o ultimo jogo), e remocao da crioterapia como variavel preditiva.</w:t>
      </w:r>
    </w:p>
    <w:p>
      <w:pPr>
        <w:pBdr>
          <w:bottom w:val="single" w:color="DDDDDD" w:sz="4" w:space="1"/>
        </w:pBdr>
        <w:spacing w:before="160" w:after="160"/>
      </w:pPr>
      <w:r>
        <w:t xml:space="preserve"/>
      </w:r>
    </w:p>
    <w:p>
      <w:pPr>
        <w:pStyle w:val="Heading1"/>
        <w:spacing w:before="360" w:after="160"/>
      </w:pPr>
      <w:r>
        <w:rPr>
          <w:rFonts w:ascii="Arial" w:cs="Arial" w:eastAsia="Arial" w:hAnsi="Arial"/>
          <w:b/>
          <w:bCs/>
          <w:color w:val="1B3A5C"/>
          <w:sz w:val="28"/>
          <w:szCs w:val="28"/>
        </w:rPr>
        <w:t xml:space="preserve">2. Pesos do Modelo — Versao 1.1</w:t>
      </w:r>
    </w:p>
    <w:p>
      <w:pPr>
        <w:spacing w:before="60" w:after="80"/>
      </w:pPr>
      <w:r>
        <w:rPr>
          <w:rFonts w:ascii="Arial" w:cs="Arial" w:eastAsia="Arial" w:hAnsi="Arial"/>
          <w:sz w:val="20"/>
          <w:szCs w:val="20"/>
        </w:rPr>
        <w:t xml:space="preserve">A tabela seguinte apresenta os pesos actualizados com a respectiva fundamentacao cientifica. Os pesos somam 1.0 e foram revistos com base na forca da evidencia actual para cada variavel. Na Fase 2, apos registo de aproximadamente 30 eventos de lesao nos estagios FPF, os pesos serao recalibrados por regressao logistica com dados reais.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Variável</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Peso v1.0</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Peso v1.1</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Variação</w:t>
            </w:r>
          </w:p>
        </w:tc>
        <w:tc>
          <w:tcPr>
            <w:tcW w:type="dxa" w:w="2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Fundamentação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Historial de lesoes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0.10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0.20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7A3E"/>
                <w:sz w:val="18"/>
                <w:szCs w:val="18"/>
              </w:rPr>
              <w:t xml:space="preserve">+0.10</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Preditor mais consistente. UEFA ECIS 21 epocas (Ekstrand 2022/23). Recidiva 2-6x superior.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ACWR (carga GPS)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020"/>
                <w:sz w:val="18"/>
                <w:szCs w:val="18"/>
              </w:rPr>
              <w:t xml:space="preserve">-0.05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Evidencia inconclusiva em futebol pro (revisao sistematica 2024). Mantida por relevancia clinica.</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HRV delta baseline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0.20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0.18</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A32020"/>
                <w:sz w:val="18"/>
                <w:szCs w:val="18"/>
              </w:rPr>
              <w:t xml:space="preserve">-0.02</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Evidencia sugestiva. RR=2.61 com ACWR elevado (revisao 27 estudos). Nuances individuais.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Fadiga (Hooper)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020"/>
                <w:sz w:val="18"/>
                <w:szCs w:val="18"/>
              </w:rPr>
              <w:t xml:space="preserve">-0.02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Correlacional. IC inclui efeito nulo (Neumann et al. Sports Med Open 2024).</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Sono (h + qualidade)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0.07</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0.12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7A3E"/>
                <w:sz w:val="18"/>
                <w:szCs w:val="18"/>
              </w:rPr>
              <w:t xml:space="preserve">+0.05</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OR=1.34 IC 95% 1.08-1.66 (meta-analise 2025). Costa et al. 2021 (revisao futebol).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TQR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020"/>
                <w:sz w:val="18"/>
                <w:szCs w:val="18"/>
              </w:rPr>
              <w:t xml:space="preserve">-0.01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Instrumento valido (Kentta 1998). Sem revisao recente especifica em futebol pro.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Stress percebido</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0.10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0.04</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A32020"/>
                <w:sz w:val="18"/>
                <w:szCs w:val="18"/>
              </w:rPr>
              <w:t xml:space="preserve">-0.06</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Evidencia fraca em adultos profissionais (Borato &amp; Pedroni 2022). Mantida com peso reduzido.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Desaceleracoes alta 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Nao existia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7A3E"/>
                <w:sz w:val="18"/>
                <w:szCs w:val="18"/>
              </w:rPr>
              <w:t xml:space="preserve">+0.04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NOVA. ACWR dec. AUC=0.91 (Saberisani 2025). Carga mecanica excentrica. Dados GPS existentes.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Dias desde ultimo jogo</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Nao existia</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0.02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7A3E"/>
                <w:sz w:val="18"/>
                <w:szCs w:val="18"/>
              </w:rPr>
              <w:t xml:space="preserve">+0.02</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NOVA. Recuperacao neuromuscular incompleta ate MD+72h. Chang et al. 2024.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Crioterapia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32020"/>
                <w:sz w:val="18"/>
                <w:szCs w:val="18"/>
              </w:rPr>
              <w:t xml:space="preserve">Removida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020"/>
                <w:sz w:val="18"/>
                <w:szCs w:val="18"/>
              </w:rPr>
              <w:t xml:space="preserve">Removida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Intervencao de recuperacao, nao preditor. Efeitos bidirecionais (Racinais BJSM 2024).</w:t>
            </w:r>
          </w:p>
        </w:tc>
      </w:tr>
    </w:tbl>
    <w:p>
      <w:pPr>
        <w:spacing w:before="80" w:after="0"/>
      </w:pPr>
      <w:r>
        <w:t xml:space="preserve"/>
      </w:r>
    </w:p>
    <w:p>
      <w:pPr>
        <w:spacing w:before="40" w:after="60"/>
        <w:ind w:left="360"/>
      </w:pPr>
      <w:r>
        <w:rPr>
          <w:rFonts w:ascii="Arial" w:cs="Arial" w:eastAsia="Arial" w:hAnsi="Arial"/>
          <w:i/>
          <w:iCs/>
          <w:color w:val="444444"/>
          <w:sz w:val="18"/>
          <w:szCs w:val="18"/>
        </w:rPr>
        <w:t xml:space="preserve">Nota metodologica: os pesos actuais sao definidos por perito com base na literatura. Nao existem meta-analises que quantifiquem directamente o peso relativo de cada variavel em populacoes de futebol de elite, o que justifica a calibracao empirica planeada para a Fase 2.</w:t>
      </w:r>
    </w:p>
    <w:p>
      <w:pPr>
        <w:pBdr>
          <w:bottom w:val="single" w:color="DDDDDD" w:sz="4" w:space="1"/>
        </w:pBdr>
        <w:spacing w:before="160" w:after="160"/>
      </w:pPr>
      <w:r>
        <w:t xml:space="preserve"/>
      </w:r>
    </w:p>
    <w:p>
      <w:pPr>
        <w:pStyle w:val="Heading1"/>
        <w:spacing w:before="360" w:after="160"/>
      </w:pPr>
      <w:r>
        <w:rPr>
          <w:rFonts w:ascii="Arial" w:cs="Arial" w:eastAsia="Arial" w:hAnsi="Arial"/>
          <w:b/>
          <w:bCs/>
          <w:color w:val="1B3A5C"/>
          <w:sz w:val="28"/>
          <w:szCs w:val="28"/>
        </w:rPr>
        <w:t xml:space="preserve">3. Revisao por Variavel</w:t>
      </w:r>
    </w:p>
    <w:p>
      <w:pPr>
        <w:pStyle w:val="Heading2"/>
        <w:spacing w:before="280" w:after="120"/>
      </w:pPr>
      <w:r>
        <w:rPr>
          <w:rFonts w:ascii="Arial" w:cs="Arial" w:eastAsia="Arial" w:hAnsi="Arial"/>
          <w:b/>
          <w:bCs/>
          <w:color w:val="1B3A5C"/>
          <w:sz w:val="24"/>
          <w:szCs w:val="24"/>
        </w:rPr>
        <w:t xml:space="preserve">3.1 Historial de Lesoes Anteriores</w:t>
      </w:r>
    </w:p>
    <w:p>
      <w:pPr>
        <w:spacing w:before="60" w:after="80"/>
      </w:pPr>
      <w:r>
        <w:rPr>
          <w:rFonts w:ascii="Arial" w:cs="Arial" w:eastAsia="Arial" w:hAnsi="Arial"/>
          <w:sz w:val="20"/>
          <w:szCs w:val="20"/>
        </w:rPr>
        <w:t xml:space="preserve">O historial de lesao e o preditor individual mais consistente e replicado na literatura de epidemiologia do futebol profissional. A lesao previa no mesmo segmento anatomico e o principal factor de risco para recidiva, com mecanismos fisiopatologicos bem estabelecidos: tecido cicatricial com propriedades mecanicas alteradas, deficit propriocetivo residual, e deficit de forca excentrica.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Ekstrand et al. BJSM 2023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21 epocas consecutivas UEFA ECIS (2001/02-2021/22). 3909 jogadores, 54 clubes, 20 paises europeus. Isquiotibiais = 24% de todas as lesoes. Taxas de recidiva elevadas nos primeiros 2 meses pos-RTP.</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(coorte prospetiva, n grande)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2022/23</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BJSM (IF 18.4)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Hagglund, Walden &amp; Ekstrand BJSM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Lesao previa e fator de risco significativo para lesao subsequente. Risco de recidiva 2-6x superior ao baseline do plantel.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Alto (coorte prospetiva)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2006/2016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BJSM (IF 18.4)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Ekstrand et al. BMJ Open Sport 2023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Fatores de risco para lesao isquiotibial em 15 clubes Champions League. Organizacao, mudancas de staff tecnico e historial identificados como fatores estruturais.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Moderado-alto (multicenter)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2023</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BMJ Open (IF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Ekstrand et al. BMJ Open Sport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Comunicacao entre staff medico e de performance associada a menor incidencia de lesoes isquiotibiais em 14 clubes UEFA.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Moderado-alto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BMJ Open (IF 3.4)</w:t>
            </w:r>
          </w:p>
        </w:tc>
      </w:tr>
    </w:tbl>
    <w:p>
      <w:pPr>
        <w:spacing w:before="80" w:after="0"/>
      </w:pPr>
      <w:r>
        <w:t xml:space="preserve"/>
      </w:r>
    </w:p>
    <w:p>
      <w:pPr>
        <w:spacing w:before="60" w:after="80"/>
      </w:pPr>
      <w:r>
        <w:rPr>
          <w:rFonts w:ascii="Arial" w:cs="Arial" w:eastAsia="Arial" w:hAnsi="Arial"/>
          <w:sz w:val="20"/>
          <w:szCs w:val="20"/>
        </w:rPr>
        <w:t xml:space="preserve">Implicacao para o modelo: peso aumentado de 0.10 para 0.20. Qualquer lesao previa no mesmo segmento anatomico nos ultimos 24 meses e classificada como factor de risco major. Dois ou mais episodios no mesmo segmento atingem score parcial maximo (1.0) nesta dimensao.</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3.2 Sono (Duracao e Qualidade)</w:t>
      </w:r>
    </w:p>
    <w:p>
      <w:pPr>
        <w:spacing w:before="60" w:after="80"/>
      </w:pPr>
      <w:r>
        <w:rPr>
          <w:rFonts w:ascii="Arial" w:cs="Arial" w:eastAsia="Arial" w:hAnsi="Arial"/>
          <w:sz w:val="20"/>
          <w:szCs w:val="20"/>
        </w:rPr>
        <w:t xml:space="preserve">A evidencia mais recente eleva o sono ao estatuto de preditor de risco de lesao com magnitude quantificada em meta-analise, superando a base empirica de outras variaveis no modelo. O mecanismo e multifatorial: comprometimento da sintese proteica e libertacao de GH durante o sono profundo, aumento da atividade simpatica com supressao parasimpatica, e deterioracao das funcoes cognitivas e motoras relevantes para a prevencao de lesao.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Rakobowchuk et al. 2025 (meta-analise)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Duracao de sono mais curta associada a maior risco de lesao: OR = 1.34, IC 95% 1.08-1.66, p = 0.007. Heterogeneidade substancial (I2=85.6%). Maior meta-analise quantitativa especifica para duracao de sono e risco de lesao.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(meta-analise)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Preprint validado por pares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Costa et al. 2021 (revisao sistematica)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 estudos incluidos. Sono insuficiente em futebolistas associado a pior performance atletica e aumento do numero e severidade de lesoes. Inconsistencia nos resultados.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 (revisao sistematica futebol)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IJERPH</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Rygielski et al. 2024 (revisao narrativa)</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Atletas com menos de 7 horas por noite apresentam risco de lesao aproximadamente 1.7 vezes superior. Revisao abrangente de mecanismos.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(revisao narrativa)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Quality in Sport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Hatia et al. 2024 (revisao narrativa)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Revisao de intervencoes de sono em atletas. Extensao do sono associada a melhoria de fadiga, humor e stress. Recomendacoes praticas para futebol de elite.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PMC / Cureus</w:t>
            </w:r>
          </w:p>
        </w:tc>
      </w:tr>
    </w:tbl>
    <w:p>
      <w:pPr>
        <w:spacing w:before="80" w:after="0"/>
      </w:pPr>
      <w:r>
        <w:t xml:space="preserve"/>
      </w:r>
    </w:p>
    <w:p>
      <w:pPr>
        <w:spacing w:before="60" w:after="80"/>
      </w:pPr>
      <w:r>
        <w:rPr>
          <w:rFonts w:ascii="Arial" w:cs="Arial" w:eastAsia="Arial" w:hAnsi="Arial"/>
          <w:sz w:val="20"/>
          <w:szCs w:val="20"/>
        </w:rPr>
        <w:t xml:space="preserve">Implicacao para o modelo: peso aumentado de 0.07 para 0.12. Limiar clinico: menos de 6 horas = score parcial 0.75-1.0; 6-7 horas = 0.40-0.75; mais de 7 horas = 0.00-0.25. A qualidade subjetiva (Hooper item sono) e combinada com a duracao objetiva reportada para calcular o score parcial desta dimensao.</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3.3 ACWR — Racio de Carga Aguda/Cronica</w:t>
      </w:r>
    </w:p>
    <w:p>
      <w:pPr>
        <w:spacing w:before="60" w:after="80"/>
      </w:pPr>
      <w:r>
        <w:rPr>
          <w:rFonts w:ascii="Arial" w:cs="Arial" w:eastAsia="Arial" w:hAnsi="Arial"/>
          <w:sz w:val="20"/>
          <w:szCs w:val="20"/>
        </w:rPr>
        <w:t xml:space="preserve">O ACWR e calculado como a carga aguda (7 dias) dividida pela carga cronica (media das 4 semanas anteriores). O metodo preferencial para o calculo e a media com ponderacao exponencial (EWMA) em detrimento do rolling average, que introduz artefactos matematicos por partilha de dados entre numerador e denominador. No contexto FPF, o ACWR e calculado prioritariamente sobre distancia de alta velocidade (HSR) e session-RPE, dado o acesso limitado a dados GPS dos clubes nas semanas pre-estagio.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Gabbett TJ BJSM 2016</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Publicacao seminal que estabeleceu o racional do ACWR. Zona de risco &gt; 1.3. Citada em guidelines IOC 2016.</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(coorte prospetiva)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2016</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BJSM (IF 18.4)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Impellizzeri et al. IJSPP 2020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 metodologica fundamental ao rolling ACWR. Artefacto matematico por partilha de dados. Proposta de descontinuacao como framework de predicao isolado.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Alto (analise metodologica)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IJSPP (IF 4.1)</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Matas-Bustos et al. PLoS ONE 2025</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Proposta de ACWR baseado em matrizes temporais (FWF) derivadas de GPS. Maior precisao que o metodo classico em dados de clube espanhol (liga espanhola, 1 epoca).</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(estudo de clube unico)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PLoS ONE (IF 3.7)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Revisao sistematica 2024 (multiplos autores)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relacao entre ACWR e risco de lesao em futebol profissional permanece inconclusiva. Aplicacao desafiante pela falta de periodizacao estaivel nos microciclos profissionais.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 (revisao sistematica)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 Sci / MDPI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Revisao 27 estudos (PMC)</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Alta variabilidade entre estudos. ACWR 0.80-1.30 associado a menor risco. ACWR &gt; 2.0: OR=4.00 IC 1.65-9.68. ACWR combinado com HRV baixo: RR=2.61.</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2020</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IJSPP</w:t>
            </w:r>
          </w:p>
        </w:tc>
      </w:tr>
    </w:tbl>
    <w:p>
      <w:pPr>
        <w:spacing w:before="80" w:after="0"/>
      </w:pPr>
      <w:r>
        <w:t xml:space="preserve"/>
      </w:r>
    </w:p>
    <w:p>
      <w:pPr>
        <w:spacing w:before="60" w:after="80"/>
      </w:pPr>
      <w:r>
        <w:rPr>
          <w:rFonts w:ascii="Arial" w:cs="Arial" w:eastAsia="Arial" w:hAnsi="Arial"/>
          <w:sz w:val="20"/>
          <w:szCs w:val="20"/>
        </w:rPr>
        <w:t xml:space="preserve">Implicacao para o modelo: peso reduzido de 0.25 para 0.20, reflectindo a controversia na literatura especifica para futebol profissional. O ACWR permanece como variavel estruturante da dimensao de carga externa pela sua relevancia clinica e praticidade. O modulo de confianca do modelo suspende o ACWR quando a janela de dados e inferior a 14 dias.</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3.4 HRV — Variabilidade da Frequencia Cardiaca</w:t>
      </w:r>
    </w:p>
    <w:p>
      <w:pPr>
        <w:spacing w:before="60" w:after="80"/>
      </w:pPr>
      <w:r>
        <w:rPr>
          <w:rFonts w:ascii="Arial" w:cs="Arial" w:eastAsia="Arial" w:hAnsi="Arial"/>
          <w:sz w:val="20"/>
          <w:szCs w:val="20"/>
        </w:rPr>
        <w:t xml:space="preserve">O HRV matinal (RMSSD) e uma medida nao invasiva da atividade parassimpatica do SNA, sensivel a fadiga acumulada e a recuperacao insuficiente. O valor clinico nao reside no valor absoluto mas na variacao percentual face ao baseline individual, calculado sobre pelo menos 7-14 dias de medicoes. Reducoes abruptas do HRV (delta negativo elevado) indicam acumulacao de stress fisiolologico antes que o atleta o reporte subjetivamente.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Plews et al. IJSPP 2013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Estabeleceu a metodologia de baseline individual para HRV em atletas de elite. RMSSD como metrica preferencial pela associacao com atividade parassimpatica.</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(metodologico)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2013</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IJSPP (IF 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Sanchez et al. ISCSS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Estudo prospetivo 12 semanas em atletas de endurance. Distribuicao de HRV diferiu significativamente entre lesoes graves e ligeiras. Disregulacao autonomica precedendo lesoes severas.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 (prospetivo, n limitado)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ISCSS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Revisao sistematica 27 estudos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ACWR elevado + HRV baixo: RR=2.61 para lesao. Efeito sinergico entre carga externa e recuperacao biologica.</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(revisao)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2020</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IJSPP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Andrews et al. Sensors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HRV por dispositivos moveis: metodologia de medicao diaria, coeficiente de variacao semanal como indicador de maladaptacao. Plataformas cloud para monitorizacao de grupo.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 (revisao narrativa)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Sensors (IF 3.9)</w:t>
            </w:r>
          </w:p>
        </w:tc>
      </w:tr>
    </w:tbl>
    <w:p>
      <w:pPr>
        <w:spacing w:before="80" w:after="0"/>
      </w:pPr>
      <w:r>
        <w:t xml:space="preserve"/>
      </w:r>
    </w:p>
    <w:p>
      <w:pPr>
        <w:spacing w:before="60" w:after="80"/>
      </w:pPr>
      <w:r>
        <w:rPr>
          <w:rFonts w:ascii="Arial" w:cs="Arial" w:eastAsia="Arial" w:hAnsi="Arial"/>
          <w:sz w:val="20"/>
          <w:szCs w:val="20"/>
        </w:rPr>
        <w:t xml:space="preserve">Implicacao para o modelo: peso ajustado de 0.20 para 0.18. O delta percentual face ao baseline individual e a metrica usada (nao o valor absoluto). Limiares: delta &gt; -5% = normal; -5% a -10% = alerta; &lt; -10% = critico. O baseline requer minimo 7 dias de medicoes consecutivas.</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3.5 Fadiga Subjetiva — Indice de Hooper e Session-RPE</w:t>
      </w:r>
    </w:p>
    <w:p>
      <w:pPr>
        <w:spacing w:before="60" w:after="80"/>
      </w:pPr>
      <w:r>
        <w:rPr>
          <w:rFonts w:ascii="Arial" w:cs="Arial" w:eastAsia="Arial" w:hAnsi="Arial"/>
          <w:sz w:val="20"/>
          <w:szCs w:val="20"/>
        </w:rPr>
        <w:t xml:space="preserve">O Indice de Hooper (fadiga, sono, stress, DOMS) e um instrumento de autorelato valido e sensivel para monitorizacao do estado de recuperacao em atletas. A Session-RPE (Foster 2001) quantifica a carga interna de treino pela multiplicacao do RPE (Borg CR-10) pela duracao da sessao, constituindo uma proxy fiavel da carga fisiologica interna.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Hooper &amp; Mackinnon (1995)</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Publicacao seminal do instrumento. Quatro itens: fadiga, qualidade do sono, stress, DOMS. Validado em atletas de alta competicao.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(validacao original)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1995</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Med Sci Sports Exerc (IF 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Foster et al. JSCR 2001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Session-RPE (RPE x duracao) como metrica valida de carga interna. Correlacao elevada com marcadores fisiologicos objectivos.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Alto (validacao prospetiva)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JSCR (IF 3.5)</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Neumann et al. Sports Med Open 2024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Fluctuacoes criticas no bem-estar como sinal de aviso precoce de lesao em futebol. Analise de series temporais com dados de monitorizacao diaria.</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(coorte prospetiva)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Sports Med 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Meta-analise futebol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Correlacoes significativas entre carga e bem-estar global, dor muscular, qualidade do sono, fadiga e stress. Intervalo de predicao inclui efeito nulo para todas as relacoes.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 (meta-analise)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Sci Med Football</w:t>
            </w:r>
          </w:p>
        </w:tc>
      </w:tr>
    </w:tbl>
    <w:p>
      <w:pPr>
        <w:spacing w:before="80" w:after="0"/>
      </w:pPr>
      <w:r>
        <w:t xml:space="preserve"/>
      </w:r>
    </w:p>
    <w:p>
      <w:pPr>
        <w:spacing w:before="60" w:after="80"/>
      </w:pPr>
      <w:r>
        <w:rPr>
          <w:rFonts w:ascii="Arial" w:cs="Arial" w:eastAsia="Arial" w:hAnsi="Arial"/>
          <w:sz w:val="20"/>
          <w:szCs w:val="20"/>
        </w:rPr>
        <w:t xml:space="preserve">Implicacao para o modelo: peso da fadiga ajustado de 0.15 para 0.13. O Hooper item fadiga e a variavel de autorelato mais sensivel para o estado de carga percebida. A session-RPE nao tem peso independente no score, sendo incorporada no calculo do ACWR de carga interna.</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3.6 TQR — Total Quality Recovery</w:t>
      </w:r>
    </w:p>
    <w:p>
      <w:pPr>
        <w:spacing w:before="60" w:after="80"/>
      </w:pPr>
      <w:r>
        <w:rPr>
          <w:rFonts w:ascii="Arial" w:cs="Arial" w:eastAsia="Arial" w:hAnsi="Arial"/>
          <w:sz w:val="20"/>
          <w:szCs w:val="20"/>
        </w:rPr>
        <w:t xml:space="preserve">A escala TQR (Kentta &amp; Hassmen 1998) e um instrumento de autorelato de recuperacao percebida numa escala de 6 a 20 pontos, espelhando a escala de Borg RPE. Permite uma avaliacao rapida da percepcao de recuperacao do atleta como complemento ao HRV e ao Hooper.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Kentta &amp; Hassmen 1998</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Publicacao e validacao original da escala TQR. Correlacao com RPE para avaliacao do equilibrio esforco-recuperacao.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(validacao original)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1998</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Sports Med (IF 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Heishman et al. 2017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TQR associado a marcadores de recuperacao neuromuscular em atletas de equipa. Sensibilidade moderada.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JSCR (IF 3.5)</w:t>
            </w:r>
          </w:p>
        </w:tc>
      </w:tr>
    </w:tbl>
    <w:p>
      <w:pPr>
        <w:spacing w:before="80" w:after="0"/>
      </w:pPr>
      <w:r>
        <w:t xml:space="preserve"/>
      </w:r>
    </w:p>
    <w:p>
      <w:pPr>
        <w:spacing w:before="60" w:after="80"/>
      </w:pPr>
      <w:r>
        <w:rPr>
          <w:rFonts w:ascii="Arial" w:cs="Arial" w:eastAsia="Arial" w:hAnsi="Arial"/>
          <w:sz w:val="20"/>
          <w:szCs w:val="20"/>
        </w:rPr>
        <w:t xml:space="preserve">Implicacao para o modelo: peso levemente ajustado de 0.08 para 0.07. Nao existem revisoes sistematicas recentes especificas para TQR em futebol profissional. A escala mantem relevancia clinica pela sua rapidez de aplicacao e complementaridade com o HRV.</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3.7 Stress Percebido</w:t>
      </w:r>
    </w:p>
    <w:p>
      <w:pPr>
        <w:spacing w:before="60" w:after="80"/>
      </w:pPr>
      <w:r>
        <w:rPr>
          <w:rFonts w:ascii="Arial" w:cs="Arial" w:eastAsia="Arial" w:hAnsi="Arial"/>
          <w:sz w:val="20"/>
          <w:szCs w:val="20"/>
        </w:rPr>
        <w:t xml:space="preserve">O modelo de Andersen &amp; Williams (1988) estabeleceu o racional teorico para a relacao entre stress psicologico e risco de lesao. No entanto, a evidencia empirica especifica para futebol adulto profissional e mais fraca do que para outras variaveis do modelo, com estudos que mostram resultados inconsistentes.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Andersen &amp; Williams 1988</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Modelo teorico de stress e lesao desportiva. Referencia seminal para o racional psicologico.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Consenso (modelo teorico)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1988</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J Sport Exerc Psychol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Borato &amp; Pedroni 2022 (revisao sistematica)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Revisao em futebolistas jovens. Estudo com 53 jogadores de elite nao mostrou relacao clara entre stress psicologico e lesao. Relacao com doenca presente.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Fraco (revisao sistematica, populacao jovem)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EFDeportes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Tranaeus et al. Sports Med 2024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Consenso de 50 anos de investigacao em psicologia de lesao desportiva. Reconhece complexidade e natureza multifatorial.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Consenso internacional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Sports Med (IF 9.3)</w:t>
            </w:r>
          </w:p>
        </w:tc>
      </w:tr>
    </w:tbl>
    <w:p>
      <w:pPr>
        <w:spacing w:before="80" w:after="0"/>
      </w:pPr>
      <w:r>
        <w:t xml:space="preserve"/>
      </w:r>
    </w:p>
    <w:p>
      <w:pPr>
        <w:spacing w:before="60" w:after="80"/>
      </w:pPr>
      <w:r>
        <w:rPr>
          <w:rFonts w:ascii="Arial" w:cs="Arial" w:eastAsia="Arial" w:hAnsi="Arial"/>
          <w:sz w:val="20"/>
          <w:szCs w:val="20"/>
        </w:rPr>
        <w:t xml:space="preserve">Implicacao para o modelo: peso significativamente reduzido de 0.10 para 0.04. A variavel mantem-se no modelo pela sua relevancia teorica e pela facilidade de recolha, mas com peso que reflecte a evidencia empirica limitada na populacao-alvo (futebolistas profissionais adultos).</w:t>
      </w:r>
    </w:p>
    <w:p>
      <w:pPr>
        <w:spacing w:before="80" w:after="0"/>
      </w:pPr>
      <w:r>
        <w:t xml:space="preserve"/>
      </w:r>
    </w:p>
    <w:p>
      <w:pPr>
        <w:pStyle w:val="Heading2"/>
        <w:spacing w:before="280" w:after="120"/>
      </w:pPr>
      <w:r>
        <w:rPr>
          <w:rFonts w:ascii="Arial" w:cs="Arial" w:eastAsia="Arial" w:hAnsi="Arial"/>
          <w:b/>
          <w:bCs/>
          <w:color w:val="1B3A5C"/>
          <w:sz w:val="24"/>
          <w:szCs w:val="24"/>
        </w:rPr>
        <w:t xml:space="preserve">3.8 Novas Variaveis — Versao 1.1</w:t>
      </w:r>
    </w:p>
    <w:p>
      <w:pPr>
        <w:spacing w:before="200" w:after="80"/>
      </w:pPr>
      <w:r>
        <w:rPr>
          <w:rFonts w:ascii="Arial" w:cs="Arial" w:eastAsia="Arial" w:hAnsi="Arial"/>
          <w:b/>
          <w:bCs/>
          <w:color w:val="2E75B6"/>
          <w:sz w:val="22"/>
          <w:szCs w:val="22"/>
        </w:rPr>
        <w:t xml:space="preserve">3.8.1 Desaceleracoes de Alta Intensidade (&gt; 3 m/s2)</w:t>
      </w:r>
    </w:p>
    <w:p>
      <w:pPr>
        <w:spacing w:before="60" w:after="80"/>
      </w:pPr>
      <w:r>
        <w:rPr>
          <w:rFonts w:ascii="Arial" w:cs="Arial" w:eastAsia="Arial" w:hAnsi="Arial"/>
          <w:sz w:val="20"/>
          <w:szCs w:val="20"/>
        </w:rPr>
        <w:t xml:space="preserve">As desaceleracoes de alta intensidade geram stress mecanico excentrico elevado nos isquiotibiais, quadriceps e tendao rotuliano. Sao calculaveis diariamente a partir dos dados GPS existentes, sem equipamento adicional, e independentes do tipo de sessao (ao contrario da velocidade maxima).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Saberisani et al. Front Sports 2025</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ACWR das desaceleracoes teve o maior poder preditivo de lesao entre todas as variaveis GPS: AUC=0.91, recall=87.5%, accuracy=94.7%. Amostra: 25 jogadores, 1 epoca, liga iraniana.</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(amostra pequena, liga de nivel inferior)</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Frontiers Sports (IF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Piłka et al. Sensors 2023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Modelos de predicao de lesao baseados em GPS. Aceleracoes e desaceleracoes &gt; 2-3 m/s2 identificadas como variaveis de alta carga metabolica e mecanica.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Sensors (IF 3.9)</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Silva et al. Sci Med Football 2023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Revisao sistematica de aceleracoes e desaceleracoes em sessoes de treino de futebol. Definicao de limiares por posicao.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(revisao)</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2023</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Sci Med Football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Muñoz-Castellanos et al. 2022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Periodo congestionado associado a perfil diferente de desaceleracoes de alta intensidade por posicao.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 Funct Morphol Kinesiol</w:t>
            </w:r>
          </w:p>
        </w:tc>
      </w:tr>
    </w:tbl>
    <w:p>
      <w:pPr>
        <w:spacing w:before="40" w:after="60"/>
        <w:ind w:left="360"/>
      </w:pPr>
      <w:r>
        <w:rPr>
          <w:rFonts w:ascii="Arial" w:cs="Arial" w:eastAsia="Arial" w:hAnsi="Arial"/>
          <w:i/>
          <w:iCs/>
          <w:color w:val="444444"/>
          <w:sz w:val="18"/>
          <w:szCs w:val="18"/>
        </w:rPr>
        <w:t xml:space="preserve">Limitacao reconhecida: o estudo com AUC=0.91 tem amostra pequena e sem validacao externa. O peso atribuido (0.04) reflecte esta limitacao. A calibracao empirica com dados FPF clarificara o contributo real desta variavel.</w:t>
      </w:r>
    </w:p>
    <w:p>
      <w:pPr>
        <w:spacing w:before="80" w:after="0"/>
      </w:pPr>
      <w:r>
        <w:t xml:space="preserve"/>
      </w:r>
    </w:p>
    <w:p>
      <w:pPr>
        <w:spacing w:before="200" w:after="80"/>
      </w:pPr>
      <w:r>
        <w:rPr>
          <w:rFonts w:ascii="Arial" w:cs="Arial" w:eastAsia="Arial" w:hAnsi="Arial"/>
          <w:b/>
          <w:bCs/>
          <w:color w:val="2E75B6"/>
          <w:sz w:val="22"/>
          <w:szCs w:val="22"/>
        </w:rPr>
        <w:t xml:space="preserve">3.8.2 Dias desde o Ultimo Jogo (MD+n)</w:t>
      </w:r>
    </w:p>
    <w:p>
      <w:pPr>
        <w:spacing w:before="60" w:after="80"/>
      </w:pPr>
      <w:r>
        <w:rPr>
          <w:rFonts w:ascii="Arial" w:cs="Arial" w:eastAsia="Arial" w:hAnsi="Arial"/>
          <w:sz w:val="20"/>
          <w:szCs w:val="20"/>
        </w:rPr>
        <w:t xml:space="preserve">A recuperacao neuromuscular apos jogo de futebol profissional de alta intensidade nao esta completa ate MD+72h na maioria dos jogadores. Em contexto de selecao nacional, os atletas chegam frequentemente em MD+1 ou MD+2 do clube, um estado de recuperacao incompleto que o modelo deve capturar explicitamente.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Chang et al. Appl Sci 2024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Idade, media de minutos por jogo e contexto competitivo sao indicadores significativos de incidencia de lesao na Premier League (532 jogadores).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(coorte retrospetiva)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Appl Sci (IF 2.7)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Zhang et al. Sports Med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Curso temporal do risco de lesao apos RTP em futebol profissional. Periodo de vulnerabilidade elevada nas primeiras semanas.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Moderado-alto (prospetivo)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Sports Med (IF 9.3)</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Page et al. Sports Med 2023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Revisao sistematica dos efeitos de congestao de jogos em lesoes no futebol masculino profissional. Relacao significativa entre jogos em 3 dias e incidencia de lesao.</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(revisao sistematica)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2023</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Sports Med (IF 9.3)</w:t>
            </w:r>
          </w:p>
        </w:tc>
      </w:tr>
    </w:tbl>
    <w:p>
      <w:pPr>
        <w:spacing w:before="60" w:after="80"/>
      </w:pPr>
      <w:r>
        <w:rPr>
          <w:rFonts w:ascii="Arial" w:cs="Arial" w:eastAsia="Arial" w:hAnsi="Arial"/>
          <w:sz w:val="20"/>
          <w:szCs w:val="20"/>
        </w:rPr>
        <w:t xml:space="preserve">Implicacao para o modelo: peso inicial 0.02, calculado automaticamente a partir do calendario competitivo sem autorelato do atleta. Limiares: MD+1 = risco maximo; MD+2 a MD+3 = risco moderado; MD+4 ou mais = risco baixo.</w:t>
      </w:r>
    </w:p>
    <w:p>
      <w:pPr>
        <w:pBdr>
          <w:bottom w:val="single" w:color="DDDDDD" w:sz="4" w:space="1"/>
        </w:pBdr>
        <w:spacing w:before="160" w:after="160"/>
      </w:pPr>
      <w:r>
        <w:t xml:space="preserve"/>
      </w:r>
    </w:p>
    <w:p>
      <w:pPr>
        <w:pStyle w:val="Heading1"/>
        <w:spacing w:before="360" w:after="160"/>
      </w:pPr>
      <w:r>
        <w:rPr>
          <w:rFonts w:ascii="Arial" w:cs="Arial" w:eastAsia="Arial" w:hAnsi="Arial"/>
          <w:b/>
          <w:bCs/>
          <w:color w:val="1B3A5C"/>
          <w:sz w:val="28"/>
          <w:szCs w:val="28"/>
        </w:rPr>
        <w:t xml:space="preserve">4. Fundamentacao para Remocao da Crioterapia</w:t>
      </w:r>
    </w:p>
    <w:p>
      <w:pPr>
        <w:spacing w:before="60" w:after="80"/>
      </w:pPr>
      <w:r>
        <w:rPr>
          <w:rFonts w:ascii="Arial" w:cs="Arial" w:eastAsia="Arial" w:hAnsi="Arial"/>
          <w:sz w:val="20"/>
          <w:szCs w:val="20"/>
        </w:rPr>
        <w:t xml:space="preserve">A crioterapia foi incluida na versao 1.0 do modelo como variavel de recuperacao. A revisao da literatura justifica a sua remocao do score preditivo com base em tres argumentos independentes.</w:t>
      </w:r>
    </w:p>
    <w:p>
      <w:pPr>
        <w:spacing w:before="80" w:after="0"/>
      </w:pPr>
      <w:r>
        <w:t xml:space="preserve"/>
      </w:r>
    </w:p>
    <w:p>
      <w:pPr>
        <w:pStyle w:val="ListParagraph"/>
        <w:numPr>
          <w:ilvl w:val="0"/>
          <w:numId w:val="2"/>
        </w:numPr>
        <w:spacing w:before="40" w:after="40"/>
      </w:pPr>
      <w:r>
        <w:rPr>
          <w:rFonts w:ascii="Arial" w:cs="Arial" w:eastAsia="Arial" w:hAnsi="Arial"/>
          <w:b/>
          <w:bCs/>
          <w:sz w:val="20"/>
          <w:szCs w:val="20"/>
        </w:rPr>
        <w:t xml:space="preserve">1. </w:t>
      </w:r>
      <w:r>
        <w:rPr>
          <w:rFonts w:ascii="Arial" w:cs="Arial" w:eastAsia="Arial" w:hAnsi="Arial"/>
          <w:sz w:val="20"/>
          <w:szCs w:val="20"/>
        </w:rPr>
        <w:t xml:space="preserve">Erro de causalidade: a crioterapia e uma intervencao de recuperacao, nao um factor de risco. A sua ausencia nao causa lesao — a sua presenca pode reduzir marcadores de dano muscular. Incluir a crioterapia como input do score preditivo invertia a logica de causalidade.</w:t>
      </w:r>
    </w:p>
    <w:p>
      <w:pPr>
        <w:pStyle w:val="ListParagraph"/>
        <w:numPr>
          <w:ilvl w:val="0"/>
          <w:numId w:val="2"/>
        </w:numPr>
        <w:spacing w:before="40" w:after="40"/>
      </w:pPr>
      <w:r>
        <w:rPr>
          <w:rFonts w:ascii="Arial" w:cs="Arial" w:eastAsia="Arial" w:hAnsi="Arial"/>
          <w:b/>
          <w:bCs/>
          <w:sz w:val="20"/>
          <w:szCs w:val="20"/>
        </w:rPr>
        <w:t xml:space="preserve">2. </w:t>
      </w:r>
      <w:r>
        <w:rPr>
          <w:rFonts w:ascii="Arial" w:cs="Arial" w:eastAsia="Arial" w:hAnsi="Arial"/>
          <w:sz w:val="20"/>
          <w:szCs w:val="20"/>
        </w:rPr>
        <w:t xml:space="preserve">Efeito bidirecional documentado: Racinais et al. (BJSM 2024) demonstraram que a crioterapia reduz a resposta inflamatoria mas atrasa a regeneracao muscular em lesoes com necrose de uma fracao significativa de miofibrillas. O efeito e contexto-dependente e nao linearizavel num score.</w:t>
      </w:r>
    </w:p>
    <w:p>
      <w:pPr>
        <w:pStyle w:val="ListParagraph"/>
        <w:numPr>
          <w:ilvl w:val="0"/>
          <w:numId w:val="2"/>
        </w:numPr>
        <w:spacing w:before="40" w:after="40"/>
      </w:pPr>
      <w:r>
        <w:rPr>
          <w:rFonts w:ascii="Arial" w:cs="Arial" w:eastAsia="Arial" w:hAnsi="Arial"/>
          <w:b/>
          <w:bCs/>
          <w:sz w:val="20"/>
          <w:szCs w:val="20"/>
        </w:rPr>
        <w:t xml:space="preserve">3. </w:t>
      </w:r>
      <w:r>
        <w:rPr>
          <w:rFonts w:ascii="Arial" w:cs="Arial" w:eastAsia="Arial" w:hAnsi="Arial"/>
          <w:sz w:val="20"/>
          <w:szCs w:val="20"/>
        </w:rPr>
        <w:t xml:space="preserve">Metricas erradas: toda a literatura sobre crioterapia mede CK, DOMS e capacidade de salto apos exercicio — nao risco de lesao prospetivo. Nao existe nenhum estudo que demonstre que a ausencia de crioterapia nos N dias anteriores prediz lesao nos proximos 14 dias.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900"/>
        <w:gridCol w:w="1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Referência</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Contribuição principal</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Nível evidência</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Ano</w:t>
            </w:r>
          </w:p>
        </w:tc>
        <w:tc>
          <w:tcPr>
            <w:tcW w:type="dxa" w:w="1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Journal (IF)</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Racinais et al. BJSM 2024</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Revisao critica da crioterapia em medicina desportiva. Efeito analgésico bem estabelecido. Reducao inflamacao mas atraso na regeneracao muscular em lesoes graves.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Alto (revisao critica)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2024</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BJSM (IF 18.4)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Wang et al. Front Physiol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Meta-analise de doses de crioterapia. CWI 10-15min, 11-15 C reduz CK significativamente. Temperaturas muito baixas podem causar rigidez muscular.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Alto (meta-analise RCTs)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 Physiol (IF 5.3)</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Vos et al. 2026 (revisao sistematica)</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CWI apos jogo em futebolistas. Evidencia insuficiente para recomendacoes definitivas sobre recuperacao funcional.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Moderado (revisao sistematica)</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2025/26</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PMC / Cochrane</w:t>
            </w:r>
          </w:p>
        </w:tc>
      </w:tr>
    </w:tbl>
    <w:p>
      <w:pPr>
        <w:spacing w:before="60" w:after="80"/>
      </w:pPr>
      <w:r>
        <w:rPr>
          <w:rFonts w:ascii="Arial" w:cs="Arial" w:eastAsia="Arial" w:hAnsi="Arial"/>
          <w:sz w:val="20"/>
          <w:szCs w:val="20"/>
        </w:rPr>
        <w:t xml:space="preserve">Decisao final: a crioterapia mantem-se na plataforma como variavel de monitorizacao da recuperacao e como recomendacao de intervencao quando o score de risco e elevado. Nao entra no calculo do score preditivo.</w:t>
      </w:r>
    </w:p>
    <w:p>
      <w:pPr>
        <w:pBdr>
          <w:bottom w:val="single" w:color="DDDDDD" w:sz="4" w:space="1"/>
        </w:pBdr>
        <w:spacing w:before="160" w:after="160"/>
      </w:pPr>
      <w:r>
        <w:t xml:space="preserve"/>
      </w:r>
    </w:p>
    <w:p>
      <w:pPr>
        <w:pStyle w:val="Heading1"/>
        <w:spacing w:before="360" w:after="160"/>
      </w:pPr>
      <w:r>
        <w:rPr>
          <w:rFonts w:ascii="Arial" w:cs="Arial" w:eastAsia="Arial" w:hAnsi="Arial"/>
          <w:b/>
          <w:bCs/>
          <w:color w:val="1B3A5C"/>
          <w:sz w:val="28"/>
          <w:szCs w:val="28"/>
        </w:rPr>
        <w:t xml:space="preserve">5. Limitacoes da Base Cientifica Atual</w:t>
      </w:r>
    </w:p>
    <w:p>
      <w:pPr>
        <w:spacing w:before="60" w:after="80"/>
      </w:pPr>
      <w:r>
        <w:rPr>
          <w:rFonts w:ascii="Arial" w:cs="Arial" w:eastAsia="Arial" w:hAnsi="Arial"/>
          <w:sz w:val="20"/>
          <w:szCs w:val="20"/>
        </w:rPr>
        <w:t xml:space="preserve">A apresentacao desta revisao de literatura deve ser acompanhada de uma discussao honesta das limitacoes que afetam a base cientifica do modelo na sua versao 1.1.</w:t>
      </w:r>
    </w:p>
    <w:p>
      <w:pPr>
        <w:spacing w:before="80" w:after="0"/>
      </w:pPr>
      <w:r>
        <w:t xml:space="preserve"/>
      </w:r>
    </w:p>
    <w:p>
      <w:pPr>
        <w:pStyle w:val="ListParagraph"/>
        <w:numPr>
          <w:ilvl w:val="0"/>
          <w:numId w:val="2"/>
        </w:numPr>
        <w:spacing w:before="40" w:after="40"/>
      </w:pPr>
      <w:r>
        <w:rPr>
          <w:rFonts w:ascii="Arial" w:cs="Arial" w:eastAsia="Arial" w:hAnsi="Arial"/>
          <w:b/>
          <w:bCs/>
          <w:sz w:val="20"/>
          <w:szCs w:val="20"/>
        </w:rPr>
        <w:t xml:space="preserve">1. </w:t>
      </w:r>
      <w:r>
        <w:rPr>
          <w:rFonts w:ascii="Arial" w:cs="Arial" w:eastAsia="Arial" w:hAnsi="Arial"/>
          <w:sz w:val="20"/>
          <w:szCs w:val="20"/>
        </w:rPr>
        <w:t xml:space="preserve">Ausencia de meta-analise que quantifique o peso relativo de cada variavel em populacoes de futebol de elite. Os pesos atuais sao derivados de julgamento de perito informado pela literatura, nao de estimativas empiricas directas.</w:t>
      </w:r>
    </w:p>
    <w:p>
      <w:pPr>
        <w:pStyle w:val="ListParagraph"/>
        <w:numPr>
          <w:ilvl w:val="0"/>
          <w:numId w:val="2"/>
        </w:numPr>
        <w:spacing w:before="40" w:after="40"/>
      </w:pPr>
      <w:r>
        <w:rPr>
          <w:rFonts w:ascii="Arial" w:cs="Arial" w:eastAsia="Arial" w:hAnsi="Arial"/>
          <w:b/>
          <w:bCs/>
          <w:sz w:val="20"/>
          <w:szCs w:val="20"/>
        </w:rPr>
        <w:t xml:space="preserve">2. </w:t>
      </w:r>
      <w:r>
        <w:rPr>
          <w:rFonts w:ascii="Arial" w:cs="Arial" w:eastAsia="Arial" w:hAnsi="Arial"/>
          <w:sz w:val="20"/>
          <w:szCs w:val="20"/>
        </w:rPr>
        <w:t xml:space="preserve">Heterogeneidade das populacoes estudadas: muitos estudos usam futebolistas jovens, semiprofissionais, ou de ligas de nivel inferior. A extrapolacao para o futebol de selecao nacional e feita com cautela.</w:t>
      </w:r>
    </w:p>
    <w:p>
      <w:pPr>
        <w:pStyle w:val="ListParagraph"/>
        <w:numPr>
          <w:ilvl w:val="0"/>
          <w:numId w:val="2"/>
        </w:numPr>
        <w:spacing w:before="40" w:after="40"/>
      </w:pPr>
      <w:r>
        <w:rPr>
          <w:rFonts w:ascii="Arial" w:cs="Arial" w:eastAsia="Arial" w:hAnsi="Arial"/>
          <w:b/>
          <w:bCs/>
          <w:sz w:val="20"/>
          <w:szCs w:val="20"/>
        </w:rPr>
        <w:t xml:space="preserve">3. </w:t>
      </w:r>
      <w:r>
        <w:rPr>
          <w:rFonts w:ascii="Arial" w:cs="Arial" w:eastAsia="Arial" w:hAnsi="Arial"/>
          <w:sz w:val="20"/>
          <w:szCs w:val="20"/>
        </w:rPr>
        <w:t xml:space="preserve">ACWR: a controversia metodologica e genuina e nao esta resolvida na literatura. A versao 1.1 mantem o ACWR com peso reduzido, reconhecendo esta incerteza.</w:t>
      </w:r>
    </w:p>
    <w:p>
      <w:pPr>
        <w:pStyle w:val="ListParagraph"/>
        <w:numPr>
          <w:ilvl w:val="0"/>
          <w:numId w:val="2"/>
        </w:numPr>
        <w:spacing w:before="40" w:after="40"/>
      </w:pPr>
      <w:r>
        <w:rPr>
          <w:rFonts w:ascii="Arial" w:cs="Arial" w:eastAsia="Arial" w:hAnsi="Arial"/>
          <w:b/>
          <w:bCs/>
          <w:sz w:val="20"/>
          <w:szCs w:val="20"/>
        </w:rPr>
        <w:t xml:space="preserve">4. </w:t>
      </w:r>
      <w:r>
        <w:rPr>
          <w:rFonts w:ascii="Arial" w:cs="Arial" w:eastAsia="Arial" w:hAnsi="Arial"/>
          <w:sz w:val="20"/>
          <w:szCs w:val="20"/>
        </w:rPr>
        <w:t xml:space="preserve">Tamanhos de amostra limitados: varios estudos relevantes (incluindo o mais recente sobre desaceleracoes) usam amostras de 25-35 jogadores. Os valores de AUC reportados sao provavelmente inflacionados por overfitting.</w:t>
      </w:r>
    </w:p>
    <w:p>
      <w:pPr>
        <w:pStyle w:val="ListParagraph"/>
        <w:numPr>
          <w:ilvl w:val="0"/>
          <w:numId w:val="2"/>
        </w:numPr>
        <w:spacing w:before="40" w:after="40"/>
      </w:pPr>
      <w:r>
        <w:rPr>
          <w:rFonts w:ascii="Arial" w:cs="Arial" w:eastAsia="Arial" w:hAnsi="Arial"/>
          <w:b/>
          <w:bCs/>
          <w:sz w:val="20"/>
          <w:szCs w:val="20"/>
        </w:rPr>
        <w:t xml:space="preserve">5. </w:t>
      </w:r>
      <w:r>
        <w:rPr>
          <w:rFonts w:ascii="Arial" w:cs="Arial" w:eastAsia="Arial" w:hAnsi="Arial"/>
          <w:sz w:val="20"/>
          <w:szCs w:val="20"/>
        </w:rPr>
        <w:t xml:space="preserve">Contexto de selecao nacional: nao existem estudos especificos sobre predicao de lesao em contexto de estagios de selecao nacional, onde o acesso a dados historicos e estruturalmente limitado.</w:t>
      </w:r>
    </w:p>
    <w:p>
      <w:pPr>
        <w:spacing w:before="80" w:after="0"/>
      </w:pPr>
      <w:r>
        <w:t xml:space="preserve"/>
      </w:r>
    </w:p>
    <w:p>
      <w:pPr>
        <w:spacing w:before="60" w:after="80"/>
      </w:pPr>
      <w:r>
        <w:rPr>
          <w:rFonts w:ascii="Arial" w:cs="Arial" w:eastAsia="Arial" w:hAnsi="Arial"/>
          <w:sz w:val="20"/>
          <w:szCs w:val="20"/>
        </w:rPr>
        <w:t xml:space="preserve">Estas limitacoes sublinham a importancia da calibracao empirica com dados reais do piloto FPF, planeada para a Fase 2 do modelo (ver Plano de Implementacao).</w:t>
      </w:r>
    </w:p>
    <w:p>
      <w:pPr>
        <w:pBdr>
          <w:bottom w:val="single" w:color="DDDDDD" w:sz="4" w:space="1"/>
        </w:pBdr>
        <w:spacing w:before="160" w:after="160"/>
      </w:pPr>
      <w:r>
        <w:t xml:space="preserve"/>
      </w:r>
    </w:p>
    <w:p>
      <w:pPr>
        <w:pStyle w:val="Heading1"/>
        <w:spacing w:before="360" w:after="160"/>
      </w:pPr>
      <w:r>
        <w:rPr>
          <w:rFonts w:ascii="Arial" w:cs="Arial" w:eastAsia="Arial" w:hAnsi="Arial"/>
          <w:b/>
          <w:bCs/>
          <w:color w:val="1B3A5C"/>
          <w:sz w:val="28"/>
          <w:szCs w:val="28"/>
        </w:rPr>
        <w:t xml:space="preserve">6. Estrategia de Validacao Cientifica</w:t>
      </w:r>
    </w:p>
    <w:p>
      <w:pPr>
        <w:spacing w:before="60" w:after="80"/>
      </w:pPr>
      <w:r>
        <w:rPr>
          <w:rFonts w:ascii="Arial" w:cs="Arial" w:eastAsia="Arial" w:hAnsi="Arial"/>
          <w:sz w:val="20"/>
          <w:szCs w:val="20"/>
        </w:rPr>
        <w:t xml:space="preserve">Os dados do piloto FPF constituem uma oportunidade unica de validacao do modelo em condicoes reais de alta competicao. A estrategia de validacao planeada segue a hierarquia de evidencia recomendada para modelos de predicao clinica (TRIPOD guidelines).</w:t>
      </w:r>
    </w:p>
    <w:p>
      <w:pPr>
        <w:spacing w:before="80" w:after="0"/>
      </w:pPr>
      <w:r>
        <w:t xml:space="preserve"/>
      </w:r>
    </w:p>
    <w:p>
      <w:pPr>
        <w:pStyle w:val="ListParagraph"/>
        <w:numPr>
          <w:ilvl w:val="0"/>
          <w:numId w:val="2"/>
        </w:numPr>
        <w:spacing w:before="40" w:after="40"/>
      </w:pPr>
      <w:r>
        <w:rPr>
          <w:rFonts w:ascii="Arial" w:cs="Arial" w:eastAsia="Arial" w:hAnsi="Arial"/>
          <w:b/>
          <w:bCs/>
          <w:sz w:val="20"/>
          <w:szCs w:val="20"/>
        </w:rPr>
        <w:t xml:space="preserve">Fase 2: </w:t>
      </w:r>
      <w:r>
        <w:rPr>
          <w:rFonts w:ascii="Arial" w:cs="Arial" w:eastAsia="Arial" w:hAnsi="Arial"/>
          <w:sz w:val="20"/>
          <w:szCs w:val="20"/>
        </w:rPr>
        <w:t xml:space="preserve">Fase 2 — calibracao empirica: apos registo de aproximadamente 30 eventos de lesao, regressao logistica sobre score_history dos 14 dias anteriores a cada lesao. Os coeficientes normalizados substituem os pesos de perito actuais.</w:t>
      </w:r>
    </w:p>
    <w:p>
      <w:pPr>
        <w:pStyle w:val="ListParagraph"/>
        <w:numPr>
          <w:ilvl w:val="0"/>
          <w:numId w:val="2"/>
        </w:numPr>
        <w:spacing w:before="40" w:after="40"/>
      </w:pPr>
      <w:r>
        <w:rPr>
          <w:rFonts w:ascii="Arial" w:cs="Arial" w:eastAsia="Arial" w:hAnsi="Arial"/>
          <w:b/>
          <w:bCs/>
          <w:sz w:val="20"/>
          <w:szCs w:val="20"/>
        </w:rPr>
        <w:t xml:space="preserve">Fase 3: </w:t>
      </w:r>
      <w:r>
        <w:rPr>
          <w:rFonts w:ascii="Arial" w:cs="Arial" w:eastAsia="Arial" w:hAnsi="Arial"/>
          <w:sz w:val="20"/>
          <w:szCs w:val="20"/>
        </w:rPr>
        <w:t xml:space="preserve">Fase 3 — modelo hibrido: incorporacao de SHAP values para manter interpretabilidade com pesos aprendidos. Versao publicavel com validacao prospetiva.</w:t>
      </w:r>
    </w:p>
    <w:p>
      <w:pPr>
        <w:pStyle w:val="ListParagraph"/>
        <w:numPr>
          <w:ilvl w:val="0"/>
          <w:numId w:val="2"/>
        </w:numPr>
        <w:spacing w:before="40" w:after="40"/>
      </w:pPr>
      <w:r>
        <w:rPr>
          <w:rFonts w:ascii="Arial" w:cs="Arial" w:eastAsia="Arial" w:hAnsi="Arial"/>
          <w:b/>
          <w:bCs/>
          <w:sz w:val="20"/>
          <w:szCs w:val="20"/>
        </w:rPr>
        <w:t xml:space="preserve">Publicacao: </w:t>
      </w:r>
      <w:r>
        <w:rPr>
          <w:rFonts w:ascii="Arial" w:cs="Arial" w:eastAsia="Arial" w:hAnsi="Arial"/>
          <w:sz w:val="20"/>
          <w:szCs w:val="20"/>
        </w:rPr>
        <w:t xml:space="preserve">Publicacao cientifica: os resultados do piloto FPF com pelo menos 2 epocas de dados constituem material para publicacao no BJSM ou Sports Medicine. Co-autoria FPF-PhysioElite. Validacao externa em segundo clube ou selecao nacional parceira.</w:t>
      </w:r>
    </w:p>
    <w:p>
      <w:pPr>
        <w:spacing w:before="160" w:after="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PhysioElite FPF — Revisao de Literatura · Modelo Preditivo de Lesao</w:t>
    </w:r>
    <w:r>
      <w:rPr>
        <w:rFonts w:ascii="Arial" w:cs="Arial" w:eastAsia="Arial" w:hAnsi="Arial"/>
        <w:color w:val="888888"/>
        <w:sz w:val="16"/>
        <w:szCs w:val="16"/>
      </w:rPr>
      <w:t xml:space="preserve">	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2026-04-07T18:41:07.966Z</dcterms:created>
  <dcterms:modified xsi:type="dcterms:W3CDTF">2026-04-07T18:41:07.967Z</dcterms:modified>
</cp:coreProperties>
</file>

<file path=docProps/custom.xml><?xml version="1.0" encoding="utf-8"?>
<Properties xmlns="http://schemas.openxmlformats.org/officeDocument/2006/custom-properties" xmlns:vt="http://schemas.openxmlformats.org/officeDocument/2006/docPropsVTypes"/>
</file>