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21A8"/>
          <w:sz w:val="36"/>
          <w:szCs w:val="36"/>
        </w:rPr>
        <w:t xml:space="preserve">ACS INTEGRATED UNIT PLAN — WRITING (PRIMARY)</w:t>
      </w:r>
    </w:p>
    <w:p>
      <w:pPr>
        <w:spacing w:after="200"/>
      </w:pPr>
      <w:r>
        <w:rPr>
          <w:rFonts w:ascii="Calibri" w:cs="Calibri" w:eastAsia="Calibri" w:hAnsi="Calibri"/>
          <w:color w:val="0F766E"/>
          <w:sz w:val="26"/>
          <w:szCs w:val="26"/>
        </w:rPr>
        <w:t xml:space="preserve">Term 2 Writing Focus · Explanation &amp; Report · “How Does That Work?”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2400"/>
        <w:gridCol w:w="2400"/>
      </w:tblGrid>
      <w:tr>
        <w:trPr>
          <w:tblHeader/>
        </w:trPr>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Year Level/s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Curriculum Progression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Duration</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Weeks</w:t>
            </w:r>
          </w:p>
        </w:tc>
        <w:tc>
          <w:tcPr>
            <w:tcW w:type="dxa" w:w="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Lesson length</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Years 5–6 (ages 9–12)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NZC English — Phase 2</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weeks</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Term Two</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Weeks 1–10</w:t>
            </w:r>
          </w:p>
        </w:tc>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25 min × 5 days</w:t>
            </w:r>
          </w:p>
        </w:tc>
      </w:tr>
    </w:tbl>
    <w:p>
      <w:pPr>
        <w:spacing w:after="120" w:before="200"/>
      </w:pPr>
      <w:r>
        <w:rPr>
          <w:rFonts w:ascii="Calibri" w:cs="Calibri" w:eastAsia="Calibri" w:hAnsi="Calibri"/>
          <w:b/>
          <w:bCs/>
          <w:color w:val="6B21A8"/>
          <w:sz w:val="34"/>
          <w:szCs w:val="34"/>
        </w:rPr>
        <w:t xml:space="preserve">UNDERSTAND</w:t>
      </w:r>
    </w:p>
    <w:p>
      <w:pPr>
        <w:pBdr>
          <w:bottom w:val="single" w:color="CCCCCC" w:sz="6"/>
        </w:pBdr>
        <w:spacing w:after="90" w:before="180"/>
      </w:pPr>
      <w:r>
        <w:rPr>
          <w:rFonts w:ascii="Calibri" w:cs="Calibri" w:eastAsia="Calibri" w:hAnsi="Calibri"/>
          <w:b/>
          <w:bCs/>
          <w:color w:val="0F766E"/>
          <w:sz w:val="26"/>
          <w:szCs w:val="26"/>
        </w:rPr>
        <w:t xml:space="preserve">Universal Concept</w:t>
      </w:r>
    </w:p>
    <w:p>
      <w:pPr>
        <w:spacing w:after="80" w:before="0"/>
      </w:pPr>
      <w:r>
        <w:rPr>
          <w:rFonts w:ascii="Calibri" w:cs="Calibri" w:eastAsia="Calibri" w:hAnsi="Calibri"/>
          <w:b/>
          <w:bCs/>
          <w:color w:val="1A1726"/>
          <w:sz w:val="20"/>
          <w:szCs w:val="20"/>
        </w:rPr>
        <w:t xml:space="preserve">“Wonder and Order — The World Is Made of Systems We Can Understand”</w:t>
      </w:r>
    </w:p>
    <w:p>
      <w:pPr>
        <w:pStyle w:val="ListParagraph"/>
        <w:numPr>
          <w:ilvl w:val="0"/>
          <w:numId w:val="1"/>
        </w:numPr>
        <w:spacing w:after="40" w:before="0"/>
      </w:pPr>
      <w:r>
        <w:rPr>
          <w:rFonts w:ascii="Calibri" w:cs="Calibri" w:eastAsia="Calibri" w:hAnsi="Calibri"/>
          <w:color w:val="1A1726"/>
          <w:sz w:val="19"/>
          <w:szCs w:val="19"/>
        </w:rPr>
        <w:t xml:space="preserve">Order and design — the world is ordered, not random, and that order can be investigated.</w:t>
      </w:r>
    </w:p>
    <w:p>
      <w:pPr>
        <w:pStyle w:val="ListParagraph"/>
        <w:numPr>
          <w:ilvl w:val="0"/>
          <w:numId w:val="1"/>
        </w:numPr>
        <w:spacing w:after="40" w:before="0"/>
      </w:pPr>
      <w:r>
        <w:rPr>
          <w:rFonts w:ascii="Calibri" w:cs="Calibri" w:eastAsia="Calibri" w:hAnsi="Calibri"/>
          <w:color w:val="1A1726"/>
          <w:sz w:val="19"/>
          <w:szCs w:val="19"/>
        </w:rPr>
        <w:t xml:space="preserve">Cause and effect — every step in a system is caused by the step before it.</w:t>
      </w:r>
    </w:p>
    <w:p>
      <w:pPr>
        <w:pStyle w:val="ListParagraph"/>
        <w:numPr>
          <w:ilvl w:val="0"/>
          <w:numId w:val="1"/>
        </w:numPr>
        <w:spacing w:after="40" w:before="0"/>
      </w:pPr>
      <w:r>
        <w:rPr>
          <w:rFonts w:ascii="Calibri" w:cs="Calibri" w:eastAsia="Calibri" w:hAnsi="Calibri"/>
          <w:color w:val="1A1726"/>
          <w:sz w:val="19"/>
          <w:szCs w:val="19"/>
        </w:rPr>
        <w:t xml:space="preserve">Curiosity and inquiry — a good question is the beginning of real knowledge.</w:t>
      </w:r>
    </w:p>
    <w:p>
      <w:pPr>
        <w:pStyle w:val="ListParagraph"/>
        <w:numPr>
          <w:ilvl w:val="0"/>
          <w:numId w:val="1"/>
        </w:numPr>
        <w:spacing w:after="40" w:before="0"/>
      </w:pPr>
      <w:r>
        <w:rPr>
          <w:rFonts w:ascii="Calibri" w:cs="Calibri" w:eastAsia="Calibri" w:hAnsi="Calibri"/>
          <w:color w:val="1A1726"/>
          <w:sz w:val="19"/>
          <w:szCs w:val="19"/>
        </w:rPr>
        <w:t xml:space="preserve">Knowledge as service — we come to know something so that we can give it away.</w:t>
      </w:r>
    </w:p>
    <w:p>
      <w:pPr>
        <w:pStyle w:val="ListParagraph"/>
        <w:numPr>
          <w:ilvl w:val="0"/>
          <w:numId w:val="1"/>
        </w:numPr>
        <w:spacing w:after="40" w:before="0"/>
      </w:pPr>
      <w:r>
        <w:rPr>
          <w:rFonts w:ascii="Calibri" w:cs="Calibri" w:eastAsia="Calibri" w:hAnsi="Calibri"/>
          <w:color w:val="1A1726"/>
          <w:sz w:val="19"/>
          <w:szCs w:val="19"/>
        </w:rPr>
        <w:t xml:space="preserve">Kaitiakitanga — you can only care for what you understand.</w:t>
      </w:r>
    </w:p>
    <w:p>
      <w:pPr>
        <w:pBdr>
          <w:bottom w:val="single" w:color="CCCCCC" w:sz="6"/>
        </w:pBdr>
        <w:spacing w:after="90" w:before="180"/>
      </w:pPr>
      <w:r>
        <w:rPr>
          <w:rFonts w:ascii="Calibri" w:cs="Calibri" w:eastAsia="Calibri" w:hAnsi="Calibri"/>
          <w:b/>
          <w:bCs/>
          <w:color w:val="0F766E"/>
          <w:sz w:val="26"/>
          <w:szCs w:val="26"/>
        </w:rPr>
        <w:t xml:space="preserve">The Big Idea (Writing)</w:t>
      </w:r>
    </w:p>
    <w:p>
      <w:pPr>
        <w:spacing w:after="80" w:before="0"/>
      </w:pPr>
      <w:r>
        <w:rPr>
          <w:rFonts w:ascii="Calibri" w:cs="Calibri" w:eastAsia="Calibri" w:hAnsi="Calibri"/>
          <w:color w:val="1A1726"/>
          <w:sz w:val="20"/>
          <w:szCs w:val="20"/>
        </w:rPr>
        <w:t xml:space="preserve">Explaining is an act of noticing how something works and then making someone else understand it. If you cannot explain it to an eight-year-old, you do not understand it yet.</w:t>
      </w:r>
    </w:p>
    <w:p>
      <w:pPr>
        <w:spacing w:after="80" w:before="0"/>
      </w:pPr>
      <w:r>
        <w:rPr>
          <w:rFonts w:ascii="Calibri" w:cs="Calibri" w:eastAsia="Calibri" w:hAnsi="Calibri"/>
          <w:i/>
          <w:iCs/>
          <w:color w:val="1A1726"/>
          <w:sz w:val="19"/>
          <w:szCs w:val="19"/>
        </w:rPr>
        <w:t xml:space="preserve">Why Writing? (ACS Writing Snapshot): Through writing, ākonga build creative, critical and communicative thinking skills, preparing them to engage in diverse learning areas. Explanation writing is where writing meets every other subject in the school.</w:t>
      </w:r>
    </w:p>
    <w:p>
      <w:pPr>
        <w:pBdr>
          <w:bottom w:val="single" w:color="CCCCCC" w:sz="6"/>
        </w:pBdr>
        <w:spacing w:after="90" w:before="180"/>
      </w:pPr>
      <w:r>
        <w:rPr>
          <w:rFonts w:ascii="Calibri" w:cs="Calibri" w:eastAsia="Calibri" w:hAnsi="Calibri"/>
          <w:b/>
          <w:bCs/>
          <w:color w:val="0F766E"/>
          <w:sz w:val="26"/>
          <w:szCs w:val="26"/>
        </w:rPr>
        <w:t xml:space="preserve">Biblical Perspective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0"/>
      </w:tblGrid>
      <w:tr>
        <w:tc>
          <w:tcPr>
            <w:tcW w:type="dxa" w:w="24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Framework</w:t>
            </w:r>
          </w:p>
        </w:tc>
        <w:tc>
          <w:tcPr>
            <w:tcW w:type="dxa" w:w="120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Creation — the world is ordered and can be investigated. Explanation writing is the discipline of tracing that order and describing it accurately.</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Attributes of God</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God as Designer and Sustainer — “in Him all things hold together” (Colossians 1:17). The systems we explain are systems He holds.</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Principles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Learning about God and His plan for creation · Learning about people and how to think · Valuing and serving others (we explain in order to serve a reader).</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Motto &amp; Values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Soli Deo Gloria. Anchor value for Term 2: MŌHIO — Know: God, His story and our place in it.</w:t>
            </w:r>
          </w:p>
        </w:tc>
      </w:tr>
      <w:tr>
        <w:trPr>
          <w:tblHeader w:val="false"/>
        </w:trPr>
        <w:tc>
          <w:tcPr>
            <w:tcW w:type="dxa" w:w="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Key Scriptures</w:t>
            </w:r>
          </w:p>
        </w:tc>
        <w:tc>
          <w:tcPr>
            <w:tcW w:type="dxa" w:w="1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Psalm 19:1 (Wk 1) · Proverbs 25:2, searching a matter out (Wk 2) · Job 12:7–10 (Wk 3) · Psalm 111:2 (Wk 6) · Colossians 1:16–17 (Wk 10).</w:t>
            </w:r>
          </w:p>
        </w:tc>
      </w:tr>
    </w:tbl>
    <w:p>
      <w:pPr>
        <w:pBdr>
          <w:bottom w:val="single" w:color="CCCCCC" w:sz="6"/>
        </w:pBdr>
        <w:spacing w:after="90" w:before="180"/>
      </w:pPr>
      <w:r>
        <w:rPr>
          <w:rFonts w:ascii="Calibri" w:cs="Calibri" w:eastAsia="Calibri" w:hAnsi="Calibri"/>
          <w:b/>
          <w:bCs/>
          <w:color w:val="0F766E"/>
          <w:sz w:val="26"/>
          <w:szCs w:val="26"/>
        </w:rPr>
        <w:t xml:space="preserve">Throughline Question</w:t>
      </w:r>
    </w:p>
    <w:p>
      <w:pPr>
        <w:spacing w:after="80" w:before="0"/>
      </w:pPr>
      <w:r>
        <w:rPr>
          <w:rFonts w:ascii="Calibri" w:cs="Calibri" w:eastAsia="Calibri" w:hAnsi="Calibri"/>
          <w:b/>
          <w:bCs/>
          <w:color w:val="1A1726"/>
          <w:sz w:val="20"/>
          <w:szCs w:val="20"/>
        </w:rPr>
        <w:t xml:space="preserve">“How does it work — and can I make someone else understand it?”</w:t>
      </w:r>
    </w:p>
    <w:p>
      <w:pPr>
        <w:spacing w:after="80" w:before="0"/>
      </w:pPr>
      <w:r>
        <w:rPr>
          <w:rFonts w:ascii="Calibri" w:cs="Calibri" w:eastAsia="Calibri" w:hAnsi="Calibri"/>
          <w:color w:val="1A1726"/>
          <w:sz w:val="20"/>
          <w:szCs w:val="20"/>
        </w:rPr>
        <w:t xml:space="preserve">Unit throughline: what shapes our understanding of the world, and what do we owe the people we explain it to?</w:t>
      </w:r>
    </w:p>
    <w:p>
      <w:pPr>
        <w:pBdr>
          <w:bottom w:val="single" w:color="CCCCCC" w:sz="6"/>
        </w:pBdr>
        <w:spacing w:after="90" w:before="180"/>
      </w:pPr>
      <w:r>
        <w:rPr>
          <w:rFonts w:ascii="Calibri" w:cs="Calibri" w:eastAsia="Calibri" w:hAnsi="Calibri"/>
          <w:b/>
          <w:bCs/>
          <w:color w:val="0F766E"/>
          <w:sz w:val="26"/>
          <w:szCs w:val="26"/>
        </w:rPr>
        <w:t xml:space="preserve">Mātauranga Māori Concepts and Te Tiriti Considerations</w:t>
      </w:r>
    </w:p>
    <w:p>
      <w:pPr>
        <w:spacing w:after="80" w:before="0"/>
      </w:pPr>
      <w:r>
        <w:rPr>
          <w:rFonts w:ascii="Calibri" w:cs="Calibri" w:eastAsia="Calibri" w:hAnsi="Calibri"/>
          <w:color w:val="1A1726"/>
          <w:sz w:val="20"/>
          <w:szCs w:val="20"/>
        </w:rPr>
        <w:t xml:space="preserve">Kaitiakitanga — guardianship. You cannot care for a system you do not understand, which makes explanation writing a form of guardianship. Where topics allow, students are steered toward te taiao (the natural world) and local systems: an awa, an estuary, a native bird’s migration, a maramataka observation.</w:t>
      </w:r>
    </w:p>
    <w:p>
      <w:pPr>
        <w:spacing w:after="80" w:before="0"/>
      </w:pPr>
      <w:r>
        <w:rPr>
          <w:rFonts w:ascii="Calibri" w:cs="Calibri" w:eastAsia="Calibri" w:hAnsi="Calibri"/>
          <w:color w:val="1A1726"/>
          <w:sz w:val="20"/>
          <w:szCs w:val="20"/>
        </w:rPr>
        <w:t xml:space="preserve">Mātauranga Māori is treated here as a body of carefully observed knowledge about how the world works — which is precisely what this unit teaches students to produce.</w:t>
      </w:r>
    </w:p>
    <w:p>
      <w:pPr>
        <w:spacing w:after="120" w:before="200"/>
      </w:pPr>
      <w:r>
        <w:rPr>
          <w:rFonts w:ascii="Calibri" w:cs="Calibri" w:eastAsia="Calibri" w:hAnsi="Calibri"/>
          <w:b/>
          <w:bCs/>
          <w:color w:val="6B21A8"/>
          <w:sz w:val="34"/>
          <w:szCs w:val="34"/>
        </w:rPr>
        <w:t xml:space="preserve">KNOW — CONTEXTS</w:t>
      </w:r>
    </w:p>
    <w:p>
      <w:pPr>
        <w:pBdr>
          <w:bottom w:val="single" w:color="CCCCCC" w:sz="6"/>
        </w:pBdr>
        <w:spacing w:after="90" w:before="180"/>
      </w:pPr>
      <w:r>
        <w:rPr>
          <w:rFonts w:ascii="Calibri" w:cs="Calibri" w:eastAsia="Calibri" w:hAnsi="Calibri"/>
          <w:b/>
          <w:bCs/>
          <w:color w:val="0F766E"/>
          <w:sz w:val="26"/>
          <w:szCs w:val="26"/>
        </w:rPr>
        <w:t xml:space="preserve">Host Curriculum Knowledge — NZC English, Phase 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4800"/>
        <w:gridCol w:w="9600"/>
      </w:tblGrid>
      <w:tr>
        <w:trPr>
          <w:tblHeader/>
        </w:trPr>
        <w:tc>
          <w:tcPr>
            <w:tcW w:type="dxa" w:w="4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Strand</w:t>
            </w:r>
          </w:p>
        </w:tc>
        <w:tc>
          <w:tcPr>
            <w:tcW w:type="dxa" w:w="9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Phase 2 teaching-sequence indicators addressed</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to inform</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draw on their own experiences and knowledge, as well as acquired knowledge, to write texts to inform</w:t>
            </w:r>
          </w:p>
          <w:p>
            <w:pPr>
              <w:pStyle w:val="ListParagraph"/>
              <w:numPr>
                <w:ilvl w:val="0"/>
                <w:numId w:val="1"/>
              </w:numPr>
              <w:spacing w:after="30" w:before="0"/>
            </w:pPr>
            <w:r>
              <w:rPr>
                <w:rFonts w:ascii="Calibri" w:cs="Calibri" w:eastAsia="Calibri" w:hAnsi="Calibri"/>
                <w:color w:val="1A1726"/>
                <w:sz w:val="19"/>
                <w:szCs w:val="19"/>
              </w:rPr>
              <w:t xml:space="preserve">introduce a topic, and group information together using simple paragraphs</w:t>
            </w:r>
          </w:p>
          <w:p>
            <w:pPr>
              <w:pStyle w:val="ListParagraph"/>
              <w:numPr>
                <w:ilvl w:val="0"/>
                <w:numId w:val="1"/>
              </w:numPr>
              <w:spacing w:after="30" w:before="0"/>
            </w:pPr>
            <w:r>
              <w:rPr>
                <w:rFonts w:ascii="Calibri" w:cs="Calibri" w:eastAsia="Calibri" w:hAnsi="Calibri"/>
                <w:color w:val="1A1726"/>
                <w:sz w:val="19"/>
                <w:szCs w:val="19"/>
              </w:rPr>
              <w:t xml:space="preserve">begin to use linking words and phrases</w:t>
            </w:r>
          </w:p>
          <w:p>
            <w:pPr>
              <w:pStyle w:val="ListParagraph"/>
              <w:numPr>
                <w:ilvl w:val="0"/>
                <w:numId w:val="1"/>
              </w:numPr>
              <w:spacing w:after="30" w:before="0"/>
            </w:pPr>
            <w:r>
              <w:rPr>
                <w:rFonts w:ascii="Calibri" w:cs="Calibri" w:eastAsia="Calibri" w:hAnsi="Calibri"/>
                <w:color w:val="1A1726"/>
                <w:sz w:val="19"/>
                <w:szCs w:val="19"/>
              </w:rPr>
              <w:t xml:space="preserve">use topic-related vocabulary</w:t>
            </w:r>
          </w:p>
          <w:p>
            <w:pPr>
              <w:pStyle w:val="ListParagraph"/>
              <w:numPr>
                <w:ilvl w:val="0"/>
                <w:numId w:val="1"/>
              </w:numPr>
              <w:spacing w:after="30" w:before="0"/>
            </w:pPr>
            <w:r>
              <w:rPr>
                <w:rFonts w:ascii="Calibri" w:cs="Calibri" w:eastAsia="Calibri" w:hAnsi="Calibri"/>
                <w:color w:val="1A1726"/>
                <w:sz w:val="19"/>
                <w:szCs w:val="19"/>
              </w:rPr>
              <w:t xml:space="preserve">have a concluding statement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Audience, purpose and task</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identify the audience and purpose for a text</w:t>
            </w:r>
          </w:p>
          <w:p>
            <w:pPr>
              <w:pStyle w:val="ListParagraph"/>
              <w:numPr>
                <w:ilvl w:val="0"/>
                <w:numId w:val="1"/>
              </w:numPr>
              <w:spacing w:after="30" w:before="0"/>
            </w:pPr>
            <w:r>
              <w:rPr>
                <w:rFonts w:ascii="Calibri" w:cs="Calibri" w:eastAsia="Calibri" w:hAnsi="Calibri"/>
                <w:color w:val="1A1726"/>
                <w:sz w:val="19"/>
                <w:szCs w:val="19"/>
              </w:rPr>
              <w:t xml:space="preserve">plan and write with the audience in mind, selecting the appropriate genre, language register and word choice</w:t>
            </w:r>
          </w:p>
          <w:p>
            <w:pPr>
              <w:pStyle w:val="ListParagraph"/>
              <w:numPr>
                <w:ilvl w:val="0"/>
                <w:numId w:val="1"/>
              </w:numPr>
              <w:spacing w:after="30" w:before="0"/>
            </w:pPr>
            <w:r>
              <w:rPr>
                <w:rFonts w:ascii="Calibri" w:cs="Calibri" w:eastAsia="Calibri" w:hAnsi="Calibri"/>
                <w:color w:val="1A1726"/>
                <w:sz w:val="19"/>
                <w:szCs w:val="19"/>
              </w:rPr>
              <w:t xml:space="preserve">understand that different audiences may respond very differently to the same text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Sentence structures and punctuation</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use a range of sentence structures and types to suit purpose and enhance impact</w:t>
            </w:r>
          </w:p>
          <w:p>
            <w:pPr>
              <w:pStyle w:val="ListParagraph"/>
              <w:numPr>
                <w:ilvl w:val="0"/>
                <w:numId w:val="1"/>
              </w:numPr>
              <w:spacing w:after="30" w:before="0"/>
            </w:pPr>
            <w:r>
              <w:rPr>
                <w:rFonts w:ascii="Calibri" w:cs="Calibri" w:eastAsia="Calibri" w:hAnsi="Calibri"/>
                <w:color w:val="1A1726"/>
                <w:sz w:val="19"/>
                <w:szCs w:val="19"/>
              </w:rPr>
              <w:t xml:space="preserve">combine sentences orally, inserting phrases and varying the position of the phrase</w:t>
            </w:r>
          </w:p>
          <w:p>
            <w:pPr>
              <w:pStyle w:val="ListParagraph"/>
              <w:numPr>
                <w:ilvl w:val="0"/>
                <w:numId w:val="1"/>
              </w:numPr>
              <w:spacing w:after="30" w:before="0"/>
            </w:pPr>
            <w:r>
              <w:rPr>
                <w:rFonts w:ascii="Calibri" w:cs="Calibri" w:eastAsia="Calibri" w:hAnsi="Calibri"/>
                <w:color w:val="1A1726"/>
                <w:sz w:val="19"/>
                <w:szCs w:val="19"/>
              </w:rPr>
              <w:t xml:space="preserve">expand sentences using adverbial phrases</w:t>
            </w:r>
          </w:p>
          <w:p>
            <w:pPr>
              <w:pStyle w:val="ListParagraph"/>
              <w:numPr>
                <w:ilvl w:val="0"/>
                <w:numId w:val="1"/>
              </w:numPr>
              <w:spacing w:after="30" w:before="0"/>
            </w:pPr>
            <w:r>
              <w:rPr>
                <w:rFonts w:ascii="Calibri" w:cs="Calibri" w:eastAsia="Calibri" w:hAnsi="Calibri"/>
                <w:color w:val="1A1726"/>
                <w:sz w:val="19"/>
                <w:szCs w:val="19"/>
              </w:rPr>
              <w:t xml:space="preserve">use commas correctly for complex sentences, phrases and transition words, with some support</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Writing processes</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Planning: use organisers to plan; MAKE NOTES, REDUCING INFORMATION INTO KEY WORDS AND PHRASES; set writing goals from reflection</w:t>
            </w:r>
          </w:p>
          <w:p>
            <w:pPr>
              <w:pStyle w:val="ListParagraph"/>
              <w:numPr>
                <w:ilvl w:val="0"/>
                <w:numId w:val="1"/>
              </w:numPr>
              <w:spacing w:after="30" w:before="0"/>
            </w:pPr>
            <w:r>
              <w:rPr>
                <w:rFonts w:ascii="Calibri" w:cs="Calibri" w:eastAsia="Calibri" w:hAnsi="Calibri"/>
                <w:color w:val="1A1726"/>
                <w:sz w:val="19"/>
                <w:szCs w:val="19"/>
              </w:rPr>
              <w:t xml:space="preserve">Drafting: transfer ideas from organisers into sentences; WRITE NON-FICTION PARAGRAPHS WITH A TOPIC SENTENCE, DETAIL SENTENCES AND A CONCLUDING SENTENCE; use layout conventions for paragraphs</w:t>
            </w:r>
          </w:p>
          <w:p>
            <w:pPr>
              <w:pStyle w:val="ListParagraph"/>
              <w:numPr>
                <w:ilvl w:val="0"/>
                <w:numId w:val="1"/>
              </w:numPr>
              <w:spacing w:after="30" w:before="0"/>
            </w:pPr>
            <w:r>
              <w:rPr>
                <w:rFonts w:ascii="Calibri" w:cs="Calibri" w:eastAsia="Calibri" w:hAnsi="Calibri"/>
                <w:color w:val="1A1726"/>
                <w:sz w:val="19"/>
                <w:szCs w:val="19"/>
              </w:rPr>
              <w:t xml:space="preserve">Revising: reread at sentence, paragraph and whole-text level; revise to improve clarity for the intended audience</w:t>
            </w:r>
          </w:p>
          <w:p>
            <w:pPr>
              <w:pStyle w:val="ListParagraph"/>
              <w:numPr>
                <w:ilvl w:val="0"/>
                <w:numId w:val="1"/>
              </w:numPr>
              <w:spacing w:after="30" w:before="0"/>
            </w:pPr>
            <w:r>
              <w:rPr>
                <w:rFonts w:ascii="Calibri" w:cs="Calibri" w:eastAsia="Calibri" w:hAnsi="Calibri"/>
                <w:color w:val="1A1726"/>
                <w:sz w:val="19"/>
                <w:szCs w:val="19"/>
              </w:rPr>
              <w:t xml:space="preserve">Editing: edit using known punctuation; use a word card or dictionary; give and receive peer feedback</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Transcription — handwriting</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handwrite with increasing stamina and fluency while maintaining legibility when writing multi-paragraph texts</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Reading (Phase 2)</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identify the audience and purpose of texts that entertain, inform, and persuade</w:t>
            </w:r>
          </w:p>
          <w:p>
            <w:pPr>
              <w:pStyle w:val="ListParagraph"/>
              <w:numPr>
                <w:ilvl w:val="0"/>
                <w:numId w:val="1"/>
              </w:numPr>
              <w:spacing w:after="30" w:before="0"/>
            </w:pPr>
            <w:r>
              <w:rPr>
                <w:rFonts w:ascii="Calibri" w:cs="Calibri" w:eastAsia="Calibri" w:hAnsi="Calibri"/>
                <w:color w:val="1A1726"/>
                <w:sz w:val="19"/>
                <w:szCs w:val="19"/>
              </w:rPr>
              <w:t xml:space="preserve">determine the structure of texts and how ideas are conveyed through text features and visual elements</w:t>
            </w:r>
          </w:p>
          <w:p>
            <w:pPr>
              <w:pStyle w:val="ListParagraph"/>
              <w:numPr>
                <w:ilvl w:val="0"/>
                <w:numId w:val="1"/>
              </w:numPr>
              <w:spacing w:after="30" w:before="0"/>
            </w:pPr>
            <w:r>
              <w:rPr>
                <w:rFonts w:ascii="Calibri" w:cs="Calibri" w:eastAsia="Calibri" w:hAnsi="Calibri"/>
                <w:color w:val="1A1726"/>
                <w:sz w:val="19"/>
                <w:szCs w:val="19"/>
              </w:rPr>
              <w:t xml:space="preserve">identify the central message or main idea and provide the key details in sequence</w:t>
            </w:r>
          </w:p>
        </w:tc>
      </w:tr>
      <w:tr>
        <w:trPr>
          <w:tblHeader w:val="false"/>
        </w:trPr>
        <w:tc>
          <w:tcPr>
            <w:tcW w:type="dxa" w:w="4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Oral language (Phase 2)</w:t>
            </w:r>
          </w:p>
        </w:tc>
        <w:tc>
          <w:tcPr>
            <w:tcW w:type="dxa" w:w="96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give descriptions with specific details to actively engage listeners</w:t>
            </w:r>
          </w:p>
          <w:p>
            <w:pPr>
              <w:pStyle w:val="ListParagraph"/>
              <w:numPr>
                <w:ilvl w:val="0"/>
                <w:numId w:val="1"/>
              </w:numPr>
              <w:spacing w:after="30" w:before="0"/>
            </w:pPr>
            <w:r>
              <w:rPr>
                <w:rFonts w:ascii="Calibri" w:cs="Calibri" w:eastAsia="Calibri" w:hAnsi="Calibri"/>
                <w:color w:val="1A1726"/>
                <w:sz w:val="19"/>
                <w:szCs w:val="19"/>
              </w:rPr>
              <w:t xml:space="preserve">use precise vocabulary</w:t>
            </w:r>
          </w:p>
          <w:p>
            <w:pPr>
              <w:pStyle w:val="ListParagraph"/>
              <w:numPr>
                <w:ilvl w:val="0"/>
                <w:numId w:val="1"/>
              </w:numPr>
              <w:spacing w:after="30" w:before="0"/>
            </w:pPr>
            <w:r>
              <w:rPr>
                <w:rFonts w:ascii="Calibri" w:cs="Calibri" w:eastAsia="Calibri" w:hAnsi="Calibri"/>
                <w:color w:val="1A1726"/>
                <w:sz w:val="19"/>
                <w:szCs w:val="19"/>
              </w:rPr>
              <w:t xml:space="preserve">make comments that encourage discussion, and ask clarifying questions</w:t>
            </w:r>
          </w:p>
        </w:tc>
      </w:tr>
    </w:tbl>
    <w:p>
      <w:pPr>
        <w:pBdr>
          <w:bottom w:val="single" w:color="CCCCCC" w:sz="6"/>
        </w:pBdr>
        <w:spacing w:after="90" w:before="180"/>
      </w:pPr>
      <w:r>
        <w:rPr>
          <w:rFonts w:ascii="Calibri" w:cs="Calibri" w:eastAsia="Calibri" w:hAnsi="Calibri"/>
          <w:b/>
          <w:bCs/>
          <w:color w:val="0F766E"/>
          <w:sz w:val="26"/>
          <w:szCs w:val="26"/>
        </w:rPr>
        <w:t xml:space="preserve">Knowledge Outcomes — students will know that…</w:t>
      </w:r>
    </w:p>
    <w:p>
      <w:pPr>
        <w:pStyle w:val="ListParagraph"/>
        <w:numPr>
          <w:ilvl w:val="0"/>
          <w:numId w:val="1"/>
        </w:numPr>
        <w:spacing w:after="40" w:before="0"/>
      </w:pPr>
      <w:r>
        <w:rPr>
          <w:rFonts w:ascii="Calibri" w:cs="Calibri" w:eastAsia="Calibri" w:hAnsi="Calibri"/>
          <w:color w:val="1A1726"/>
          <w:sz w:val="19"/>
          <w:szCs w:val="19"/>
        </w:rPr>
        <w:t xml:space="preserve">An explanation opens with a definition, not a hook — the reader must know immediately what is being explained.</w:t>
      </w:r>
    </w:p>
    <w:p>
      <w:pPr>
        <w:pStyle w:val="ListParagraph"/>
        <w:numPr>
          <w:ilvl w:val="0"/>
          <w:numId w:val="1"/>
        </w:numPr>
        <w:spacing w:after="40" w:before="0"/>
      </w:pPr>
      <w:r>
        <w:rPr>
          <w:rFonts w:ascii="Calibri" w:cs="Calibri" w:eastAsia="Calibri" w:hAnsi="Calibri"/>
          <w:color w:val="1A1726"/>
          <w:sz w:val="19"/>
          <w:szCs w:val="19"/>
        </w:rPr>
        <w:t xml:space="preserve">Explanations are written in the timeless present with general nouns (“water evaporates”), because they are true every time.</w:t>
      </w:r>
    </w:p>
    <w:p>
      <w:pPr>
        <w:pStyle w:val="ListParagraph"/>
        <w:numPr>
          <w:ilvl w:val="0"/>
          <w:numId w:val="1"/>
        </w:numPr>
        <w:spacing w:after="40" w:before="0"/>
      </w:pPr>
      <w:r>
        <w:rPr>
          <w:rFonts w:ascii="Calibri" w:cs="Calibri" w:eastAsia="Calibri" w:hAnsi="Calibri"/>
          <w:color w:val="1A1726"/>
          <w:sz w:val="19"/>
          <w:szCs w:val="19"/>
        </w:rPr>
        <w:t xml:space="preserve">Each step must be linked to the next by a cause, not by “and then”.</w:t>
      </w:r>
    </w:p>
    <w:p>
      <w:pPr>
        <w:pStyle w:val="ListParagraph"/>
        <w:numPr>
          <w:ilvl w:val="0"/>
          <w:numId w:val="1"/>
        </w:numPr>
        <w:spacing w:after="40" w:before="0"/>
      </w:pPr>
      <w:r>
        <w:rPr>
          <w:rFonts w:ascii="Calibri" w:cs="Calibri" w:eastAsia="Calibri" w:hAnsi="Calibri"/>
          <w:color w:val="1A1726"/>
          <w:sz w:val="19"/>
          <w:szCs w:val="19"/>
        </w:rPr>
        <w:t xml:space="preserve">A technical word is used AND explained at first appearance.</w:t>
      </w:r>
    </w:p>
    <w:p>
      <w:pPr>
        <w:pStyle w:val="ListParagraph"/>
        <w:numPr>
          <w:ilvl w:val="0"/>
          <w:numId w:val="1"/>
        </w:numPr>
        <w:spacing w:after="40" w:before="0"/>
      </w:pPr>
      <w:r>
        <w:rPr>
          <w:rFonts w:ascii="Calibri" w:cs="Calibri" w:eastAsia="Calibri" w:hAnsi="Calibri"/>
          <w:color w:val="1A1726"/>
          <w:sz w:val="19"/>
          <w:szCs w:val="19"/>
        </w:rPr>
        <w:t xml:space="preserve">One step = one paragraph, with a topic sentence, detail sentences and a link onward.</w:t>
      </w:r>
    </w:p>
    <w:p>
      <w:pPr>
        <w:pStyle w:val="ListParagraph"/>
        <w:numPr>
          <w:ilvl w:val="0"/>
          <w:numId w:val="1"/>
        </w:numPr>
        <w:spacing w:after="40" w:before="0"/>
      </w:pPr>
      <w:r>
        <w:rPr>
          <w:rFonts w:ascii="Calibri" w:cs="Calibri" w:eastAsia="Calibri" w:hAnsi="Calibri"/>
          <w:color w:val="1A1726"/>
          <w:sz w:val="19"/>
          <w:szCs w:val="19"/>
        </w:rPr>
        <w:t xml:space="preserve">A diagram carries information the words cannot — it shows the part the reader cannot see.</w:t>
      </w:r>
    </w:p>
    <w:p>
      <w:pPr>
        <w:pStyle w:val="ListParagraph"/>
        <w:numPr>
          <w:ilvl w:val="0"/>
          <w:numId w:val="1"/>
        </w:numPr>
        <w:spacing w:after="40" w:before="0"/>
      </w:pPr>
      <w:r>
        <w:rPr>
          <w:rFonts w:ascii="Calibri" w:cs="Calibri" w:eastAsia="Calibri" w:hAnsi="Calibri"/>
          <w:color w:val="1A1726"/>
          <w:sz w:val="19"/>
          <w:szCs w:val="19"/>
        </w:rPr>
        <w:t xml:space="preserve">If a reader gets lost, the writing has a hole. Confusion is data, not an opinion.</w:t>
      </w:r>
    </w:p>
    <w:p>
      <w:pPr>
        <w:pBdr>
          <w:bottom w:val="single" w:color="CCCCCC" w:sz="6"/>
        </w:pBdr>
        <w:spacing w:after="90" w:before="180"/>
      </w:pPr>
      <w:r>
        <w:rPr>
          <w:rFonts w:ascii="Calibri" w:cs="Calibri" w:eastAsia="Calibri" w:hAnsi="Calibri"/>
          <w:b/>
          <w:bCs/>
          <w:color w:val="0F766E"/>
          <w:sz w:val="26"/>
          <w:szCs w:val="26"/>
        </w:rPr>
        <w:t xml:space="preserve">Possible Misconceptions</w:t>
      </w:r>
    </w:p>
    <w:p>
      <w:pPr>
        <w:pStyle w:val="ListParagraph"/>
        <w:numPr>
          <w:ilvl w:val="0"/>
          <w:numId w:val="1"/>
        </w:numPr>
        <w:spacing w:after="40" w:before="0"/>
      </w:pPr>
      <w:r>
        <w:rPr>
          <w:rFonts w:ascii="Calibri" w:cs="Calibri" w:eastAsia="Calibri" w:hAnsi="Calibri"/>
          <w:color w:val="1A1726"/>
          <w:sz w:val="19"/>
          <w:szCs w:val="19"/>
        </w:rPr>
        <w:t xml:space="preserve">⚠ “Explaining means using big words.” (It means using the right word AND explaining it.)</w:t>
      </w:r>
    </w:p>
    <w:p>
      <w:pPr>
        <w:pStyle w:val="ListParagraph"/>
        <w:numPr>
          <w:ilvl w:val="0"/>
          <w:numId w:val="1"/>
        </w:numPr>
        <w:spacing w:after="40" w:before="0"/>
      </w:pPr>
      <w:r>
        <w:rPr>
          <w:rFonts w:ascii="Calibri" w:cs="Calibri" w:eastAsia="Calibri" w:hAnsi="Calibri"/>
          <w:color w:val="1A1726"/>
          <w:sz w:val="19"/>
          <w:szCs w:val="19"/>
        </w:rPr>
        <w:t xml:space="preserve">⚠ “If I found it out in that order, I should write it in that order.” (Research order is not reader order.)</w:t>
      </w:r>
    </w:p>
    <w:p>
      <w:pPr>
        <w:pStyle w:val="ListParagraph"/>
        <w:numPr>
          <w:ilvl w:val="0"/>
          <w:numId w:val="1"/>
        </w:numPr>
        <w:spacing w:after="40" w:before="0"/>
      </w:pPr>
      <w:r>
        <w:rPr>
          <w:rFonts w:ascii="Calibri" w:cs="Calibri" w:eastAsia="Calibri" w:hAnsi="Calibri"/>
          <w:color w:val="1A1726"/>
          <w:sz w:val="19"/>
          <w:szCs w:val="19"/>
        </w:rPr>
        <w:t xml:space="preserve">⚠ “Copying is fine if I change a few words.” (If you can’t say it with the book covered, you haven’t understood it.)</w:t>
      </w:r>
    </w:p>
    <w:p>
      <w:pPr>
        <w:pStyle w:val="ListParagraph"/>
        <w:numPr>
          <w:ilvl w:val="0"/>
          <w:numId w:val="1"/>
        </w:numPr>
        <w:spacing w:after="40" w:before="0"/>
      </w:pPr>
      <w:r>
        <w:rPr>
          <w:rFonts w:ascii="Calibri" w:cs="Calibri" w:eastAsia="Calibri" w:hAnsi="Calibri"/>
          <w:color w:val="1A1726"/>
          <w:sz w:val="19"/>
          <w:szCs w:val="19"/>
        </w:rPr>
        <w:t xml:space="preserve">⚠ “A picture makes it look nice.” (A diagram is content, not decoration.)</w:t>
      </w:r>
    </w:p>
    <w:p>
      <w:pPr>
        <w:pStyle w:val="ListParagraph"/>
        <w:numPr>
          <w:ilvl w:val="0"/>
          <w:numId w:val="1"/>
        </w:numPr>
        <w:spacing w:after="40" w:before="0"/>
      </w:pPr>
      <w:r>
        <w:rPr>
          <w:rFonts w:ascii="Calibri" w:cs="Calibri" w:eastAsia="Calibri" w:hAnsi="Calibri"/>
          <w:color w:val="1A1726"/>
          <w:sz w:val="19"/>
          <w:szCs w:val="19"/>
        </w:rPr>
        <w:t xml:space="preserve">⚠ “It’s about a real time it happened.” (That’s a recount. An explanation is about every time.)</w:t>
      </w:r>
    </w:p>
    <w:p>
      <w:pPr>
        <w:pBdr>
          <w:bottom w:val="single" w:color="CCCCCC" w:sz="6"/>
        </w:pBdr>
        <w:spacing w:after="90" w:before="180"/>
      </w:pPr>
      <w:r>
        <w:rPr>
          <w:rFonts w:ascii="Calibri" w:cs="Calibri" w:eastAsia="Calibri" w:hAnsi="Calibri"/>
          <w:b/>
          <w:bCs/>
          <w:color w:val="0F766E"/>
          <w:sz w:val="26"/>
          <w:szCs w:val="26"/>
        </w:rPr>
        <w:t xml:space="preserve">Essential Questions (used as WALTs)</w:t>
      </w:r>
    </w:p>
    <w:p>
      <w:pPr>
        <w:pStyle w:val="ListParagraph"/>
        <w:numPr>
          <w:ilvl w:val="0"/>
          <w:numId w:val="1"/>
        </w:numPr>
        <w:spacing w:after="40" w:before="0"/>
      </w:pPr>
      <w:r>
        <w:rPr>
          <w:rFonts w:ascii="Calibri" w:cs="Calibri" w:eastAsia="Calibri" w:hAnsi="Calibri"/>
          <w:color w:val="1A1726"/>
          <w:sz w:val="19"/>
          <w:szCs w:val="19"/>
        </w:rPr>
        <w:t xml:space="preserve">What makes a question worth explaining? (Weeks 1, 3)</w:t>
      </w:r>
    </w:p>
    <w:p>
      <w:pPr>
        <w:pStyle w:val="ListParagraph"/>
        <w:numPr>
          <w:ilvl w:val="0"/>
          <w:numId w:val="1"/>
        </w:numPr>
        <w:spacing w:after="40" w:before="0"/>
      </w:pPr>
      <w:r>
        <w:rPr>
          <w:rFonts w:ascii="Calibri" w:cs="Calibri" w:eastAsia="Calibri" w:hAnsi="Calibri"/>
          <w:color w:val="1A1726"/>
          <w:sz w:val="19"/>
          <w:szCs w:val="19"/>
        </w:rPr>
        <w:t xml:space="preserve">How do I find out something properly and put it in my own words? (Week 2)</w:t>
      </w:r>
    </w:p>
    <w:p>
      <w:pPr>
        <w:pStyle w:val="ListParagraph"/>
        <w:numPr>
          <w:ilvl w:val="0"/>
          <w:numId w:val="1"/>
        </w:numPr>
        <w:spacing w:after="40" w:before="0"/>
      </w:pPr>
      <w:r>
        <w:rPr>
          <w:rFonts w:ascii="Calibri" w:cs="Calibri" w:eastAsia="Calibri" w:hAnsi="Calibri"/>
          <w:color w:val="1A1726"/>
          <w:sz w:val="19"/>
          <w:szCs w:val="19"/>
        </w:rPr>
        <w:t xml:space="preserve">What order does my reader need this in? (Week 3)</w:t>
      </w:r>
    </w:p>
    <w:p>
      <w:pPr>
        <w:pStyle w:val="ListParagraph"/>
        <w:numPr>
          <w:ilvl w:val="0"/>
          <w:numId w:val="1"/>
        </w:numPr>
        <w:spacing w:after="40" w:before="0"/>
      </w:pPr>
      <w:r>
        <w:rPr>
          <w:rFonts w:ascii="Calibri" w:cs="Calibri" w:eastAsia="Calibri" w:hAnsi="Calibri"/>
          <w:color w:val="1A1726"/>
          <w:sz w:val="19"/>
          <w:szCs w:val="19"/>
        </w:rPr>
        <w:t xml:space="preserve">How do I show WHY each step happens? (Week 5)</w:t>
      </w:r>
    </w:p>
    <w:p>
      <w:pPr>
        <w:pStyle w:val="ListParagraph"/>
        <w:numPr>
          <w:ilvl w:val="0"/>
          <w:numId w:val="1"/>
        </w:numPr>
        <w:spacing w:after="40" w:before="0"/>
      </w:pPr>
      <w:r>
        <w:rPr>
          <w:rFonts w:ascii="Calibri" w:cs="Calibri" w:eastAsia="Calibri" w:hAnsi="Calibri"/>
          <w:color w:val="1A1726"/>
          <w:sz w:val="19"/>
          <w:szCs w:val="19"/>
        </w:rPr>
        <w:t xml:space="preserve">Would someone who knows nothing about this understand it? (Weeks 7–8)</w:t>
      </w:r>
    </w:p>
    <w:p>
      <w:pPr>
        <w:spacing w:after="120" w:before="200"/>
      </w:pPr>
      <w:r>
        <w:rPr>
          <w:rFonts w:ascii="Calibri" w:cs="Calibri" w:eastAsia="Calibri" w:hAnsi="Calibri"/>
          <w:b/>
          <w:bCs/>
          <w:color w:val="6B21A8"/>
          <w:sz w:val="34"/>
          <w:szCs w:val="34"/>
        </w:rPr>
        <w:t xml:space="preserve">DO</w:t>
      </w:r>
    </w:p>
    <w:p>
      <w:pPr>
        <w:pBdr>
          <w:bottom w:val="single" w:color="CCCCCC" w:sz="6"/>
        </w:pBdr>
        <w:spacing w:after="90" w:before="180"/>
      </w:pPr>
      <w:r>
        <w:rPr>
          <w:rFonts w:ascii="Calibri" w:cs="Calibri" w:eastAsia="Calibri" w:hAnsi="Calibri"/>
          <w:b/>
          <w:bCs/>
          <w:color w:val="0F766E"/>
          <w:sz w:val="26"/>
          <w:szCs w:val="26"/>
        </w:rPr>
        <w:t xml:space="preserve">Key Competencies — indicators developed this unit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11800"/>
      </w:tblGrid>
      <w:tr>
        <w:tc>
          <w:tcPr>
            <w:tcW w:type="dxa" w:w="26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Thinking</w:t>
            </w:r>
          </w:p>
        </w:tc>
        <w:tc>
          <w:tcPr>
            <w:tcW w:type="dxa" w:w="118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Asking curious or critical questions; problem finding · Cause-and-effect thinking, forwards and backwards · Systems thinking: uncovering hidden connections between events and ideas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Using language, symbols &amp; text</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Match a text’s features with its purpose · Make meaning from two or more representations of the same idea (words plus diagram) · Use the conventions of a discipline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Managing self</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Working from a self-generated research list · Knowing what you do not yet understand, and saying so</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Relating to others</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Adapting language for a younger listener · Giving and receiving feedback about clarity without defensiveness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Participating &amp; contributing</w:t>
            </w:r>
          </w:p>
        </w:tc>
        <w:tc>
          <w:tcPr>
            <w:tcW w:type="dxa" w:w="11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Presenting to a buddy class; contributing knowledge to a community beyond the classroom</w:t>
            </w:r>
          </w:p>
        </w:tc>
      </w:tr>
    </w:tbl>
    <w:p>
      <w:pPr>
        <w:pBdr>
          <w:bottom w:val="single" w:color="CCCCCC" w:sz="6"/>
        </w:pBdr>
        <w:spacing w:after="90" w:before="180"/>
      </w:pPr>
      <w:r>
        <w:rPr>
          <w:rFonts w:ascii="Calibri" w:cs="Calibri" w:eastAsia="Calibri" w:hAnsi="Calibri"/>
          <w:b/>
          <w:bCs/>
          <w:color w:val="0F766E"/>
          <w:sz w:val="26"/>
          <w:szCs w:val="26"/>
        </w:rPr>
        <w:t xml:space="preserve">Key Skills</w:t>
      </w:r>
    </w:p>
    <w:p>
      <w:pPr>
        <w:pStyle w:val="ListParagraph"/>
        <w:numPr>
          <w:ilvl w:val="0"/>
          <w:numId w:val="1"/>
        </w:numPr>
        <w:spacing w:after="40" w:before="0"/>
      </w:pPr>
      <w:r>
        <w:rPr>
          <w:rFonts w:ascii="Calibri" w:cs="Calibri" w:eastAsia="Calibri" w:hAnsi="Calibri"/>
          <w:color w:val="1A1726"/>
          <w:sz w:val="19"/>
          <w:szCs w:val="19"/>
        </w:rPr>
        <w:t xml:space="preserve">Question-forming: telling a thin question from one that needs a sequence to answer.</w:t>
      </w:r>
    </w:p>
    <w:p>
      <w:pPr>
        <w:pStyle w:val="ListParagraph"/>
        <w:numPr>
          <w:ilvl w:val="0"/>
          <w:numId w:val="1"/>
        </w:numPr>
        <w:spacing w:after="40" w:before="0"/>
      </w:pPr>
      <w:r>
        <w:rPr>
          <w:rFonts w:ascii="Calibri" w:cs="Calibri" w:eastAsia="Calibri" w:hAnsi="Calibri"/>
          <w:color w:val="1A1726"/>
          <w:sz w:val="19"/>
          <w:szCs w:val="19"/>
        </w:rPr>
        <w:t xml:space="preserve">Research: judging sources, the two-source rule, recording where a fact came from.</w:t>
      </w:r>
    </w:p>
    <w:p>
      <w:pPr>
        <w:pStyle w:val="ListParagraph"/>
        <w:numPr>
          <w:ilvl w:val="0"/>
          <w:numId w:val="1"/>
        </w:numPr>
        <w:spacing w:after="40" w:before="0"/>
      </w:pPr>
      <w:r>
        <w:rPr>
          <w:rFonts w:ascii="Calibri" w:cs="Calibri" w:eastAsia="Calibri" w:hAnsi="Calibri"/>
          <w:color w:val="1A1726"/>
          <w:sz w:val="19"/>
          <w:szCs w:val="19"/>
        </w:rPr>
        <w:t xml:space="preserve">Note-making: reducing information to key words and arrows; the cover-and-say routine that prevents copying.</w:t>
      </w:r>
    </w:p>
    <w:p>
      <w:pPr>
        <w:pStyle w:val="ListParagraph"/>
        <w:numPr>
          <w:ilvl w:val="0"/>
          <w:numId w:val="1"/>
        </w:numPr>
        <w:spacing w:after="40" w:before="0"/>
      </w:pPr>
      <w:r>
        <w:rPr>
          <w:rFonts w:ascii="Calibri" w:cs="Calibri" w:eastAsia="Calibri" w:hAnsi="Calibri"/>
          <w:color w:val="1A1726"/>
          <w:sz w:val="19"/>
          <w:szCs w:val="19"/>
        </w:rPr>
        <w:t xml:space="preserve">Sequencing with a flow-chart organiser; testing each link with a cause word.</w:t>
      </w:r>
    </w:p>
    <w:p>
      <w:pPr>
        <w:pStyle w:val="ListParagraph"/>
        <w:numPr>
          <w:ilvl w:val="0"/>
          <w:numId w:val="1"/>
        </w:numPr>
        <w:spacing w:after="40" w:before="0"/>
      </w:pPr>
      <w:r>
        <w:rPr>
          <w:rFonts w:ascii="Calibri" w:cs="Calibri" w:eastAsia="Calibri" w:hAnsi="Calibri"/>
          <w:color w:val="1A1726"/>
          <w:sz w:val="19"/>
          <w:szCs w:val="19"/>
        </w:rPr>
        <w:t xml:space="preserve">Defining technical vocabulary on the move (brackets, dashes, “which means”).</w:t>
      </w:r>
    </w:p>
    <w:p>
      <w:pPr>
        <w:pStyle w:val="ListParagraph"/>
        <w:numPr>
          <w:ilvl w:val="0"/>
          <w:numId w:val="1"/>
        </w:numPr>
        <w:spacing w:after="40" w:before="0"/>
      </w:pPr>
      <w:r>
        <w:rPr>
          <w:rFonts w:ascii="Calibri" w:cs="Calibri" w:eastAsia="Calibri" w:hAnsi="Calibri"/>
          <w:color w:val="1A1726"/>
          <w:sz w:val="19"/>
          <w:szCs w:val="19"/>
        </w:rPr>
        <w:t xml:space="preserve">Visual language: a labelled diagram with a full-sentence caption.</w:t>
      </w:r>
    </w:p>
    <w:p>
      <w:pPr>
        <w:pStyle w:val="ListParagraph"/>
        <w:numPr>
          <w:ilvl w:val="0"/>
          <w:numId w:val="1"/>
        </w:numPr>
        <w:spacing w:after="40" w:before="0"/>
      </w:pPr>
      <w:r>
        <w:rPr>
          <w:rFonts w:ascii="Calibri" w:cs="Calibri" w:eastAsia="Calibri" w:hAnsi="Calibri"/>
          <w:color w:val="1A1726"/>
          <w:sz w:val="19"/>
          <w:szCs w:val="19"/>
        </w:rPr>
        <w:t xml:space="preserve">Oral explanation to a younger audience; responding to clarifying questions.</w:t>
      </w:r>
    </w:p>
    <w:p>
      <w:pPr>
        <w:spacing w:after="120" w:before="200"/>
      </w:pPr>
      <w:r>
        <w:rPr>
          <w:rFonts w:ascii="Calibri" w:cs="Calibri" w:eastAsia="Calibri" w:hAnsi="Calibri"/>
          <w:b/>
          <w:bCs/>
          <w:color w:val="6B21A8"/>
          <w:sz w:val="34"/>
          <w:szCs w:val="34"/>
        </w:rPr>
        <w:t xml:space="preserve">DELIVERY — PROGRAMME</w:t>
      </w:r>
    </w:p>
    <w:p>
      <w:pPr>
        <w:pBdr>
          <w:bottom w:val="single" w:color="CCCCCC" w:sz="6"/>
        </w:pBdr>
        <w:spacing w:after="90" w:before="180"/>
      </w:pPr>
      <w:r>
        <w:rPr>
          <w:rFonts w:ascii="Calibri" w:cs="Calibri" w:eastAsia="Calibri" w:hAnsi="Calibri"/>
          <w:b/>
          <w:bCs/>
          <w:color w:val="0F766E"/>
          <w:sz w:val="26"/>
          <w:szCs w:val="26"/>
        </w:rPr>
        <w:t xml:space="preserve">Ten-Week Overview</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4300"/>
        <w:gridCol w:w="3500"/>
        <w:gridCol w:w="3500"/>
      </w:tblGrid>
      <w:tr>
        <w:trPr>
          <w:tblHeader/>
        </w:trPr>
        <w:tc>
          <w:tcPr>
            <w:tcW w:type="dxa" w:w="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Wk</w:t>
            </w:r>
          </w:p>
        </w:tc>
        <w:tc>
          <w:tcPr>
            <w:tcW w:type="dxa" w:w="2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43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Weekly focus</w:t>
            </w:r>
          </w:p>
        </w:tc>
        <w:tc>
          <w:tcPr>
            <w:tcW w:type="dxa" w:w="35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Students end the week with…</w:t>
            </w:r>
          </w:p>
        </w:tc>
        <w:tc>
          <w:tcPr>
            <w:tcW w:type="dxa" w:w="35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Warm-Up skills that feed it</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w:t>
            </w:r>
          </w:p>
        </w:tc>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Story vs explanation; how an explanation is built; questions worth asking.</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sorted wonder bank; a named audience</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Movement/action verbs · collective &amp; abstract nouns · simple sentences · capitals for proper nouns</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2</w:t>
            </w:r>
          </w:p>
        </w:tc>
        <w:tc>
          <w:tcPr>
            <w:tcW w:type="dxa" w:w="2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w:t>
            </w:r>
          </w:p>
        </w:tc>
        <w:tc>
          <w:tcPr>
            <w:tcW w:type="dxa" w:w="43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Sources and the two-source rule; notes in key words; own words; research.</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full fact file in their own words</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Commas after fronted adverbials · future tense · compound sentences · comma splices</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3</w:t>
            </w:r>
          </w:p>
        </w:tc>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FIND</w:t>
            </w:r>
          </w:p>
        </w:tc>
        <w:tc>
          <w:tcPr>
            <w:tcW w:type="dxa" w:w="4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Flow chart; the definition sentence; meet the buddy; oral rehearsal.</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sequenced plan and an audience card</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Antonyms &amp; shades of meaning · agreement · “when/because” · upgrading bland verbs</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4</w:t>
            </w:r>
          </w:p>
        </w:tc>
        <w:tc>
          <w:tcPr>
            <w:tcW w:type="dxa" w:w="2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3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Title and opening definition; non-fiction paragraphs; the “every time” voice.</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Opening and first steps drafted</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Apostrophes (contraction) · relative pronouns · topic sentences</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5</w:t>
            </w:r>
          </w:p>
        </w:tc>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Cause connectives; explaining hard words on the move; sentence variety.</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middle of the explanation drafted</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Brackets &amp; dashes · comparatives · combining sentences</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6</w:t>
            </w:r>
          </w:p>
        </w:tc>
        <w:tc>
          <w:tcPr>
            <w:tcW w:type="dxa" w:w="2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w:t>
            </w:r>
          </w:p>
        </w:tc>
        <w:tc>
          <w:tcPr>
            <w:tcW w:type="dxa" w:w="43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Diagrams that do a job; captions; the closing statement.</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COMPLETE DRAFT WITH A DIAGRAM</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Greek &amp; Latin roots · adverbial phrases · who/where/when phrases</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7</w:t>
            </w:r>
          </w:p>
        </w:tc>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w:t>
            </w:r>
          </w:p>
        </w:tc>
        <w:tc>
          <w:tcPr>
            <w:tcW w:type="dxa" w:w="4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Deconstruct strong and weak models; the clarity audit; two goals.</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marked-up draft and two goals</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Colons for lists · progressive tenses · although/unless/while · tense consistency</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8</w:t>
            </w:r>
          </w:p>
        </w:tc>
        <w:tc>
          <w:tcPr>
            <w:tcW w:type="dxa" w:w="2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3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Helping Circle with the clarity lens; the no-paper test; revision workshops.</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Feedback and a revision plan</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Tricky spellings · prepositions of direction · making sentences specific</w:t>
            </w:r>
          </w:p>
        </w:tc>
      </w:tr>
      <w:tr>
        <w:trPr>
          <w:tblHeader w:val="false"/>
        </w:trPr>
        <w:tc>
          <w:tcPr>
            <w:tcW w:type="dxa" w:w="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9</w:t>
            </w:r>
          </w:p>
        </w:tc>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Real second draft; flow and pronoun clarity; four-pass edit; best copy.</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Handwritten best copy with final diagram</w:t>
            </w:r>
          </w:p>
        </w:tc>
        <w:tc>
          <w:tcPr>
            <w:tcW w:type="dxa" w:w="35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Alliteration · conjunctions review · cohesion · weak openings</w:t>
            </w:r>
          </w:p>
        </w:tc>
      </w:tr>
      <w:tr>
        <w:trPr>
          <w:tblHeader w:val="false"/>
        </w:trPr>
        <w:tc>
          <w:tcPr>
            <w:tcW w:type="dxa" w:w="9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w:t>
            </w:r>
          </w:p>
        </w:tc>
        <w:tc>
          <w:tcPr>
            <w:tcW w:type="dxa" w:w="2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w:t>
            </w:r>
          </w:p>
        </w:tc>
        <w:tc>
          <w:tcPr>
            <w:tcW w:type="dxa" w:w="43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Typing and formatting; final proof; presenting to the buddy class; reflection.</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published, presented explanation</w:t>
            </w:r>
          </w:p>
        </w:tc>
        <w:tc>
          <w:tcPr>
            <w:tcW w:type="dxa" w:w="35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Term 2 review: punctuation, grammar, sentence structures, full-passage edit</w:t>
            </w:r>
          </w:p>
        </w:tc>
      </w:tr>
    </w:tbl>
    <w:p>
      <w:pPr>
        <w:pBdr>
          <w:bottom w:val="single" w:color="CCCCCC" w:sz="6"/>
        </w:pBdr>
        <w:spacing w:after="90" w:before="180"/>
      </w:pPr>
      <w:r>
        <w:rPr>
          <w:rFonts w:ascii="Calibri" w:cs="Calibri" w:eastAsia="Calibri" w:hAnsi="Calibri"/>
          <w:b/>
          <w:bCs/>
          <w:color w:val="0F766E"/>
          <w:sz w:val="26"/>
          <w:szCs w:val="26"/>
        </w:rPr>
        <w:t xml:space="preserve">Weekly Rhythm — the same five days every week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900"/>
        <w:gridCol w:w="6300"/>
        <w:gridCol w:w="6200"/>
      </w:tblGrid>
      <w:tr>
        <w:trPr>
          <w:tblHeader/>
        </w:trPr>
        <w:tc>
          <w:tcPr>
            <w:tcW w:type="dxa" w:w="1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Day</w:t>
            </w:r>
          </w:p>
        </w:tc>
        <w:tc>
          <w:tcPr>
            <w:tcW w:type="dxa" w:w="63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Role</w:t>
            </w:r>
          </w:p>
        </w:tc>
        <w:tc>
          <w:tcPr>
            <w:tcW w:type="dxa" w:w="6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I Do / We Do / You Do balance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Monday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Launch — the week’s focus introduced through a model or demonstration</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Tuesday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Build together — the class constructs an example jointly</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Do–heavy</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Wednesday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Stretch — a harder application of the same skill</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 Do → You Do bridge</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Thursday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Write — students apply the focus to their own piece</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You Do–heavy; teacher circulates and pulls a small group</w:t>
            </w:r>
          </w:p>
        </w:tc>
      </w:tr>
      <w:tr>
        <w:trPr>
          <w:tblHeader w:val="false"/>
        </w:trPr>
        <w:tc>
          <w:tcPr>
            <w:tcW w:type="dxa" w:w="1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Friday</w:t>
            </w:r>
          </w:p>
        </w:tc>
        <w:tc>
          <w:tcPr>
            <w:tcW w:type="dxa" w:w="63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and reflect — trios, circles, or buddy work</w:t>
            </w:r>
          </w:p>
        </w:tc>
        <w:tc>
          <w:tcPr>
            <w:tcW w:type="dxa" w:w="6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Student voice, minimal teacher input</w:t>
            </w:r>
          </w:p>
        </w:tc>
      </w:tr>
    </w:tbl>
    <w:p>
      <w:pPr>
        <w:spacing w:after="80" w:before="0"/>
      </w:pPr>
      <w:r>
        <w:rPr>
          <w:rFonts w:ascii="Calibri" w:cs="Calibri" w:eastAsia="Calibri" w:hAnsi="Calibri"/>
          <w:i/>
          <w:iCs/>
          <w:color w:val="1A1726"/>
          <w:sz w:val="19"/>
          <w:szCs w:val="19"/>
        </w:rPr>
        <w:t xml:space="preserve">Every 25-minute lesson: Warm-Up Bridge (2 min) → Process Check (1) → I Do (5–8) → We Do (5–8) → You Do (7–10) → Close (1–2). Every lesson is written out in full lesson-plan form in the app — WALT, NZC link and curriculum tags, the Process Check, and scripted I Do / We Do / You Do.</w:t>
      </w:r>
    </w:p>
    <w:p>
      <w:pPr>
        <w:spacing w:after="80" w:before="0"/>
      </w:pPr>
      <w:r>
        <w:rPr>
          <w:rFonts w:ascii="Calibri" w:cs="Calibri" w:eastAsia="Calibri" w:hAnsi="Calibri"/>
          <w:i/>
          <w:iCs/>
          <w:color w:val="1A1726"/>
          <w:sz w:val="19"/>
          <w:szCs w:val="19"/>
        </w:rPr>
        <w:t xml:space="preserve">Term 2’s warm-up skills line up unusually well with this genre — fronted adverbials (Wk 2), relative pronouns (Wk 4), brackets and dashes (Wk 5), Greek and Latin roots (Wk 6), complex sentences with although/unless/while (Wk 7) — and each is named explicitly in that day’s bridge.</w:t>
      </w:r>
    </w:p>
    <w:p>
      <w:pPr>
        <w:pBdr>
          <w:bottom w:val="single" w:color="CCCCCC" w:sz="6"/>
        </w:pBdr>
        <w:spacing w:after="90" w:before="180"/>
      </w:pPr>
      <w:r>
        <w:rPr>
          <w:rFonts w:ascii="Calibri" w:cs="Calibri" w:eastAsia="Calibri" w:hAnsi="Calibri"/>
          <w:b/>
          <w:bCs/>
          <w:color w:val="0F766E"/>
          <w:sz w:val="26"/>
          <w:szCs w:val="26"/>
        </w:rPr>
        <w:t xml:space="preserve">Student Agency, Contexts and Differentiation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000"/>
        <w:gridCol w:w="5700"/>
        <w:gridCol w:w="5700"/>
      </w:tblGrid>
      <w:tr>
        <w:trPr>
          <w:tblHeader/>
        </w:trPr>
        <w:tc>
          <w:tcPr>
            <w:tcW w:type="dxa" w:w="3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Student agency</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Contexts</w:t>
            </w:r>
          </w:p>
        </w:tc>
        <w:tc>
          <w:tcPr>
            <w:tcW w:type="dxa" w:w="5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Differentiation and personalisation</w:t>
            </w:r>
          </w:p>
        </w:tc>
      </w:tr>
      <w:tr>
        <w:trPr>
          <w:tblHeader w:val="false"/>
        </w:trPr>
        <w:tc>
          <w:tcPr>
            <w:tcW w:type="dxa" w:w="30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Students choose their own question from their own wonder bank (Wk 1–3).</w:t>
            </w:r>
          </w:p>
          <w:p>
            <w:pPr>
              <w:pStyle w:val="ListParagraph"/>
              <w:numPr>
                <w:ilvl w:val="0"/>
                <w:numId w:val="1"/>
              </w:numPr>
              <w:spacing w:after="30" w:before="0"/>
            </w:pPr>
            <w:r>
              <w:rPr>
                <w:rFonts w:ascii="Calibri" w:cs="Calibri" w:eastAsia="Calibri" w:hAnsi="Calibri"/>
                <w:color w:val="1A1726"/>
                <w:sz w:val="19"/>
                <w:szCs w:val="19"/>
              </w:rPr>
              <w:t xml:space="preserve">Students set their own two revision goals (Wk 7).</w:t>
            </w:r>
          </w:p>
          <w:p>
            <w:pPr>
              <w:pStyle w:val="ListParagraph"/>
              <w:numPr>
                <w:ilvl w:val="0"/>
                <w:numId w:val="1"/>
              </w:numPr>
              <w:spacing w:after="30" w:before="0"/>
            </w:pPr>
            <w:r>
              <w:rPr>
                <w:rFonts w:ascii="Calibri" w:cs="Calibri" w:eastAsia="Calibri" w:hAnsi="Calibri"/>
                <w:color w:val="1A1726"/>
                <w:sz w:val="19"/>
                <w:szCs w:val="19"/>
              </w:rPr>
              <w:t xml:space="preserve">Writers triage peer feedback and justify what they leave (Wk 8).</w:t>
            </w:r>
          </w:p>
          <w:p>
            <w:pPr>
              <w:pStyle w:val="ListParagraph"/>
              <w:numPr>
                <w:ilvl w:val="0"/>
                <w:numId w:val="1"/>
              </w:numPr>
              <w:spacing w:after="30" w:before="0"/>
            </w:pPr>
            <w:r>
              <w:rPr>
                <w:rFonts w:ascii="Calibri" w:cs="Calibri" w:eastAsia="Calibri" w:hAnsi="Calibri"/>
                <w:color w:val="1A1726"/>
                <w:sz w:val="19"/>
                <w:szCs w:val="19"/>
              </w:rPr>
              <w:t xml:space="preserve">Students decide what their diagram shows (Wk 6).</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Local: te taiao — an awa, an estuary, local birds, local weather.</w:t>
            </w:r>
          </w:p>
          <w:p>
            <w:pPr>
              <w:pStyle w:val="ListParagraph"/>
              <w:numPr>
                <w:ilvl w:val="0"/>
                <w:numId w:val="1"/>
              </w:numPr>
              <w:spacing w:after="30" w:before="0"/>
            </w:pPr>
            <w:r>
              <w:rPr>
                <w:rFonts w:ascii="Calibri" w:cs="Calibri" w:eastAsia="Calibri" w:hAnsi="Calibri"/>
                <w:color w:val="1A1726"/>
                <w:sz w:val="19"/>
                <w:szCs w:val="19"/>
              </w:rPr>
              <w:t xml:space="preserve">Everyday: the fridge, bread, goosebumps, rainbows, batteries.</w:t>
            </w:r>
          </w:p>
          <w:p>
            <w:pPr>
              <w:pStyle w:val="ListParagraph"/>
              <w:numPr>
                <w:ilvl w:val="0"/>
                <w:numId w:val="1"/>
              </w:numPr>
              <w:spacing w:after="30" w:before="0"/>
            </w:pPr>
            <w:r>
              <w:rPr>
                <w:rFonts w:ascii="Calibri" w:cs="Calibri" w:eastAsia="Calibri" w:hAnsi="Calibri"/>
                <w:color w:val="1A1726"/>
                <w:sz w:val="19"/>
                <w:szCs w:val="19"/>
              </w:rPr>
              <w:t xml:space="preserve">Cross-curricular: whatever the class is studying in science, technology or social sciences.</w:t>
            </w:r>
          </w:p>
          <w:p>
            <w:pPr>
              <w:pStyle w:val="ListParagraph"/>
              <w:numPr>
                <w:ilvl w:val="0"/>
                <w:numId w:val="1"/>
              </w:numPr>
              <w:spacing w:after="30" w:before="0"/>
            </w:pPr>
            <w:r>
              <w:rPr>
                <w:rFonts w:ascii="Calibri" w:cs="Calibri" w:eastAsia="Calibri" w:hAnsi="Calibri"/>
                <w:color w:val="1A1726"/>
                <w:sz w:val="19"/>
                <w:szCs w:val="19"/>
              </w:rPr>
              <w:t xml:space="preserve">Audience: a Year 3 buddy class, met in Week 3 and presented to in Week 10.</w:t>
            </w:r>
          </w:p>
        </w:tc>
        <w:tc>
          <w:tcPr>
            <w:tcW w:type="dxa" w:w="57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No topic: the borrow-a-question list, offered without ceremony.</w:t>
            </w:r>
          </w:p>
          <w:p>
            <w:pPr>
              <w:pStyle w:val="ListParagraph"/>
              <w:numPr>
                <w:ilvl w:val="0"/>
                <w:numId w:val="1"/>
              </w:numPr>
              <w:spacing w:after="30" w:before="0"/>
            </w:pPr>
            <w:r>
              <w:rPr>
                <w:rFonts w:ascii="Calibri" w:cs="Calibri" w:eastAsia="Calibri" w:hAnsi="Calibri"/>
                <w:color w:val="1A1726"/>
                <w:sz w:val="19"/>
                <w:szCs w:val="19"/>
              </w:rPr>
              <w:t xml:space="preserve">Copying: a comprehension problem, not a cheating problem — cover the source and have them say it aloud.</w:t>
            </w:r>
          </w:p>
          <w:p>
            <w:pPr>
              <w:pStyle w:val="ListParagraph"/>
              <w:numPr>
                <w:ilvl w:val="0"/>
                <w:numId w:val="1"/>
              </w:numPr>
              <w:spacing w:after="30" w:before="0"/>
            </w:pPr>
            <w:r>
              <w:rPr>
                <w:rFonts w:ascii="Calibri" w:cs="Calibri" w:eastAsia="Calibri" w:hAnsi="Calibri"/>
                <w:color w:val="1A1726"/>
                <w:sz w:val="19"/>
                <w:szCs w:val="19"/>
              </w:rPr>
              <w:t xml:space="preserve">Topic too big: narrow it with the buddy test — what is ONE question a Year 3 would ask?</w:t>
            </w:r>
          </w:p>
          <w:p>
            <w:pPr>
              <w:pStyle w:val="ListParagraph"/>
              <w:numPr>
                <w:ilvl w:val="0"/>
                <w:numId w:val="1"/>
              </w:numPr>
              <w:spacing w:after="30" w:before="0"/>
            </w:pPr>
            <w:r>
              <w:rPr>
                <w:rFonts w:ascii="Calibri" w:cs="Calibri" w:eastAsia="Calibri" w:hAnsi="Calibri"/>
                <w:color w:val="1A1726"/>
                <w:sz w:val="19"/>
                <w:szCs w:val="19"/>
              </w:rPr>
              <w:t xml:space="preserve">Transcription difficulty: reduce volume, never thinking; the diagram carries real content here, so let it.</w:t>
            </w:r>
          </w:p>
          <w:p>
            <w:pPr>
              <w:pStyle w:val="ListParagraph"/>
              <w:numPr>
                <w:ilvl w:val="0"/>
                <w:numId w:val="1"/>
              </w:numPr>
              <w:spacing w:after="30" w:before="0"/>
            </w:pPr>
            <w:r>
              <w:rPr>
                <w:rFonts w:ascii="Calibri" w:cs="Calibri" w:eastAsia="Calibri" w:hAnsi="Calibri"/>
                <w:color w:val="1A1726"/>
                <w:sz w:val="19"/>
                <w:szCs w:val="19"/>
              </w:rPr>
              <w:t xml:space="preserve">Can’t explain it without the paper: send them back to FILL for one lesson.</w:t>
            </w:r>
          </w:p>
          <w:p>
            <w:pPr>
              <w:pStyle w:val="ListParagraph"/>
              <w:numPr>
                <w:ilvl w:val="0"/>
                <w:numId w:val="1"/>
              </w:numPr>
              <w:spacing w:after="30" w:before="0"/>
            </w:pPr>
            <w:r>
              <w:rPr>
                <w:rFonts w:ascii="Calibri" w:cs="Calibri" w:eastAsia="Calibri" w:hAnsi="Calibri"/>
                <w:color w:val="1A1726"/>
                <w:sz w:val="19"/>
                <w:szCs w:val="19"/>
              </w:rPr>
              <w:t xml:space="preserve">Finishes early: a second explanation, or become the class’s “clarity checker”.</w:t>
            </w:r>
          </w:p>
        </w:tc>
      </w:tr>
    </w:tbl>
    <w:p>
      <w:pPr>
        <w:spacing w:after="80" w:before="0"/>
      </w:pPr>
      <w:r>
        <w:rPr>
          <w:rFonts w:ascii="Calibri" w:cs="Calibri" w:eastAsia="Calibri" w:hAnsi="Calibri"/>
          <w:i/>
          <w:iCs/>
          <w:color w:val="1A1726"/>
          <w:sz w:val="19"/>
          <w:szCs w:val="19"/>
        </w:rPr>
        <w:t xml:space="preserve">PRINTABLE STUDENT WORKSHEET: every week's prompt can be printed as a two-page student planning sheet from the app (“Print student worksheet”) — the prompt, the question ladder with writing space, the word bank as tick-boxes, the sentence starters, a plan/notes page, a box for the first sentence, the “only if you're stuck” layer, and a four-point self-check. It sits beside the student while they start writing, and doubles as evidence of the planning stage.</w:t>
      </w:r>
    </w:p>
    <w:p>
      <w:pPr>
        <w:pBdr>
          <w:bottom w:val="single" w:color="CCCCCC" w:sz="6"/>
        </w:pBdr>
        <w:spacing w:after="90" w:before="180"/>
      </w:pPr>
      <w:r>
        <w:rPr>
          <w:rFonts w:ascii="Calibri" w:cs="Calibri" w:eastAsia="Calibri" w:hAnsi="Calibri"/>
          <w:b/>
          <w:bCs/>
          <w:color w:val="0F766E"/>
          <w:sz w:val="26"/>
          <w:szCs w:val="26"/>
        </w:rPr>
        <w:t xml:space="preserve">Getting Every Writer Started — the four-layer idea support (identical every week)</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12200"/>
      </w:tblGrid>
      <w:tr>
        <w:tc>
          <w:tcPr>
            <w:tcW w:type="dxa" w:w="22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Layer 1 — The Prompt</w:t>
            </w:r>
          </w:p>
        </w:tc>
        <w:tc>
          <w:tcPr>
            <w:tcW w:type="dxa" w:w="12200"/>
            <w:tcMar>
              <w:top w:type="dxa" w:w="80"/>
              <w:left w:type="dxa" w:w="120"/>
              <w:bottom w:type="dxa" w:w="80"/>
              <w:right w:type="dxa" w:w="120"/>
            </w:tcMar>
          </w:tcPr>
          <w:p>
            <w:pPr>
              <w:spacing w:after="80" w:before="0"/>
            </w:pPr>
            <w:r>
              <w:rPr>
                <w:rFonts w:ascii="Calibri" w:cs="Calibri" w:eastAsia="Calibri" w:hAnsi="Calibri"/>
                <w:color w:val="1A1726"/>
                <w:sz w:val="19"/>
                <w:szCs w:val="19"/>
              </w:rPr>
              <w:t xml:space="preserve">One open instruction for the week, matched to the stage.</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Layer 2 — Question Ladder</w:t>
            </w:r>
          </w:p>
        </w:tc>
        <w:tc>
          <w:tcPr>
            <w:tcW w:type="dxa" w:w="1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Four increasingly specific questions that walk a student from blank to first sentence.</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Layer 3 — Word &amp; Starter Bank</w:t>
            </w:r>
          </w:p>
        </w:tc>
        <w:tc>
          <w:tcPr>
            <w:tcW w:type="dxa" w:w="1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Genre vocabulary (connectives, process verbs, technical language) plus three sentence starters.</w:t>
            </w:r>
          </w:p>
        </w:tc>
      </w:tr>
      <w:tr>
        <w:trPr>
          <w:tblHeader w:val="false"/>
        </w:trPr>
        <w:tc>
          <w:tcPr>
            <w:tcW w:type="dxa" w:w="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Layer 4 — “Still stuck?”</w:t>
            </w:r>
          </w:p>
        </w:tc>
        <w:tc>
          <w:tcPr>
            <w:tcW w:type="dxa" w:w="12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Click-to-reveal: a borrow-this question · an image prompt · a talk-it-out-first instruction. The Term 2 borrow list matters more than Term 1’s, because a student with no question has nothing at all.</w:t>
            </w:r>
          </w:p>
        </w:tc>
      </w:tr>
    </w:tbl>
    <w:p>
      <w:pPr>
        <w:spacing w:after="120" w:before="200"/>
      </w:pPr>
      <w:r>
        <w:rPr>
          <w:rFonts w:ascii="Calibri" w:cs="Calibri" w:eastAsia="Calibri" w:hAnsi="Calibri"/>
          <w:b/>
          <w:bCs/>
          <w:color w:val="6B21A8"/>
          <w:sz w:val="34"/>
          <w:szCs w:val="34"/>
        </w:rPr>
        <w:t xml:space="preserve">TEACHING THE WRITING PROCESS: TRANSFER</w:t>
      </w:r>
    </w:p>
    <w:p>
      <w:pPr>
        <w:spacing w:after="80" w:before="0"/>
      </w:pPr>
      <w:r>
        <w:rPr>
          <w:rFonts w:ascii="Calibri" w:cs="Calibri" w:eastAsia="Calibri" w:hAnsi="Calibri"/>
          <w:i/>
          <w:iCs/>
          <w:color w:val="1A1726"/>
          <w:sz w:val="20"/>
          <w:szCs w:val="20"/>
        </w:rPr>
        <w:t xml:space="preserve">Same four stages, same words, same hand actions, same chant — FILL · FIND · SHAPE · SHARE. Nothing about the process changes, which is exactly why this term can teach something harder: transfer. Students are expected to arrive already able to name the stages, so Term 2’s spotlights ask what each stage looks like in a new genre.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5900"/>
        <w:gridCol w:w="5900"/>
      </w:tblGrid>
      <w:tr>
        <w:trPr>
          <w:tblHeader/>
        </w:trPr>
        <w:tc>
          <w:tcPr>
            <w:tcW w:type="dxa" w:w="2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5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1 — narrative</w:t>
            </w:r>
          </w:p>
        </w:tc>
        <w:tc>
          <w:tcPr>
            <w:tcW w:type="dxa" w:w="59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Term 2 — explanation</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 — What do I want to say?</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Filled with memories, senses and moments — the material was already inside you.</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Filled with FACTS — found, checked against two sources, and written in your own words.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FIND — Who do I want to say it to?</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school community; the story ARC, which needs surprise.</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One named eight-year-old; the SEQUENCE, which must contain no surprises at all.</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SHAPE — How do I want to say it?</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vivid?”</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“Is it CLEAR?” — read it as the person who does not already know. You cannot un-know your own topic, so we use tricks: reading aloud, a partner, a real eight-year-old.</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SHARE — Is it ready to give away?</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feel it?”</w:t>
            </w:r>
          </w:p>
        </w:tc>
        <w:tc>
          <w:tcPr>
            <w:tcW w:type="dxa" w:w="59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“Did you UNDERSTAND it?” — and confusion is not arguable. Two readers lost in the same place is a fact about the writing.</w:t>
            </w:r>
          </w:p>
        </w:tc>
      </w:tr>
    </w:tbl>
    <w:p>
      <w:pPr>
        <w:pBdr>
          <w:bottom w:val="single" w:color="CCCCCC" w:sz="6"/>
        </w:pBdr>
        <w:spacing w:after="90" w:before="180"/>
      </w:pPr>
      <w:r>
        <w:rPr>
          <w:rFonts w:ascii="Calibri" w:cs="Calibri" w:eastAsia="Calibri" w:hAnsi="Calibri"/>
          <w:b/>
          <w:bCs/>
          <w:color w:val="0F766E"/>
          <w:sz w:val="26"/>
          <w:szCs w:val="26"/>
        </w:rPr>
        <w:t xml:space="preserve">Teaching and recall schedule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000"/>
        <w:gridCol w:w="12400"/>
      </w:tblGrid>
      <w:tr>
        <w:trPr>
          <w:tblHeader/>
        </w:trPr>
        <w:tc>
          <w:tcPr>
            <w:tcW w:type="dxa" w:w="20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Week</w:t>
            </w:r>
          </w:p>
        </w:tc>
        <w:tc>
          <w:tcPr>
            <w:tcW w:type="dxa" w:w="124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happens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COLD RECALL — all four stages after the break, no notes, no wall strip. Then the strip goes back up and the daily Process Check restarts.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FILL. Two buckets on the board: memories versus facts, and why facts must be checked.</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3</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FIND. Arc versus arrows; a general audience versus one named child.</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4</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60-second quick-fire, no notes.</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5</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TEACH IT — students teach the four stages, with hand actions, to their Year 3 buddy.</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SPACED RECALL + move the peg, justified out loud.</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7</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SHAPE. “Is it vivid?” becomes “is it clear?”</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TRANSFER — SHARE. “Did you feel it?” becomes “did you understand it?”</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9</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THE CYCLE — plus the new long arrow: a question you cannot answer sends you all the way back to FILL.</w:t>
            </w:r>
          </w:p>
        </w:tc>
      </w:tr>
      <w:tr>
        <w:trPr>
          <w:tblHeader w:val="false"/>
        </w:trPr>
        <w:tc>
          <w:tcPr>
            <w:tcW w:type="dxa" w:w="20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124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ASSESS — explain the process, and explain how each stage differed this term.</w:t>
            </w:r>
          </w:p>
        </w:tc>
      </w:tr>
    </w:tbl>
    <w:p>
      <w:pPr>
        <w:pBdr>
          <w:bottom w:val="single" w:color="CCCCCC" w:sz="6"/>
        </w:pBdr>
        <w:spacing w:after="90" w:before="180"/>
      </w:pPr>
      <w:r>
        <w:rPr>
          <w:rFonts w:ascii="Calibri" w:cs="Calibri" w:eastAsia="Calibri" w:hAnsi="Calibri"/>
          <w:b/>
          <w:bCs/>
          <w:color w:val="0F766E"/>
          <w:sz w:val="26"/>
          <w:szCs w:val="26"/>
        </w:rPr>
        <w:t xml:space="preserve">The 60-second Process Check — every lesson, unchanged from Term 1</w:t>
      </w:r>
    </w:p>
    <w:p>
      <w:pPr>
        <w:spacing w:after="80" w:before="0"/>
      </w:pPr>
      <w:r>
        <w:rPr>
          <w:rFonts w:ascii="Calibri" w:cs="Calibri" w:eastAsia="Calibri" w:hAnsi="Calibri"/>
          <w:b/>
          <w:bCs/>
          <w:color w:val="1A1726"/>
          <w:sz w:val="19"/>
          <w:szCs w:val="19"/>
        </w:rPr>
        <w:t xml:space="preserve">WEEK 1 — TEACH THE SPOTLIGHT FIRST. On the term's first spotlight day the cold recall has to happen before anything reminds the class of the answer, including the routine itself. That lesson's card in the app carries a “teach the spotlight first today” banner and places the spotlight above the routine. Normal order resumes the next day.</w:t>
      </w:r>
    </w:p>
    <w:p>
      <w:pPr>
        <w:pStyle w:val="ListParagraph"/>
        <w:numPr>
          <w:ilvl w:val="0"/>
          <w:numId w:val="1"/>
        </w:numPr>
        <w:spacing w:after="40" w:before="0"/>
      </w:pPr>
      <w:r>
        <w:rPr>
          <w:rFonts w:ascii="Calibri" w:cs="Calibri" w:eastAsia="Calibri" w:hAnsi="Calibri"/>
          <w:color w:val="1A1726"/>
          <w:sz w:val="19"/>
          <w:szCs w:val="19"/>
        </w:rPr>
        <w:t xml:space="preserve">“Hands — which stage are we in?” Whole class does the action, silently.</w:t>
      </w:r>
    </w:p>
    <w:p>
      <w:pPr>
        <w:pStyle w:val="ListParagraph"/>
        <w:numPr>
          <w:ilvl w:val="0"/>
          <w:numId w:val="1"/>
        </w:numPr>
        <w:spacing w:after="40" w:before="0"/>
      </w:pPr>
      <w:r>
        <w:rPr>
          <w:rFonts w:ascii="Calibri" w:cs="Calibri" w:eastAsia="Calibri" w:hAnsi="Calibri"/>
          <w:color w:val="1A1726"/>
          <w:sz w:val="19"/>
          <w:szCs w:val="19"/>
        </w:rPr>
        <w:t xml:space="preserve">“Name it.” Whole class: the stage number, word and question.</w:t>
      </w:r>
    </w:p>
    <w:p>
      <w:pPr>
        <w:pStyle w:val="ListParagraph"/>
        <w:numPr>
          <w:ilvl w:val="0"/>
          <w:numId w:val="1"/>
        </w:numPr>
        <w:spacing w:after="40" w:before="0"/>
      </w:pPr>
      <w:r>
        <w:rPr>
          <w:rFonts w:ascii="Calibri" w:cs="Calibri" w:eastAsia="Calibri" w:hAnsi="Calibri"/>
          <w:color w:val="1A1726"/>
          <w:sz w:val="19"/>
          <w:szCs w:val="19"/>
        </w:rPr>
        <w:t xml:space="preserve">One student: “How do you know we’re in that stage today?” — the answer must point at what they are actually doing. This term, push further with strong students: “…and how is that different from what FILL looked like last term?”</w:t>
      </w:r>
    </w:p>
    <w:p>
      <w:pPr>
        <w:pStyle w:val="ListParagraph"/>
        <w:numPr>
          <w:ilvl w:val="0"/>
          <w:numId w:val="1"/>
        </w:numPr>
        <w:spacing w:after="40" w:before="0"/>
      </w:pPr>
      <w:r>
        <w:rPr>
          <w:rFonts w:ascii="Calibri" w:cs="Calibri" w:eastAsia="Calibri" w:hAnsi="Calibri"/>
          <w:color w:val="1A1726"/>
          <w:sz w:val="19"/>
          <w:szCs w:val="19"/>
        </w:rPr>
        <w:t xml:space="preserve">Today’s extra question, written on each day’s lesson. Drop this step if short of time.</w:t>
      </w:r>
    </w:p>
    <w:p>
      <w:pPr>
        <w:spacing w:after="80" w:before="0"/>
      </w:pPr>
      <w:r>
        <w:rPr>
          <w:rFonts w:ascii="Calibri" w:cs="Calibri" w:eastAsia="Calibri" w:hAnsi="Calibri"/>
          <w:i/>
          <w:iCs/>
          <w:color w:val="1A1726"/>
          <w:sz w:val="19"/>
          <w:szCs w:val="19"/>
        </w:rPr>
        <w:t xml:space="preserve">Do not improve the routine. Its entire value is that it is identical, fifty times a term and now a hundred times across two terms.</w:t>
      </w:r>
    </w:p>
    <w:p>
      <w:pPr>
        <w:pBdr>
          <w:bottom w:val="single" w:color="CCCCCC" w:sz="6"/>
        </w:pBdr>
        <w:spacing w:after="90" w:before="180"/>
      </w:pPr>
      <w:r>
        <w:rPr>
          <w:rFonts w:ascii="Calibri" w:cs="Calibri" w:eastAsia="Calibri" w:hAnsi="Calibri"/>
          <w:b/>
          <w:bCs/>
          <w:color w:val="0F766E"/>
          <w:sz w:val="26"/>
          <w:szCs w:val="26"/>
        </w:rPr>
        <w:t xml:space="preserve">Week 10 assessment</w:t>
      </w:r>
    </w:p>
    <w:p>
      <w:pPr>
        <w:spacing w:after="80" w:before="0"/>
      </w:pPr>
      <w:r>
        <w:rPr>
          <w:rFonts w:ascii="Calibri" w:cs="Calibri" w:eastAsia="Calibri" w:hAnsi="Calibri"/>
          <w:b/>
          <w:bCs/>
          <w:color w:val="1A1726"/>
          <w:sz w:val="20"/>
          <w:szCs w:val="20"/>
        </w:rPr>
        <w:t xml:space="preserve">“Explain our writing process to someone who has never heard of it. Then explain how each stage was DIFFERENT this term, when you were explaining how something works instead of telling a story.”</w:t>
      </w:r>
    </w:p>
    <w:p>
      <w:pPr>
        <w:pStyle w:val="ListParagraph"/>
        <w:numPr>
          <w:ilvl w:val="0"/>
          <w:numId w:val="1"/>
        </w:numPr>
        <w:spacing w:after="40" w:before="0"/>
      </w:pPr>
      <w:r>
        <w:rPr>
          <w:rFonts w:ascii="Calibri" w:cs="Calibri" w:eastAsia="Calibri" w:hAnsi="Calibri"/>
          <w:color w:val="1A1726"/>
          <w:sz w:val="19"/>
          <w:szCs w:val="19"/>
        </w:rPr>
        <w:t xml:space="preserve">Names all four stages in order, with the question that belongs to each</w:t>
      </w:r>
    </w:p>
    <w:p>
      <w:pPr>
        <w:pStyle w:val="ListParagraph"/>
        <w:numPr>
          <w:ilvl w:val="0"/>
          <w:numId w:val="1"/>
        </w:numPr>
        <w:spacing w:after="40" w:before="0"/>
      </w:pPr>
      <w:r>
        <w:rPr>
          <w:rFonts w:ascii="Calibri" w:cs="Calibri" w:eastAsia="Calibri" w:hAnsi="Calibri"/>
          <w:color w:val="1A1726"/>
          <w:sz w:val="19"/>
          <w:szCs w:val="19"/>
        </w:rPr>
        <w:t xml:space="preserve">Explains in their own words what a writer DOES in each stage</w:t>
      </w:r>
    </w:p>
    <w:p>
      <w:pPr>
        <w:pStyle w:val="ListParagraph"/>
        <w:numPr>
          <w:ilvl w:val="0"/>
          <w:numId w:val="1"/>
        </w:numPr>
        <w:spacing w:after="40" w:before="0"/>
      </w:pPr>
      <w:r>
        <w:rPr>
          <w:rFonts w:ascii="Calibri" w:cs="Calibri" w:eastAsia="Calibri" w:hAnsi="Calibri"/>
          <w:color w:val="1A1726"/>
          <w:sz w:val="19"/>
          <w:szCs w:val="19"/>
        </w:rPr>
        <w:t xml:space="preserve">Names at least two real differences between the narrative version and the explanation version</w:t>
      </w:r>
    </w:p>
    <w:p>
      <w:pPr>
        <w:pStyle w:val="ListParagraph"/>
        <w:numPr>
          <w:ilvl w:val="0"/>
          <w:numId w:val="1"/>
        </w:numPr>
        <w:spacing w:after="40" w:before="0"/>
      </w:pPr>
      <w:r>
        <w:rPr>
          <w:rFonts w:ascii="Calibri" w:cs="Calibri" w:eastAsia="Calibri" w:hAnsi="Calibri"/>
          <w:color w:val="1A1726"/>
          <w:sz w:val="19"/>
          <w:szCs w:val="19"/>
        </w:rPr>
        <w:t xml:space="preserve">Knows that Stages 3 and 4 repeat in cycles — and that a confused reader sends you back to SHAPE</w:t>
      </w:r>
    </w:p>
    <w:p>
      <w:pPr>
        <w:spacing w:after="120" w:before="200"/>
      </w:pPr>
      <w:r>
        <w:rPr>
          <w:rFonts w:ascii="Calibri" w:cs="Calibri" w:eastAsia="Calibri" w:hAnsi="Calibri"/>
          <w:b/>
          <w:bCs/>
          <w:color w:val="6B21A8"/>
          <w:sz w:val="34"/>
          <w:szCs w:val="34"/>
        </w:rPr>
        <w:t xml:space="preserve">ASSESSMENT</w:t>
      </w:r>
    </w:p>
    <w:p>
      <w:pPr>
        <w:pBdr>
          <w:bottom w:val="single" w:color="CCCCCC" w:sz="6"/>
        </w:pBdr>
        <w:spacing w:after="90" w:before="180"/>
      </w:pPr>
      <w:r>
        <w:rPr>
          <w:rFonts w:ascii="Calibri" w:cs="Calibri" w:eastAsia="Calibri" w:hAnsi="Calibri"/>
          <w:b/>
          <w:bCs/>
          <w:color w:val="0F766E"/>
          <w:sz w:val="26"/>
          <w:szCs w:val="26"/>
        </w:rPr>
        <w:t xml:space="preserve">Marking load across the term</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8200"/>
        <w:gridCol w:w="3600"/>
      </w:tblGrid>
      <w:tr>
        <w:trPr>
          <w:tblHeader/>
        </w:trPr>
        <w:tc>
          <w:tcPr>
            <w:tcW w:type="dxa" w:w="2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When</w:t>
            </w:r>
          </w:p>
        </w:tc>
        <w:tc>
          <w:tcPr>
            <w:tcW w:type="dxa" w:w="8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w:t>
            </w:r>
          </w:p>
        </w:tc>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Teacher time</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2, Friday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Notes check — a glance at jotter notes for “own words, not copied”. No written marking.</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min for the class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3, Friday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Plan gallery — a glance at flow-chart organisers during the gallery walk.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~10 min for the class</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6, Thursday</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Draft check: one of three stamps — On track / Needs a conference / Flying.</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~15 sec per student</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8</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Nothing — the Helping Circle and the buddy test carry the feedback.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0</w:t>
            </w:r>
          </w:p>
        </w:tc>
      </w:tr>
      <w:tr>
        <w:trPr>
          <w:tblHeader w:val="false"/>
        </w:trPr>
        <w:tc>
          <w:tcPr>
            <w:tcW w:type="dxa" w:w="2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Week 10</w:t>
            </w:r>
          </w:p>
        </w:tc>
        <w:tc>
          <w:tcPr>
            <w:tcW w:type="dxa" w:w="8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Published explanation against the single-point rubric: ticks, one glow, one grow, plus the spoken process check.</w:t>
            </w:r>
          </w:p>
        </w:tc>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~3 min per student</w:t>
            </w:r>
          </w:p>
        </w:tc>
      </w:tr>
    </w:tbl>
    <w:p>
      <w:pPr>
        <w:pBdr>
          <w:bottom w:val="single" w:color="CCCCCC" w:sz="6"/>
        </w:pBdr>
        <w:spacing w:after="90" w:before="180"/>
      </w:pPr>
      <w:r>
        <w:rPr>
          <w:rFonts w:ascii="Calibri" w:cs="Calibri" w:eastAsia="Calibri" w:hAnsi="Calibri"/>
          <w:b/>
          <w:bCs/>
          <w:color w:val="0F766E"/>
          <w:sz w:val="26"/>
          <w:szCs w:val="26"/>
        </w:rPr>
        <w:t xml:space="preserve">Single-Point Rubric — Term 2 published explanation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gridCol w:w="2700"/>
        <w:gridCol w:w="2700"/>
      </w:tblGrid>
      <w:tr>
        <w:trPr>
          <w:tblHeader/>
        </w:trPr>
        <w:tc>
          <w:tcPr>
            <w:tcW w:type="dxa" w:w="3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Success criterion</w:t>
            </w:r>
          </w:p>
        </w:tc>
        <w:tc>
          <w:tcPr>
            <w:tcW w:type="dxa" w:w="5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What a strong piece does</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Glow ✓</w:t>
            </w:r>
          </w:p>
        </w:tc>
        <w:tc>
          <w:tcPr>
            <w:tcW w:type="dxa" w:w="27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Grow →</w:t>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Title &amp; opening</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Names the topic and opens with a clear definition sentence</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Sequence</w:t>
            </w:r>
          </w:p>
        </w:tc>
        <w:tc>
          <w:tcPr>
            <w:tcW w:type="dxa" w:w="5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Steps are in an order that works; nothing missing, nothing misplaced</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Paragraphs</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Topic sentence, detail sentences, one job per paragraph</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Connectives</w:t>
            </w:r>
          </w:p>
        </w:tc>
        <w:tc>
          <w:tcPr>
            <w:tcW w:type="dxa" w:w="5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Time and cause words link the steps (because, so, as a result)</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Technical vocabulary</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Uses the proper words — and explains each one at first use</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Present tense &amp; general nouns</w:t>
            </w:r>
          </w:p>
        </w:tc>
        <w:tc>
          <w:tcPr>
            <w:tcW w:type="dxa" w:w="5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Written as a general truth, not a story about one day</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Diagram</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Labelled and captioned, and adds what the words cannot carry</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Clarity for the audience</w:t>
            </w:r>
          </w:p>
        </w:tc>
        <w:tc>
          <w:tcPr>
            <w:tcW w:type="dxa" w:w="5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 Year 3 reader could follow it without help</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Closing statement</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Ends with why it matters, or genuine wonder</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Accuracy</w:t>
            </w:r>
          </w:p>
        </w:tc>
        <w:tc>
          <w:tcPr>
            <w:tcW w:type="dxa" w:w="58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Facts correct and in the writer’s own words; GPS checked</w:t>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shd w:fill="FBF7F0" w:color="auto" w:val="clear"/>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r>
        <w:trPr>
          <w:tblHeader w:val="false"/>
        </w:trPr>
        <w:tc>
          <w:tcPr>
            <w:tcW w:type="dxa" w:w="32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Process</w:t>
            </w:r>
          </w:p>
        </w:tc>
        <w:tc>
          <w:tcPr>
            <w:tcW w:type="dxa" w:w="58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Can name the four stages, say which one they are in and why, and how this term differed</w:t>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c>
          <w:tcPr>
            <w:tcW w:type="dxa" w:w="27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
            </w:r>
          </w:p>
        </w:tc>
      </w:tr>
    </w:tbl>
    <w:p>
      <w:pPr>
        <w:spacing w:after="80" w:before="120"/>
      </w:pPr>
      <w:r>
        <w:rPr>
          <w:rFonts w:ascii="Calibri" w:cs="Calibri" w:eastAsia="Calibri" w:hAnsi="Calibri"/>
          <w:b/>
          <w:bCs/>
          <w:color w:val="1A1726"/>
          <w:sz w:val="20"/>
          <w:szCs w:val="20"/>
        </w:rPr>
        <w:t xml:space="preserve">Overall:  ☐ Working towards   ☐ Meeting Phase 2 expectations   ☐ Exceeding</w:t>
      </w:r>
    </w:p>
    <w:p>
      <w:pPr>
        <w:spacing w:after="80" w:before="0"/>
      </w:pPr>
      <w:r>
        <w:rPr>
          <w:rFonts w:ascii="Calibri" w:cs="Calibri" w:eastAsia="Calibri" w:hAnsi="Calibri"/>
          <w:color w:val="1A1726"/>
          <w:sz w:val="20"/>
          <w:szCs w:val="20"/>
        </w:rPr>
        <w:t xml:space="preserve">Glow (one sentence): _______________________________________________________________________</w:t>
      </w:r>
    </w:p>
    <w:p>
      <w:pPr>
        <w:spacing w:after="80" w:before="0"/>
      </w:pPr>
      <w:r>
        <w:rPr>
          <w:rFonts w:ascii="Calibri" w:cs="Calibri" w:eastAsia="Calibri" w:hAnsi="Calibri"/>
          <w:color w:val="1A1726"/>
          <w:sz w:val="20"/>
          <w:szCs w:val="20"/>
        </w:rPr>
        <w:t xml:space="preserve">Grow (one next step — “Next time, try…”): __________________________________________________</w:t>
      </w:r>
    </w:p>
    <w:p>
      <w:pPr>
        <w:spacing w:after="120" w:before="200"/>
      </w:pPr>
      <w:r>
        <w:rPr>
          <w:rFonts w:ascii="Calibri" w:cs="Calibri" w:eastAsia="Calibri" w:hAnsi="Calibri"/>
          <w:b/>
          <w:bCs/>
          <w:color w:val="6B21A8"/>
          <w:sz w:val="34"/>
          <w:szCs w:val="34"/>
        </w:rPr>
        <w:t xml:space="preserve">WRITING PROCESS PLANNING</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0800"/>
      </w:tblGrid>
      <w:tr>
        <w:trPr>
          <w:tblHeader/>
        </w:trPr>
        <w:tc>
          <w:tcPr>
            <w:tcW w:type="dxa" w:w="36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Stage</w:t>
            </w:r>
          </w:p>
        </w:tc>
        <w:tc>
          <w:tcPr>
            <w:tcW w:type="dxa" w:w="108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Planning — lessons and experiences for this stage, in this unit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One — What do I want to say? Has something to say · explore &amp; develop vocabulary and ideas · uses prompts · makes thinking visible · plan with organisers · jotter notebooks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1–3. FILL — but this term the well fills with facts, not memories.</w:t>
            </w:r>
          </w:p>
          <w:p>
            <w:pPr>
              <w:pStyle w:val="ListParagraph"/>
              <w:numPr>
                <w:ilvl w:val="0"/>
                <w:numId w:val="1"/>
              </w:numPr>
              <w:spacing w:after="30" w:before="0"/>
            </w:pPr>
            <w:r>
              <w:rPr>
                <w:rFonts w:ascii="Calibri" w:cs="Calibri" w:eastAsia="Calibri" w:hAnsi="Calibri"/>
                <w:color w:val="1A1726"/>
                <w:sz w:val="19"/>
                <w:szCs w:val="19"/>
              </w:rPr>
              <w:t xml:space="preserve">Wk 1: story versus explanation (two texts, one topic); deconstructing how an explanation is built; the Wonder Bank; thin / too fat / just right questions; the explain-a-thon that exposes the holes.</w:t>
            </w:r>
          </w:p>
          <w:p>
            <w:pPr>
              <w:pStyle w:val="ListParagraph"/>
              <w:numPr>
                <w:ilvl w:val="0"/>
                <w:numId w:val="1"/>
              </w:numPr>
              <w:spacing w:after="30" w:before="0"/>
            </w:pPr>
            <w:r>
              <w:rPr>
                <w:rFonts w:ascii="Calibri" w:cs="Calibri" w:eastAsia="Calibri" w:hAnsi="Calibri"/>
                <w:color w:val="1A1726"/>
                <w:sz w:val="19"/>
                <w:szCs w:val="19"/>
              </w:rPr>
              <w:t xml:space="preserve">Wk 2: judging sources and the two-source rule; the five-box fact file; notes in key words and arrows; the cover-and-say routine that prevents copying; independent research down a self-made holes list.</w:t>
            </w:r>
          </w:p>
          <w:p>
            <w:pPr>
              <w:pStyle w:val="ListParagraph"/>
              <w:numPr>
                <w:ilvl w:val="0"/>
                <w:numId w:val="1"/>
              </w:numPr>
              <w:spacing w:after="30" w:before="0"/>
            </w:pPr>
            <w:r>
              <w:rPr>
                <w:rFonts w:ascii="Calibri" w:cs="Calibri" w:eastAsia="Calibri" w:hAnsi="Calibri"/>
                <w:color w:val="1A1726"/>
                <w:sz w:val="19"/>
                <w:szCs w:val="19"/>
              </w:rPr>
              <w:t xml:space="preserve">Wk 3: choosing the final question and testing it against the audience.</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Two — Who do I want to say it to? Impact · voice · first ideas · feedback · sharing · reading–writing links and close reading of models · audience awareness</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3–6. First draft — fluency, aimed at one real reader.</w:t>
            </w:r>
          </w:p>
          <w:p>
            <w:pPr>
              <w:pStyle w:val="ListParagraph"/>
              <w:numPr>
                <w:ilvl w:val="0"/>
                <w:numId w:val="1"/>
              </w:numPr>
              <w:spacing w:after="30" w:before="0"/>
            </w:pPr>
            <w:r>
              <w:rPr>
                <w:rFonts w:ascii="Calibri" w:cs="Calibri" w:eastAsia="Calibri" w:hAnsi="Calibri"/>
                <w:color w:val="1A1726"/>
                <w:sz w:val="19"/>
                <w:szCs w:val="19"/>
              </w:rPr>
              <w:t xml:space="preserve">Wk 3: the flow-chart organiser (arrows, not an arc); the definition sentence formula; the buddy interview and the audience card; oral rehearsal from the chart with the “and then” alarm.</w:t>
            </w:r>
          </w:p>
          <w:p>
            <w:pPr>
              <w:pStyle w:val="ListParagraph"/>
              <w:numPr>
                <w:ilvl w:val="0"/>
                <w:numId w:val="1"/>
              </w:numPr>
              <w:spacing w:after="30" w:before="0"/>
            </w:pPr>
            <w:r>
              <w:rPr>
                <w:rFonts w:ascii="Calibri" w:cs="Calibri" w:eastAsia="Calibri" w:hAnsi="Calibri"/>
                <w:color w:val="1A1726"/>
                <w:sz w:val="19"/>
                <w:szCs w:val="19"/>
              </w:rPr>
              <w:t xml:space="preserve">Wk 4: title and opening definition paragraph; non-fiction paragraphs (topic sentence, detail, link); the “every time” voice — present tense and general nouns.</w:t>
            </w:r>
          </w:p>
          <w:p>
            <w:pPr>
              <w:pStyle w:val="ListParagraph"/>
              <w:numPr>
                <w:ilvl w:val="0"/>
                <w:numId w:val="1"/>
              </w:numPr>
              <w:spacing w:after="30" w:before="0"/>
            </w:pPr>
            <w:r>
              <w:rPr>
                <w:rFonts w:ascii="Calibri" w:cs="Calibri" w:eastAsia="Calibri" w:hAnsi="Calibri"/>
                <w:color w:val="1A1726"/>
                <w:sz w:val="19"/>
                <w:szCs w:val="19"/>
              </w:rPr>
              <w:t xml:space="preserve">Wk 5: cause connectives replacing “and then”; defining technical words on the move with brackets, dashes and “which means”; combining sentences so the join carries the cause.</w:t>
            </w:r>
          </w:p>
          <w:p>
            <w:pPr>
              <w:pStyle w:val="ListParagraph"/>
              <w:numPr>
                <w:ilvl w:val="0"/>
                <w:numId w:val="1"/>
              </w:numPr>
              <w:spacing w:after="30" w:before="0"/>
            </w:pPr>
            <w:r>
              <w:rPr>
                <w:rFonts w:ascii="Calibri" w:cs="Calibri" w:eastAsia="Calibri" w:hAnsi="Calibri"/>
                <w:color w:val="1A1726"/>
                <w:sz w:val="19"/>
                <w:szCs w:val="19"/>
              </w:rPr>
              <w:t xml:space="preserve">Wk 6: diagrams that show the invisible step; full-sentence captions and cross-references; the closing statement (use it / wonder / connect); the long write that completes the draft.</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Three — Analyse strengths &amp; weaknesses in relation to purpose and audience · content &amp; ideas · structure · vocabulary &amp; language features · grammar, punctuation &amp; spelling · deconstruction of models · guided revision</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7–8. SHAPE — and the question is “is it clear?”, not “is it vivid?”</w:t>
            </w:r>
          </w:p>
          <w:p>
            <w:pPr>
              <w:pStyle w:val="ListParagraph"/>
              <w:numPr>
                <w:ilvl w:val="0"/>
                <w:numId w:val="1"/>
              </w:numPr>
              <w:spacing w:after="30" w:before="0"/>
            </w:pPr>
            <w:r>
              <w:rPr>
                <w:rFonts w:ascii="Calibri" w:cs="Calibri" w:eastAsia="Calibri" w:hAnsi="Calibri"/>
                <w:color w:val="1A1726"/>
                <w:sz w:val="19"/>
                <w:szCs w:val="19"/>
              </w:rPr>
              <w:t xml:space="preserve">Wk 7: annotating the strong exemplar against the class-built criteria; diagnosing the deliberately weak one; the teacher modelling a fault in their OWN writing; the three-colour clarity audit (unknown words / missing steps / weak links); two written “I will…” goals.</w:t>
            </w:r>
          </w:p>
          <w:p>
            <w:pPr>
              <w:pStyle w:val="ListParagraph"/>
              <w:numPr>
                <w:ilvl w:val="0"/>
                <w:numId w:val="1"/>
              </w:numPr>
              <w:spacing w:after="30" w:before="0"/>
            </w:pPr>
            <w:r>
              <w:rPr>
                <w:rFonts w:ascii="Calibri" w:cs="Calibri" w:eastAsia="Calibri" w:hAnsi="Calibri"/>
                <w:color w:val="1A1726"/>
                <w:sz w:val="19"/>
                <w:szCs w:val="19"/>
              </w:rPr>
              <w:t xml:space="preserve">Wk 8 (Wed): triaging feedback — but any “I got lost” goes straight into the DO pile, because confusion is not a matter of taste.</w:t>
            </w:r>
          </w:p>
          <w:p>
            <w:pPr>
              <w:pStyle w:val="ListParagraph"/>
              <w:numPr>
                <w:ilvl w:val="0"/>
                <w:numId w:val="1"/>
              </w:numPr>
              <w:spacing w:after="30" w:before="0"/>
            </w:pPr>
            <w:r>
              <w:rPr>
                <w:rFonts w:ascii="Calibri" w:cs="Calibri" w:eastAsia="Calibri" w:hAnsi="Calibri"/>
                <w:color w:val="1A1726"/>
                <w:sz w:val="19"/>
                <w:szCs w:val="19"/>
              </w:rPr>
              <w:t xml:space="preserve">Language-feature focus: cause connectives, technical vocabulary defined at first use, present tense, pronoun clarity.</w:t>
            </w:r>
          </w:p>
        </w:tc>
      </w:tr>
      <w:tr>
        <w:trPr>
          <w:tblHeader w:val="false"/>
        </w:trPr>
        <w:tc>
          <w:tcPr>
            <w:tcW w:type="dxa" w:w="3600"/>
            <w:tcMar>
              <w:top w:type="dxa" w:w="80"/>
              <w:left w:type="dxa" w:w="120"/>
              <w:bottom w:type="dxa" w:w="80"/>
              <w:right w:type="dxa" w:w="120"/>
            </w:tcMar>
          </w:tcPr>
          <w:p>
            <w:pPr>
              <w:spacing w:after="80" w:before="0"/>
            </w:pPr>
            <w:r>
              <w:rPr>
                <w:rFonts w:ascii="Calibri" w:cs="Calibri" w:eastAsia="Calibri" w:hAnsi="Calibri"/>
                <w:b w:val="false"/>
                <w:bCs w:val="false"/>
                <w:color w:val="1A1726"/>
                <w:sz w:val="19"/>
                <w:szCs w:val="19"/>
              </w:rPr>
              <w:t xml:space="preserve">Stage Four — Seek feedback; revise and recraft in cycles until ready to publish. Clearly conveys the message · suited to purpose · reads fluently · carefully chosen vocabulary · more sophisticated language features with the audience in mind</w:t>
            </w:r>
          </w:p>
        </w:tc>
        <w:tc>
          <w:tcPr>
            <w:tcW w:type="dxa" w:w="108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WEEKS 8–10. SHARE — tested on a real reader.</w:t>
            </w:r>
          </w:p>
          <w:p>
            <w:pPr>
              <w:pStyle w:val="ListParagraph"/>
              <w:numPr>
                <w:ilvl w:val="0"/>
                <w:numId w:val="1"/>
              </w:numPr>
              <w:spacing w:after="30" w:before="0"/>
            </w:pPr>
            <w:r>
              <w:rPr>
                <w:rFonts w:ascii="Calibri" w:cs="Calibri" w:eastAsia="Calibri" w:hAnsi="Calibri"/>
                <w:color w:val="1A1726"/>
                <w:sz w:val="19"/>
                <w:szCs w:val="19"/>
              </w:rPr>
              <w:t xml:space="preserve">Wk 7 Fri: the Helping Circle taught with a fishbowl on the teacher’s own writing, and the banned sentence (“oh, what I MEANT was…”).</w:t>
            </w:r>
          </w:p>
          <w:p>
            <w:pPr>
              <w:pStyle w:val="ListParagraph"/>
              <w:numPr>
                <w:ilvl w:val="0"/>
                <w:numId w:val="1"/>
              </w:numPr>
              <w:spacing w:after="30" w:before="0"/>
            </w:pPr>
            <w:r>
              <w:rPr>
                <w:rFonts w:ascii="Calibri" w:cs="Calibri" w:eastAsia="Calibri" w:hAnsi="Calibri"/>
                <w:color w:val="1A1726"/>
                <w:sz w:val="19"/>
                <w:szCs w:val="19"/>
              </w:rPr>
              <w:t xml:space="preserve">Wk 8: the Helping Circle across two days with clarity-lens stars and wishes; the no-paper test (explain it with the draft face down — the stall marks the weak step); ADD / CUT / REORDER / REPLACE workshops, with REORDER emphasised as the most powerful and least used move in this genre.</w:t>
            </w:r>
          </w:p>
          <w:p>
            <w:pPr>
              <w:pStyle w:val="ListParagraph"/>
              <w:numPr>
                <w:ilvl w:val="0"/>
                <w:numId w:val="1"/>
              </w:numPr>
              <w:spacing w:after="30" w:before="0"/>
            </w:pPr>
            <w:r>
              <w:rPr>
                <w:rFonts w:ascii="Calibri" w:cs="Calibri" w:eastAsia="Calibri" w:hAnsi="Calibri"/>
                <w:color w:val="1A1726"/>
                <w:sz w:val="19"/>
                <w:szCs w:val="19"/>
              </w:rPr>
              <w:t xml:space="preserve">Wk 9: a real second draft (cover it and rewrite for the buddy); pronoun clarity and flow; the four-pass edit (capitals &amp; full stops → commas → tense → technical spellings); best copy with the final labelled diagram.</w:t>
            </w:r>
          </w:p>
          <w:p>
            <w:pPr>
              <w:pStyle w:val="ListParagraph"/>
              <w:numPr>
                <w:ilvl w:val="0"/>
                <w:numId w:val="1"/>
              </w:numPr>
              <w:spacing w:after="30" w:before="0"/>
            </w:pPr>
            <w:r>
              <w:rPr>
                <w:rFonts w:ascii="Calibri" w:cs="Calibri" w:eastAsia="Calibri" w:hAnsi="Calibri"/>
                <w:color w:val="1A1726"/>
                <w:sz w:val="19"/>
                <w:szCs w:val="19"/>
              </w:rPr>
              <w:t xml:space="preserve">Wk 10: typed and formatted in Microsoft Word (Surname_Firstname_Explanation_T2); final proof read backwards; presentation to the buddy class; written reflection on the process and on what transferred.</w:t>
            </w:r>
          </w:p>
        </w:tc>
      </w:tr>
    </w:tbl>
    <w:p>
      <w:pPr>
        <w:pBdr>
          <w:bottom w:val="single" w:color="CCCCCC" w:sz="6"/>
        </w:pBdr>
        <w:spacing w:after="90" w:before="180"/>
      </w:pPr>
      <w:r>
        <w:rPr>
          <w:rFonts w:ascii="Calibri" w:cs="Calibri" w:eastAsia="Calibri" w:hAnsi="Calibri"/>
          <w:b/>
          <w:bCs/>
          <w:color w:val="0F766E"/>
          <w:sz w:val="26"/>
          <w:szCs w:val="26"/>
        </w:rPr>
        <w:t xml:space="preserve">The Helping Circle — Term 2 (clarity) version</w:t>
      </w:r>
    </w:p>
    <w:p>
      <w:pPr>
        <w:spacing w:after="80" w:before="0"/>
      </w:pPr>
      <w:r>
        <w:rPr>
          <w:rFonts w:ascii="Calibri" w:cs="Calibri" w:eastAsia="Calibri" w:hAnsi="Calibri"/>
          <w:i/>
          <w:iCs/>
          <w:color w:val="1A1726"/>
          <w:sz w:val="20"/>
          <w:szCs w:val="20"/>
        </w:rPr>
        <w:t xml:space="preserve">Groups of four · five minutes per writer · timer visible.</w:t>
      </w:r>
    </w:p>
    <w:p>
      <w:pPr>
        <w:pStyle w:val="ListParagraph"/>
        <w:numPr>
          <w:ilvl w:val="0"/>
          <w:numId w:val="1"/>
        </w:numPr>
        <w:spacing w:after="40" w:before="0"/>
      </w:pPr>
      <w:r>
        <w:rPr>
          <w:rFonts w:ascii="Calibri" w:cs="Calibri" w:eastAsia="Calibri" w:hAnsi="Calibri"/>
          <w:color w:val="1A1726"/>
          <w:sz w:val="19"/>
          <w:szCs w:val="19"/>
        </w:rPr>
        <w:t xml:space="preserve">1. The writer reads their explanation aloud — no introduction, no apology. Listeners do not interrupt.</w:t>
      </w:r>
    </w:p>
    <w:p>
      <w:pPr>
        <w:pStyle w:val="ListParagraph"/>
        <w:numPr>
          <w:ilvl w:val="0"/>
          <w:numId w:val="1"/>
        </w:numPr>
        <w:spacing w:after="40" w:before="0"/>
      </w:pPr>
      <w:r>
        <w:rPr>
          <w:rFonts w:ascii="Calibri" w:cs="Calibri" w:eastAsia="Calibri" w:hAnsi="Calibri"/>
          <w:color w:val="1A1726"/>
          <w:sz w:val="19"/>
          <w:szCs w:val="19"/>
        </w:rPr>
        <w:t xml:space="preserve">2. The writer asks their own specific question (written the previous Friday).</w:t>
      </w:r>
    </w:p>
    <w:p>
      <w:pPr>
        <w:pStyle w:val="ListParagraph"/>
        <w:numPr>
          <w:ilvl w:val="0"/>
          <w:numId w:val="1"/>
        </w:numPr>
        <w:spacing w:after="40" w:before="0"/>
      </w:pPr>
      <w:r>
        <w:rPr>
          <w:rFonts w:ascii="Calibri" w:cs="Calibri" w:eastAsia="Calibri" w:hAnsi="Calibri"/>
          <w:color w:val="1A1726"/>
          <w:sz w:val="19"/>
          <w:szCs w:val="19"/>
        </w:rPr>
        <w:t xml:space="preserve">3. Two stars — each listener names one specific thing that made it clear.</w:t>
      </w:r>
    </w:p>
    <w:p>
      <w:pPr>
        <w:pStyle w:val="ListParagraph"/>
        <w:numPr>
          <w:ilvl w:val="0"/>
          <w:numId w:val="1"/>
        </w:numPr>
        <w:spacing w:after="40" w:before="0"/>
      </w:pPr>
      <w:r>
        <w:rPr>
          <w:rFonts w:ascii="Calibri" w:cs="Calibri" w:eastAsia="Calibri" w:hAnsi="Calibri"/>
          <w:color w:val="1A1726"/>
          <w:sz w:val="19"/>
          <w:szCs w:val="19"/>
        </w:rPr>
        <w:t xml:space="preserve">4. One wish — each listener names one place where they got lost, confused, or wanted more.</w:t>
      </w:r>
    </w:p>
    <w:p>
      <w:pPr>
        <w:pStyle w:val="ListParagraph"/>
        <w:numPr>
          <w:ilvl w:val="0"/>
          <w:numId w:val="1"/>
        </w:numPr>
        <w:spacing w:after="40" w:before="0"/>
      </w:pPr>
      <w:r>
        <w:rPr>
          <w:rFonts w:ascii="Calibri" w:cs="Calibri" w:eastAsia="Calibri" w:hAnsi="Calibri"/>
          <w:color w:val="1A1726"/>
          <w:sz w:val="19"/>
          <w:szCs w:val="19"/>
        </w:rPr>
        <w:t xml:space="preserve">5. The writer says thank you and writes it down. The banned sentence is “oh, what I MEANT was…” — because the buddy will not be sitting beside the page.</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Stars — listener prompts</w:t>
            </w:r>
          </w:p>
        </w:tc>
        <w:tc>
          <w:tcPr>
            <w:tcW w:type="dxa" w:w="7200"/>
            <w:shd w:fill="F3EFE7" w:color="auto" w:val="clear"/>
            <w:tcMar>
              <w:top w:type="dxa" w:w="80"/>
              <w:left w:type="dxa" w:w="120"/>
              <w:bottom w:type="dxa" w:w="80"/>
              <w:right w:type="dxa" w:w="120"/>
            </w:tcMar>
          </w:tcPr>
          <w:p>
            <w:pPr>
              <w:spacing w:after="80" w:before="0"/>
            </w:pPr>
            <w:r>
              <w:rPr>
                <w:rFonts w:ascii="Calibri" w:cs="Calibri" w:eastAsia="Calibri" w:hAnsi="Calibri"/>
                <w:b/>
                <w:bCs/>
                <w:color w:val="1A1726"/>
                <w:sz w:val="19"/>
                <w:szCs w:val="19"/>
              </w:rPr>
              <w:t xml:space="preserve">Wishes — listener prompts</w:t>
            </w:r>
          </w:p>
        </w:tc>
      </w:tr>
      <w:tr>
        <w:trPr>
          <w:tblHeader w:val="false"/>
        </w:trPr>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The step I understood best was…</w:t>
            </w:r>
          </w:p>
          <w:p>
            <w:pPr>
              <w:pStyle w:val="ListParagraph"/>
              <w:numPr>
                <w:ilvl w:val="0"/>
                <w:numId w:val="1"/>
              </w:numPr>
              <w:spacing w:after="30" w:before="0"/>
            </w:pPr>
            <w:r>
              <w:rPr>
                <w:rFonts w:ascii="Calibri" w:cs="Calibri" w:eastAsia="Calibri" w:hAnsi="Calibri"/>
                <w:color w:val="1A1726"/>
                <w:sz w:val="19"/>
                <w:szCs w:val="19"/>
              </w:rPr>
              <w:t xml:space="preserve">The word you explained really well was…</w:t>
            </w:r>
          </w:p>
          <w:p>
            <w:pPr>
              <w:pStyle w:val="ListParagraph"/>
              <w:numPr>
                <w:ilvl w:val="0"/>
                <w:numId w:val="1"/>
              </w:numPr>
              <w:spacing w:after="30" w:before="0"/>
            </w:pPr>
            <w:r>
              <w:rPr>
                <w:rFonts w:ascii="Calibri" w:cs="Calibri" w:eastAsia="Calibri" w:hAnsi="Calibri"/>
                <w:color w:val="1A1726"/>
                <w:sz w:val="19"/>
                <w:szCs w:val="19"/>
              </w:rPr>
              <w:t xml:space="preserve">Your diagram helped me understand…</w:t>
            </w:r>
          </w:p>
          <w:p>
            <w:pPr>
              <w:pStyle w:val="ListParagraph"/>
              <w:numPr>
                <w:ilvl w:val="0"/>
                <w:numId w:val="1"/>
              </w:numPr>
              <w:spacing w:after="30" w:before="0"/>
            </w:pPr>
            <w:r>
              <w:rPr>
                <w:rFonts w:ascii="Calibri" w:cs="Calibri" w:eastAsia="Calibri" w:hAnsi="Calibri"/>
                <w:color w:val="1A1726"/>
                <w:sz w:val="19"/>
                <w:szCs w:val="19"/>
              </w:rPr>
              <w:t xml:space="preserve">I could picture it when you said…</w:t>
            </w:r>
          </w:p>
        </w:tc>
        <w:tc>
          <w:tcPr>
            <w:tcW w:type="dxa" w:w="7200"/>
            <w:tcMar>
              <w:top w:type="dxa" w:w="80"/>
              <w:left w:type="dxa" w:w="120"/>
              <w:bottom w:type="dxa" w:w="80"/>
              <w:right w:type="dxa" w:w="120"/>
            </w:tcMar>
          </w:tcPr>
          <w:p>
            <w:pPr>
              <w:pStyle w:val="ListParagraph"/>
              <w:numPr>
                <w:ilvl w:val="0"/>
                <w:numId w:val="1"/>
              </w:numPr>
              <w:spacing w:after="30" w:before="0"/>
            </w:pPr>
            <w:r>
              <w:rPr>
                <w:rFonts w:ascii="Calibri" w:cs="Calibri" w:eastAsia="Calibri" w:hAnsi="Calibri"/>
                <w:color w:val="1A1726"/>
                <w:sz w:val="19"/>
                <w:szCs w:val="19"/>
              </w:rPr>
              <w:t xml:space="preserve">I got lost at the part where…</w:t>
            </w:r>
          </w:p>
          <w:p>
            <w:pPr>
              <w:pStyle w:val="ListParagraph"/>
              <w:numPr>
                <w:ilvl w:val="0"/>
                <w:numId w:val="1"/>
              </w:numPr>
              <w:spacing w:after="30" w:before="0"/>
            </w:pPr>
            <w:r>
              <w:rPr>
                <w:rFonts w:ascii="Calibri" w:cs="Calibri" w:eastAsia="Calibri" w:hAnsi="Calibri"/>
                <w:color w:val="1A1726"/>
                <w:sz w:val="19"/>
                <w:szCs w:val="19"/>
              </w:rPr>
              <w:t xml:space="preserve">You used the word ____ and I don’t know what it means.</w:t>
            </w:r>
          </w:p>
          <w:p>
            <w:pPr>
              <w:pStyle w:val="ListParagraph"/>
              <w:numPr>
                <w:ilvl w:val="0"/>
                <w:numId w:val="1"/>
              </w:numPr>
              <w:spacing w:after="30" w:before="0"/>
            </w:pPr>
            <w:r>
              <w:rPr>
                <w:rFonts w:ascii="Calibri" w:cs="Calibri" w:eastAsia="Calibri" w:hAnsi="Calibri"/>
                <w:color w:val="1A1726"/>
                <w:sz w:val="19"/>
                <w:szCs w:val="19"/>
              </w:rPr>
              <w:t xml:space="preserve">I think there’s a step missing between ____ and ____ .</w:t>
            </w:r>
          </w:p>
          <w:p>
            <w:pPr>
              <w:pStyle w:val="ListParagraph"/>
              <w:numPr>
                <w:ilvl w:val="0"/>
                <w:numId w:val="1"/>
              </w:numPr>
              <w:spacing w:after="30" w:before="0"/>
            </w:pPr>
            <w:r>
              <w:rPr>
                <w:rFonts w:ascii="Calibri" w:cs="Calibri" w:eastAsia="Calibri" w:hAnsi="Calibri"/>
                <w:color w:val="1A1726"/>
                <w:sz w:val="19"/>
                <w:szCs w:val="19"/>
              </w:rPr>
              <w:t xml:space="preserve">Could your diagram show ____ as well?</w:t>
            </w:r>
          </w:p>
          <w:p>
            <w:pPr>
              <w:pStyle w:val="ListParagraph"/>
              <w:numPr>
                <w:ilvl w:val="0"/>
                <w:numId w:val="1"/>
              </w:numPr>
              <w:spacing w:after="30" w:before="0"/>
            </w:pPr>
            <w:r>
              <w:rPr>
                <w:rFonts w:ascii="Calibri" w:cs="Calibri" w:eastAsia="Calibri" w:hAnsi="Calibri"/>
                <w:color w:val="1A1726"/>
                <w:sz w:val="19"/>
                <w:szCs w:val="19"/>
              </w:rPr>
              <w:t xml:space="preserve">I still don’t know WHY ____ happens.</w:t>
            </w:r>
          </w:p>
        </w:tc>
      </w:tr>
    </w:tbl>
    <w:p>
      <w:pPr>
        <w:spacing w:after="80" w:before="0"/>
      </w:pPr>
      <w:r>
        <w:rPr>
          <w:rFonts w:ascii="Calibri" w:cs="Calibri" w:eastAsia="Calibri" w:hAnsi="Calibri"/>
          <w:i/>
          <w:iCs/>
          <w:color w:val="1A1726"/>
          <w:sz w:val="19"/>
          <w:szCs w:val="19"/>
        </w:rPr>
        <w:t xml:space="preserve">Ground rules: We talk about the writing, never the writer. “I got lost” is always allowed and is never rude — it is the most useful sentence in the room.</w:t>
      </w:r>
    </w:p>
    <w:p>
      <w:pPr>
        <w:pBdr>
          <w:bottom w:val="single" w:color="CCCCCC" w:sz="6"/>
        </w:pBdr>
        <w:spacing w:after="90" w:before="180"/>
      </w:pPr>
      <w:r>
        <w:rPr>
          <w:rFonts w:ascii="Calibri" w:cs="Calibri" w:eastAsia="Calibri" w:hAnsi="Calibri"/>
          <w:b/>
          <w:bCs/>
          <w:color w:val="0F766E"/>
          <w:sz w:val="26"/>
          <w:szCs w:val="26"/>
        </w:rPr>
        <w:t xml:space="preserve">Publication and Celebration</w:t>
      </w:r>
    </w:p>
    <w:p>
      <w:pPr>
        <w:pStyle w:val="ListParagraph"/>
        <w:numPr>
          <w:ilvl w:val="0"/>
          <w:numId w:val="1"/>
        </w:numPr>
        <w:spacing w:after="40" w:before="0"/>
      </w:pPr>
      <w:r>
        <w:rPr>
          <w:rFonts w:ascii="Calibri" w:cs="Calibri" w:eastAsia="Calibri" w:hAnsi="Calibri"/>
          <w:color w:val="1A1726"/>
          <w:sz w:val="19"/>
          <w:szCs w:val="19"/>
        </w:rPr>
        <w:t xml:space="preserve">Best copy handwritten in writing books with a labelled diagram and caption (Week 9).</w:t>
      </w:r>
    </w:p>
    <w:p>
      <w:pPr>
        <w:pStyle w:val="ListParagraph"/>
        <w:numPr>
          <w:ilvl w:val="0"/>
          <w:numId w:val="1"/>
        </w:numPr>
        <w:spacing w:after="40" w:before="0"/>
      </w:pPr>
      <w:r>
        <w:rPr>
          <w:rFonts w:ascii="Calibri" w:cs="Calibri" w:eastAsia="Calibri" w:hAnsi="Calibri"/>
          <w:color w:val="1A1726"/>
          <w:sz w:val="19"/>
          <w:szCs w:val="19"/>
        </w:rPr>
        <w:t xml:space="preserve">Final publication typed in Microsoft Word (Week 10), saved as Surname_Firstname_Explanation_T2.</w:t>
      </w:r>
    </w:p>
    <w:p>
      <w:pPr>
        <w:pStyle w:val="ListParagraph"/>
        <w:numPr>
          <w:ilvl w:val="0"/>
          <w:numId w:val="1"/>
        </w:numPr>
        <w:spacing w:after="40" w:before="0"/>
      </w:pPr>
      <w:r>
        <w:rPr>
          <w:rFonts w:ascii="Calibri" w:cs="Calibri" w:eastAsia="Calibri" w:hAnsi="Calibri"/>
          <w:color w:val="1A1726"/>
          <w:sz w:val="19"/>
          <w:szCs w:val="19"/>
        </w:rPr>
        <w:t xml:space="preserve">Presented one-to-one or in small groups to the Year 3 buddy class, with the diagram, in Week 10 — the buddy’s answer to “what’s one thing you learned?” is recorded in their own words.</w:t>
      </w:r>
    </w:p>
    <w:p>
      <w:pPr>
        <w:pStyle w:val="ListParagraph"/>
        <w:numPr>
          <w:ilvl w:val="0"/>
          <w:numId w:val="1"/>
        </w:numPr>
        <w:spacing w:after="40" w:before="0"/>
      </w:pPr>
      <w:r>
        <w:rPr>
          <w:rFonts w:ascii="Calibri" w:cs="Calibri" w:eastAsia="Calibri" w:hAnsi="Calibri"/>
          <w:color w:val="1A1726"/>
          <w:sz w:val="19"/>
          <w:szCs w:val="19"/>
        </w:rPr>
        <w:t xml:space="preserve">The celebration is named as Mōhio: we came to know something, and then we gave that knowing away. Closing: Soli Deo Gloria.</w:t>
      </w:r>
    </w:p>
    <w:p>
      <w:pPr>
        <w:pBdr>
          <w:bottom w:val="single" w:color="CCCCCC" w:sz="6"/>
        </w:pBdr>
        <w:spacing w:after="90" w:before="180"/>
      </w:pPr>
      <w:r>
        <w:rPr>
          <w:rFonts w:ascii="Calibri" w:cs="Calibri" w:eastAsia="Calibri" w:hAnsi="Calibri"/>
          <w:b/>
          <w:bCs/>
          <w:color w:val="0F766E"/>
          <w:sz w:val="26"/>
          <w:szCs w:val="26"/>
        </w:rPr>
        <w:t xml:space="preserve">Resources</w:t>
      </w:r>
    </w:p>
    <w:p>
      <w:pPr>
        <w:pStyle w:val="ListParagraph"/>
        <w:numPr>
          <w:ilvl w:val="0"/>
          <w:numId w:val="1"/>
        </w:numPr>
        <w:spacing w:after="40" w:before="0"/>
      </w:pPr>
      <w:r>
        <w:rPr>
          <w:rFonts w:ascii="Calibri" w:cs="Calibri" w:eastAsia="Calibri" w:hAnsi="Calibri"/>
          <w:color w:val="1A1726"/>
          <w:sz w:val="19"/>
          <w:szCs w:val="19"/>
        </w:rPr>
        <w:t xml:space="preserve">Writing Hub app — Writing Focus (Term 2) module: 50 day-by-day lesson plans, weekly prompts with four-layer support, the writing-process module, rubric, Helping Circle cards and exemplar bank.</w:t>
      </w:r>
    </w:p>
    <w:p>
      <w:pPr>
        <w:pStyle w:val="ListParagraph"/>
        <w:numPr>
          <w:ilvl w:val="0"/>
          <w:numId w:val="1"/>
        </w:numPr>
        <w:spacing w:after="40" w:before="0"/>
      </w:pPr>
      <w:r>
        <w:rPr>
          <w:rFonts w:ascii="Calibri" w:cs="Calibri" w:eastAsia="Calibri" w:hAnsi="Calibri"/>
          <w:color w:val="1A1726"/>
          <w:sz w:val="19"/>
          <w:szCs w:val="19"/>
        </w:rPr>
        <w:t xml:space="preserve">Daily Warm-Up app — Term 2, Weeks 1–10 (Monday–Thursday skills that each lesson bridges from).</w:t>
      </w:r>
    </w:p>
    <w:p>
      <w:pPr>
        <w:pStyle w:val="ListParagraph"/>
        <w:numPr>
          <w:ilvl w:val="0"/>
          <w:numId w:val="1"/>
        </w:numPr>
        <w:spacing w:after="40" w:before="0"/>
      </w:pPr>
      <w:r>
        <w:rPr>
          <w:rFonts w:ascii="Calibri" w:cs="Calibri" w:eastAsia="Calibri" w:hAnsi="Calibri"/>
          <w:color w:val="1A1726"/>
          <w:sz w:val="19"/>
          <w:szCs w:val="19"/>
        </w:rPr>
        <w:t xml:space="preserve">Two or three short mentor explanation texts (School Journal, museum or “how it works” pages), plus one narrative text on a similar topic for the Week 1 contrast.</w:t>
      </w:r>
    </w:p>
    <w:p>
      <w:pPr>
        <w:pStyle w:val="ListParagraph"/>
        <w:numPr>
          <w:ilvl w:val="0"/>
          <w:numId w:val="1"/>
        </w:numPr>
        <w:spacing w:after="40" w:before="0"/>
      </w:pPr>
      <w:r>
        <w:rPr>
          <w:rFonts w:ascii="Calibri" w:cs="Calibri" w:eastAsia="Calibri" w:hAnsi="Calibri"/>
          <w:color w:val="1A1726"/>
          <w:sz w:val="19"/>
          <w:szCs w:val="19"/>
        </w:rPr>
        <w:t xml:space="preserve">Research access: library books, curated links, or a class set of printed sources. Jotters, writing books, drawing materials, Microsoft Word.</w:t>
      </w:r>
    </w:p>
    <w:p>
      <w:pPr>
        <w:pStyle w:val="ListParagraph"/>
        <w:numPr>
          <w:ilvl w:val="0"/>
          <w:numId w:val="1"/>
        </w:numPr>
        <w:spacing w:after="40" w:before="0"/>
      </w:pPr>
      <w:r>
        <w:rPr>
          <w:rFonts w:ascii="Calibri" w:cs="Calibri" w:eastAsia="Calibri" w:hAnsi="Calibri"/>
          <w:color w:val="1A1726"/>
          <w:sz w:val="19"/>
          <w:szCs w:val="19"/>
        </w:rPr>
        <w:t xml:space="preserve">A Year 3 (or equivalent) buddy class, booked for Week 3 (interview), Week 5 (teach it) and Week 10 (presentation).</w:t>
      </w:r>
    </w:p>
    <w:p>
      <w:pPr>
        <w:pStyle w:val="ListParagraph"/>
        <w:numPr>
          <w:ilvl w:val="0"/>
          <w:numId w:val="1"/>
        </w:numPr>
        <w:spacing w:after="40" w:before="0"/>
      </w:pPr>
      <w:r>
        <w:rPr>
          <w:rFonts w:ascii="Calibri" w:cs="Calibri" w:eastAsia="Calibri" w:hAnsi="Calibri"/>
          <w:color w:val="1A1726"/>
          <w:sz w:val="19"/>
          <w:szCs w:val="19"/>
        </w:rPr>
        <w:t xml:space="preserve">Gail Loane, I’ve Got Something to Say (2017) — Ch 3 jotters, Ch 5 models and close reading, Ch 9 guided revision, Ch 10 frameworks and language features, Ch 11 deconstruction. The Helping Circle (Gail Loane).</w:t>
      </w:r>
    </w:p>
    <w:p>
      <w:pPr>
        <w:spacing w:before="300"/>
      </w:pPr>
      <w:r>
        <w:rPr>
          <w:rFonts w:ascii="Calibri" w:cs="Calibri" w:eastAsia="Calibri" w:hAnsi="Calibri"/>
          <w:b/>
          <w:bCs/>
          <w:color w:val="6B21A8"/>
          <w:sz w:val="22"/>
          <w:szCs w:val="22"/>
        </w:rPr>
        <w:t xml:space="preserve">Soli Deo Gloria — To God Alone the Glory</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2026-08-30T19:48:47.256Z</dcterms:created>
  <dcterms:modified xsi:type="dcterms:W3CDTF">2026-08-30T19:48:47.257Z</dcterms:modified>
</cp:coreProperties>
</file>

<file path=docProps/custom.xml><?xml version="1.0" encoding="utf-8"?>
<Properties xmlns="http://schemas.openxmlformats.org/officeDocument/2006/custom-properties" xmlns:vt="http://schemas.openxmlformats.org/officeDocument/2006/docPropsVTypes"/>
</file>