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21A8"/>
          <w:sz w:val="36"/>
          <w:szCs w:val="36"/>
        </w:rPr>
        <w:t xml:space="preserve">ACS INTEGRATED UNIT PLAN — WRITING (PRIMARY)</w:t>
      </w:r>
    </w:p>
    <w:p>
      <w:pPr>
        <w:spacing w:after="200"/>
      </w:pPr>
      <w:r>
        <w:rPr>
          <w:rFonts w:ascii="Calibri" w:cs="Calibri" w:eastAsia="Calibri" w:hAnsi="Calibri"/>
          <w:color w:val="0F766E"/>
          <w:sz w:val="26"/>
          <w:szCs w:val="26"/>
        </w:rPr>
        <w:t xml:space="preserve">Term 3 Writing Focus · Persuasive Writing &amp; Speeches · “Words That Change Things”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Year Level/s</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Curriculum Progression</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Duration</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Weeks</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Lesson length</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Years 5–6 (ages 9–12)</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NZC English — Phase 2</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weeks</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Term Three</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Weeks 1–10</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25 min × 5 days</w:t>
            </w:r>
          </w:p>
        </w:tc>
      </w:tr>
    </w:tbl>
    <w:p>
      <w:pPr>
        <w:spacing w:after="80" w:before="0"/>
      </w:pPr>
      <w:r>
        <w:rPr>
          <w:rFonts w:ascii="Calibri" w:cs="Calibri" w:eastAsia="Calibri" w:hAnsi="Calibri"/>
          <w:i/>
          <w:iCs/>
          <w:color w:val="1A1726"/>
          <w:sz w:val="19"/>
          <w:szCs w:val="19"/>
        </w:rPr>
        <w:t xml:space="preserve">Planning assumptions you can change: (1) every student writes AND delivers a 2-minute speech in Week 10 — the written piece and the speech are the same argument in two forms, not two pieces of work; (2) there is no fixed external competition date, so the speeches land in Week 10. If your school runs a speech competition earlier, move the Week 8–10 speech strand forward and let the written publication follow the speech.</w:t>
      </w:r>
    </w:p>
    <w:p>
      <w:pPr>
        <w:spacing w:after="120" w:before="200"/>
      </w:pPr>
      <w:r>
        <w:rPr>
          <w:rFonts w:ascii="Calibri" w:cs="Calibri" w:eastAsia="Calibri" w:hAnsi="Calibri"/>
          <w:b/>
          <w:bCs/>
          <w:color w:val="6B21A8"/>
          <w:sz w:val="34"/>
          <w:szCs w:val="34"/>
        </w:rPr>
        <w:t xml:space="preserve">UNDERSTAND</w:t>
      </w:r>
    </w:p>
    <w:p>
      <w:pPr>
        <w:pBdr>
          <w:bottom w:val="single" w:color="CCCCCC" w:sz="6"/>
        </w:pBdr>
        <w:spacing w:after="90" w:before="180"/>
      </w:pPr>
      <w:r>
        <w:rPr>
          <w:rFonts w:ascii="Calibri" w:cs="Calibri" w:eastAsia="Calibri" w:hAnsi="Calibri"/>
          <w:b/>
          <w:bCs/>
          <w:color w:val="0F766E"/>
          <w:sz w:val="26"/>
          <w:szCs w:val="26"/>
        </w:rPr>
        <w:t xml:space="preserve">Universal Concept</w:t>
      </w:r>
    </w:p>
    <w:p>
      <w:pPr>
        <w:spacing w:after="80" w:before="0"/>
      </w:pPr>
      <w:r>
        <w:rPr>
          <w:rFonts w:ascii="Calibri" w:cs="Calibri" w:eastAsia="Calibri" w:hAnsi="Calibri"/>
          <w:b/>
          <w:bCs/>
          <w:color w:val="1A1726"/>
          <w:sz w:val="20"/>
          <w:szCs w:val="20"/>
        </w:rPr>
        <w:t xml:space="preserve">“Voice and Service — Words Are One of the Ways We Serve People”</w:t>
      </w:r>
    </w:p>
    <w:p>
      <w:pPr>
        <w:pStyle w:val="ListParagraph"/>
        <w:numPr>
          <w:ilvl w:val="0"/>
          <w:numId w:val="1"/>
        </w:numPr>
        <w:spacing w:after="40" w:before="0"/>
      </w:pPr>
      <w:r>
        <w:rPr>
          <w:rFonts w:ascii="Calibri" w:cs="Calibri" w:eastAsia="Calibri" w:hAnsi="Calibri"/>
          <w:color w:val="1A1726"/>
          <w:sz w:val="19"/>
          <w:szCs w:val="19"/>
        </w:rPr>
        <w:t xml:space="preserve">Justice and fairness — noticing what is unfair, wasteful, unsafe or unkind.</w:t>
      </w:r>
    </w:p>
    <w:p>
      <w:pPr>
        <w:pStyle w:val="ListParagraph"/>
        <w:numPr>
          <w:ilvl w:val="0"/>
          <w:numId w:val="1"/>
        </w:numPr>
        <w:spacing w:after="40" w:before="0"/>
      </w:pPr>
      <w:r>
        <w:rPr>
          <w:rFonts w:ascii="Calibri" w:cs="Calibri" w:eastAsia="Calibri" w:hAnsi="Calibri"/>
          <w:color w:val="1A1726"/>
          <w:sz w:val="19"/>
          <w:szCs w:val="19"/>
        </w:rPr>
        <w:t xml:space="preserve">Evidence and truth — an opinion is where you start, not what you hand in.</w:t>
      </w:r>
    </w:p>
    <w:p>
      <w:pPr>
        <w:pStyle w:val="ListParagraph"/>
        <w:numPr>
          <w:ilvl w:val="0"/>
          <w:numId w:val="1"/>
        </w:numPr>
        <w:spacing w:after="40" w:before="0"/>
      </w:pPr>
      <w:r>
        <w:rPr>
          <w:rFonts w:ascii="Calibri" w:cs="Calibri" w:eastAsia="Calibri" w:hAnsi="Calibri"/>
          <w:color w:val="1A1726"/>
          <w:sz w:val="19"/>
          <w:szCs w:val="19"/>
        </w:rPr>
        <w:t xml:space="preserve">Listening to the other side — you cannot answer an objection you have not honestly understood.</w:t>
      </w:r>
    </w:p>
    <w:p>
      <w:pPr>
        <w:pStyle w:val="ListParagraph"/>
        <w:numPr>
          <w:ilvl w:val="0"/>
          <w:numId w:val="1"/>
        </w:numPr>
        <w:spacing w:after="40" w:before="0"/>
      </w:pPr>
      <w:r>
        <w:rPr>
          <w:rFonts w:ascii="Calibri" w:cs="Calibri" w:eastAsia="Calibri" w:hAnsi="Calibri"/>
          <w:color w:val="1A1726"/>
          <w:sz w:val="19"/>
          <w:szCs w:val="19"/>
        </w:rPr>
        <w:t xml:space="preserve">Courage — standing up and saying it to someone who could say no.</w:t>
      </w:r>
    </w:p>
    <w:p>
      <w:pPr>
        <w:pStyle w:val="ListParagraph"/>
        <w:numPr>
          <w:ilvl w:val="0"/>
          <w:numId w:val="1"/>
        </w:numPr>
        <w:spacing w:after="40" w:before="0"/>
      </w:pPr>
      <w:r>
        <w:rPr>
          <w:rFonts w:ascii="Calibri" w:cs="Calibri" w:eastAsia="Calibri" w:hAnsi="Calibri"/>
          <w:color w:val="1A1726"/>
          <w:sz w:val="19"/>
          <w:szCs w:val="19"/>
        </w:rPr>
        <w:t xml:space="preserve">Using a gift on someone else’s behalf.</w:t>
      </w:r>
    </w:p>
    <w:p>
      <w:pPr>
        <w:pBdr>
          <w:bottom w:val="single" w:color="CCCCCC" w:sz="6"/>
        </w:pBdr>
        <w:spacing w:after="90" w:before="180"/>
      </w:pPr>
      <w:r>
        <w:rPr>
          <w:rFonts w:ascii="Calibri" w:cs="Calibri" w:eastAsia="Calibri" w:hAnsi="Calibri"/>
          <w:b/>
          <w:bCs/>
          <w:color w:val="0F766E"/>
          <w:sz w:val="26"/>
          <w:szCs w:val="26"/>
        </w:rPr>
        <w:t xml:space="preserve">The Big Idea (Writing)</w:t>
      </w:r>
    </w:p>
    <w:p>
      <w:pPr>
        <w:spacing w:after="80" w:before="0"/>
      </w:pPr>
      <w:r>
        <w:rPr>
          <w:rFonts w:ascii="Calibri" w:cs="Calibri" w:eastAsia="Calibri" w:hAnsi="Calibri"/>
          <w:color w:val="1A1726"/>
          <w:sz w:val="20"/>
          <w:szCs w:val="20"/>
        </w:rPr>
        <w:t xml:space="preserve">An opinion is where a writer starts, not what they hand in. Persuasion is what happens when you find out whether you are right, work out who you are asking, and ask them well.</w:t>
      </w:r>
    </w:p>
    <w:p>
      <w:pPr>
        <w:spacing w:after="80" w:before="0"/>
      </w:pPr>
      <w:r>
        <w:rPr>
          <w:rFonts w:ascii="Calibri" w:cs="Calibri" w:eastAsia="Calibri" w:hAnsi="Calibri"/>
          <w:i/>
          <w:iCs/>
          <w:color w:val="1A1726"/>
          <w:sz w:val="19"/>
          <w:szCs w:val="19"/>
        </w:rPr>
        <w:t xml:space="preserve">Why Writing? (ACS Writing Snapshot): Writing is essential for effective communication and brings the joy of expression, connection and discovery. Thinking and working as a writer deepens our understanding of ourselves, others and the world around us.</w:t>
      </w:r>
    </w:p>
    <w:p>
      <w:pPr>
        <w:pBdr>
          <w:bottom w:val="single" w:color="CCCCCC" w:sz="6"/>
        </w:pBdr>
        <w:spacing w:after="90" w:before="180"/>
      </w:pPr>
      <w:r>
        <w:rPr>
          <w:rFonts w:ascii="Calibri" w:cs="Calibri" w:eastAsia="Calibri" w:hAnsi="Calibri"/>
          <w:b/>
          <w:bCs/>
          <w:color w:val="0F766E"/>
          <w:sz w:val="26"/>
          <w:szCs w:val="26"/>
        </w:rPr>
        <w:t xml:space="preserve">Biblical Perspective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0"/>
      </w:tblGrid>
      <w:tr>
        <w:tc>
          <w:tcPr>
            <w:tcW w:type="dxa" w:w="24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Framework</w:t>
            </w:r>
          </w:p>
        </w:tc>
        <w:tc>
          <w:tcPr>
            <w:tcW w:type="dxa" w:w="120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Redemption and Restoration — naming what is broken and asking for it to be put right is the shape of prophetic speech throughout Scripture.</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Attributes of God</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God as Just, and as Advocate — He hears the case of those with no standing to make one.</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Principles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Valuing and serving others · Learning about people and how to think · Developing faith and character.</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Motto &amp; Values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Soli Deo Gloria. Anchor value for Term 3: MANAAKI — Serve faithfully with our gifts and talents.</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Key Scriptures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Proverbs 31:8–9 (Wk 1) · Ephesians 4:29 (Wk 2) · Micah 6:8 (Wk 3) · Proverbs 15:1 (Wk 6) · Colossians 4:6 (Wk 10).</w:t>
            </w:r>
          </w:p>
        </w:tc>
      </w:tr>
    </w:tbl>
    <w:p>
      <w:pPr>
        <w:pBdr>
          <w:bottom w:val="single" w:color="CCCCCC" w:sz="6"/>
        </w:pBdr>
        <w:spacing w:after="90" w:before="180"/>
      </w:pPr>
      <w:r>
        <w:rPr>
          <w:rFonts w:ascii="Calibri" w:cs="Calibri" w:eastAsia="Calibri" w:hAnsi="Calibri"/>
          <w:b/>
          <w:bCs/>
          <w:color w:val="0F766E"/>
          <w:sz w:val="26"/>
          <w:szCs w:val="26"/>
        </w:rPr>
        <w:t xml:space="preserve">Throughline Question</w:t>
      </w:r>
    </w:p>
    <w:p>
      <w:pPr>
        <w:spacing w:after="80" w:before="0"/>
      </w:pPr>
      <w:r>
        <w:rPr>
          <w:rFonts w:ascii="Calibri" w:cs="Calibri" w:eastAsia="Calibri" w:hAnsi="Calibri"/>
          <w:b/>
          <w:bCs/>
          <w:color w:val="1A1726"/>
          <w:sz w:val="20"/>
          <w:szCs w:val="20"/>
        </w:rPr>
        <w:t xml:space="preserve">“What needs to change — and can my words move someone to change it?”</w:t>
      </w:r>
    </w:p>
    <w:p>
      <w:pPr>
        <w:spacing w:after="80" w:before="0"/>
      </w:pPr>
      <w:r>
        <w:rPr>
          <w:rFonts w:ascii="Calibri" w:cs="Calibri" w:eastAsia="Calibri" w:hAnsi="Calibri"/>
          <w:color w:val="1A1726"/>
          <w:sz w:val="20"/>
          <w:szCs w:val="20"/>
        </w:rPr>
        <w:t xml:space="preserve">Every student is pushed past “what annoys me” toward “who could this serve?” The strongest arguments in a class are usually the ones made on someone else’s behalf.</w:t>
      </w:r>
    </w:p>
    <w:p>
      <w:pPr>
        <w:pBdr>
          <w:bottom w:val="single" w:color="CCCCCC" w:sz="6"/>
        </w:pBdr>
        <w:spacing w:after="90" w:before="180"/>
      </w:pPr>
      <w:r>
        <w:rPr>
          <w:rFonts w:ascii="Calibri" w:cs="Calibri" w:eastAsia="Calibri" w:hAnsi="Calibri"/>
          <w:b/>
          <w:bCs/>
          <w:color w:val="0F766E"/>
          <w:sz w:val="26"/>
          <w:szCs w:val="26"/>
        </w:rPr>
        <w:t xml:space="preserve">Mātauranga Māori Concepts and Te Tiriti Considerations</w:t>
      </w:r>
    </w:p>
    <w:p>
      <w:pPr>
        <w:spacing w:after="80" w:before="0"/>
      </w:pPr>
      <w:r>
        <w:rPr>
          <w:rFonts w:ascii="Calibri" w:cs="Calibri" w:eastAsia="Calibri" w:hAnsi="Calibri"/>
          <w:color w:val="1A1726"/>
          <w:sz w:val="20"/>
          <w:szCs w:val="20"/>
        </w:rPr>
        <w:t xml:space="preserve">Whaikōrero and the marae as a place where argument is made formally, respectfully and in front of people. In te ao Māori a case is not won by volume — it is won by standing, by the whakapapa of the reasoning, and by respect for the person you disagree with.</w:t>
      </w:r>
    </w:p>
    <w:p>
      <w:pPr>
        <w:spacing w:after="80" w:before="0"/>
      </w:pPr>
      <w:r>
        <w:rPr>
          <w:rFonts w:ascii="Calibri" w:cs="Calibri" w:eastAsia="Calibri" w:hAnsi="Calibri"/>
          <w:color w:val="1A1726"/>
          <w:sz w:val="20"/>
          <w:szCs w:val="20"/>
        </w:rPr>
        <w:t xml:space="preserve">Mana and manaakitanga: an argument that diminishes the person you are addressing costs you your own mana. Where topics allow, students are encouraged toward local kaupapa — an awa, a reserve, a road crossing, a school practice — where a real decision-maker exists.</w:t>
      </w:r>
    </w:p>
    <w:p>
      <w:pPr>
        <w:spacing w:after="120" w:before="200"/>
      </w:pPr>
      <w:r>
        <w:rPr>
          <w:rFonts w:ascii="Calibri" w:cs="Calibri" w:eastAsia="Calibri" w:hAnsi="Calibri"/>
          <w:b/>
          <w:bCs/>
          <w:color w:val="6B21A8"/>
          <w:sz w:val="34"/>
          <w:szCs w:val="34"/>
        </w:rPr>
        <w:t xml:space="preserve">KNOW — CONTEXTS</w:t>
      </w:r>
    </w:p>
    <w:p>
      <w:pPr>
        <w:pBdr>
          <w:bottom w:val="single" w:color="CCCCCC" w:sz="6"/>
        </w:pBdr>
        <w:spacing w:after="90" w:before="180"/>
      </w:pPr>
      <w:r>
        <w:rPr>
          <w:rFonts w:ascii="Calibri" w:cs="Calibri" w:eastAsia="Calibri" w:hAnsi="Calibri"/>
          <w:b/>
          <w:bCs/>
          <w:color w:val="0F766E"/>
          <w:sz w:val="26"/>
          <w:szCs w:val="26"/>
        </w:rPr>
        <w:t xml:space="preserve">Host Curriculum Knowledge — NZC English, Phase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800"/>
        <w:gridCol w:w="9600"/>
      </w:tblGrid>
      <w:tr>
        <w:trPr>
          <w:tblHeader/>
        </w:trPr>
        <w:tc>
          <w:tcPr>
            <w:tcW w:type="dxa" w:w="4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Strand</w:t>
            </w:r>
          </w:p>
        </w:tc>
        <w:tc>
          <w:tcPr>
            <w:tcW w:type="dxa" w:w="9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Phase 2 teaching-sequence indicators addressed</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to persuade</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state a clear position and support it with reasons and evidence</w:t>
            </w:r>
          </w:p>
          <w:p>
            <w:pPr>
              <w:pStyle w:val="ListParagraph"/>
              <w:numPr>
                <w:ilvl w:val="0"/>
                <w:numId w:val="1"/>
              </w:numPr>
              <w:spacing w:after="30" w:before="0"/>
            </w:pPr>
            <w:r>
              <w:rPr>
                <w:rFonts w:ascii="Calibri" w:cs="Calibri" w:eastAsia="Calibri" w:hAnsi="Calibri"/>
                <w:color w:val="1A1726"/>
                <w:sz w:val="19"/>
                <w:szCs w:val="19"/>
              </w:rPr>
              <w:t xml:space="preserve">address the audience directly and anticipate the counter-argument</w:t>
            </w:r>
          </w:p>
          <w:p>
            <w:pPr>
              <w:pStyle w:val="ListParagraph"/>
              <w:numPr>
                <w:ilvl w:val="0"/>
                <w:numId w:val="1"/>
              </w:numPr>
              <w:spacing w:after="30" w:before="0"/>
            </w:pPr>
            <w:r>
              <w:rPr>
                <w:rFonts w:ascii="Calibri" w:cs="Calibri" w:eastAsia="Calibri" w:hAnsi="Calibri"/>
                <w:color w:val="1A1726"/>
                <w:sz w:val="19"/>
                <w:szCs w:val="19"/>
              </w:rPr>
              <w:t xml:space="preserve">end with a call to action</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Audience, purpose and task</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identify the audience and purpose for a text</w:t>
            </w:r>
          </w:p>
          <w:p>
            <w:pPr>
              <w:pStyle w:val="ListParagraph"/>
              <w:numPr>
                <w:ilvl w:val="0"/>
                <w:numId w:val="1"/>
              </w:numPr>
              <w:spacing w:after="30" w:before="0"/>
            </w:pPr>
            <w:r>
              <w:rPr>
                <w:rFonts w:ascii="Calibri" w:cs="Calibri" w:eastAsia="Calibri" w:hAnsi="Calibri"/>
                <w:color w:val="1A1726"/>
                <w:sz w:val="19"/>
                <w:szCs w:val="19"/>
              </w:rPr>
              <w:t xml:space="preserve">plan and write with the audience in mind, selecting the appropriate genre, language register and word choice</w:t>
            </w:r>
          </w:p>
          <w:p>
            <w:pPr>
              <w:pStyle w:val="ListParagraph"/>
              <w:numPr>
                <w:ilvl w:val="0"/>
                <w:numId w:val="1"/>
              </w:numPr>
              <w:spacing w:after="30" w:before="0"/>
            </w:pPr>
            <w:r>
              <w:rPr>
                <w:rFonts w:ascii="Calibri" w:cs="Calibri" w:eastAsia="Calibri" w:hAnsi="Calibri"/>
                <w:color w:val="1A1726"/>
                <w:sz w:val="19"/>
                <w:szCs w:val="19"/>
              </w:rPr>
              <w:t xml:space="preserve">understand that different audiences may respond very differently to the same text</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processes — drafting</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write paragraphs with a topic sentence, detail sentences and a concluding sentence (taught as PEEL: Point, Evidence, Explain, Link)</w:t>
            </w:r>
          </w:p>
          <w:p>
            <w:pPr>
              <w:pStyle w:val="ListParagraph"/>
              <w:numPr>
                <w:ilvl w:val="0"/>
                <w:numId w:val="1"/>
              </w:numPr>
              <w:spacing w:after="30" w:before="0"/>
            </w:pPr>
            <w:r>
              <w:rPr>
                <w:rFonts w:ascii="Calibri" w:cs="Calibri" w:eastAsia="Calibri" w:hAnsi="Calibri"/>
                <w:color w:val="1A1726"/>
                <w:sz w:val="19"/>
                <w:szCs w:val="19"/>
              </w:rPr>
              <w:t xml:space="preserve">transfer ideas from planning organisers into sentences</w:t>
            </w:r>
          </w:p>
          <w:p>
            <w:pPr>
              <w:pStyle w:val="ListParagraph"/>
              <w:numPr>
                <w:ilvl w:val="0"/>
                <w:numId w:val="1"/>
              </w:numPr>
              <w:spacing w:after="30" w:before="0"/>
            </w:pPr>
            <w:r>
              <w:rPr>
                <w:rFonts w:ascii="Calibri" w:cs="Calibri" w:eastAsia="Calibri" w:hAnsi="Calibri"/>
                <w:color w:val="1A1726"/>
                <w:sz w:val="19"/>
                <w:szCs w:val="19"/>
              </w:rPr>
              <w:t xml:space="preserve">use layout conventions to indicate paragraphs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Sentence structures and punctuation</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use a range of sentence structures and types to suit purpose and enhance impact</w:t>
            </w:r>
          </w:p>
          <w:p>
            <w:pPr>
              <w:pStyle w:val="ListParagraph"/>
              <w:numPr>
                <w:ilvl w:val="0"/>
                <w:numId w:val="1"/>
              </w:numPr>
              <w:spacing w:after="30" w:before="0"/>
            </w:pPr>
            <w:r>
              <w:rPr>
                <w:rFonts w:ascii="Calibri" w:cs="Calibri" w:eastAsia="Calibri" w:hAnsi="Calibri"/>
                <w:color w:val="1A1726"/>
                <w:sz w:val="19"/>
                <w:szCs w:val="19"/>
              </w:rPr>
              <w:t xml:space="preserve">expand sentences using adverbial phrases; combine sentences, varying the position of the phrase</w:t>
            </w:r>
          </w:p>
          <w:p>
            <w:pPr>
              <w:pStyle w:val="ListParagraph"/>
              <w:numPr>
                <w:ilvl w:val="0"/>
                <w:numId w:val="1"/>
              </w:numPr>
              <w:spacing w:after="30" w:before="0"/>
            </w:pPr>
            <w:r>
              <w:rPr>
                <w:rFonts w:ascii="Calibri" w:cs="Calibri" w:eastAsia="Calibri" w:hAnsi="Calibri"/>
                <w:color w:val="1A1726"/>
                <w:sz w:val="19"/>
                <w:szCs w:val="19"/>
              </w:rPr>
              <w:t xml:space="preserve">use commas correctly for complex sentences, phrases and transition words, with some support</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craft</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vocabulary chosen deliberately for effect, including connotation and precision</w:t>
            </w:r>
          </w:p>
          <w:p>
            <w:pPr>
              <w:pStyle w:val="ListParagraph"/>
              <w:numPr>
                <w:ilvl w:val="0"/>
                <w:numId w:val="1"/>
              </w:numPr>
              <w:spacing w:after="30" w:before="0"/>
            </w:pPr>
            <w:r>
              <w:rPr>
                <w:rFonts w:ascii="Calibri" w:cs="Calibri" w:eastAsia="Calibri" w:hAnsi="Calibri"/>
                <w:color w:val="1A1726"/>
                <w:sz w:val="19"/>
                <w:szCs w:val="19"/>
              </w:rPr>
              <w:t xml:space="preserve">figurative language used purposefully rather than decoratively</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processes — revising &amp; editing</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reread to check at the sentence, paragraph and whole-text level</w:t>
            </w:r>
          </w:p>
          <w:p>
            <w:pPr>
              <w:pStyle w:val="ListParagraph"/>
              <w:numPr>
                <w:ilvl w:val="0"/>
                <w:numId w:val="1"/>
              </w:numPr>
              <w:spacing w:after="30" w:before="0"/>
            </w:pPr>
            <w:r>
              <w:rPr>
                <w:rFonts w:ascii="Calibri" w:cs="Calibri" w:eastAsia="Calibri" w:hAnsi="Calibri"/>
                <w:color w:val="1A1726"/>
                <w:sz w:val="19"/>
                <w:szCs w:val="19"/>
              </w:rPr>
              <w:t xml:space="preserve">revise to improve clarity and impact for the intended audience and purpose</w:t>
            </w:r>
          </w:p>
          <w:p>
            <w:pPr>
              <w:pStyle w:val="ListParagraph"/>
              <w:numPr>
                <w:ilvl w:val="0"/>
                <w:numId w:val="1"/>
              </w:numPr>
              <w:spacing w:after="30" w:before="0"/>
            </w:pPr>
            <w:r>
              <w:rPr>
                <w:rFonts w:ascii="Calibri" w:cs="Calibri" w:eastAsia="Calibri" w:hAnsi="Calibri"/>
                <w:color w:val="1A1726"/>
                <w:sz w:val="19"/>
                <w:szCs w:val="19"/>
              </w:rPr>
              <w:t xml:space="preserve">make edits using known punctuation; give feedback to and receive feedback from peers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Oral language (carrying unusual weight this term)</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communicate in complete sentences, incorporating a range of conjunctions and connectives, and varying sentence structure and length to create effect and support meaning</w:t>
            </w:r>
          </w:p>
          <w:p>
            <w:pPr>
              <w:pStyle w:val="ListParagraph"/>
              <w:numPr>
                <w:ilvl w:val="0"/>
                <w:numId w:val="1"/>
              </w:numPr>
              <w:spacing w:after="30" w:before="0"/>
            </w:pPr>
            <w:r>
              <w:rPr>
                <w:rFonts w:ascii="Calibri" w:cs="Calibri" w:eastAsia="Calibri" w:hAnsi="Calibri"/>
                <w:color w:val="1A1726"/>
                <w:sz w:val="19"/>
                <w:szCs w:val="19"/>
              </w:rPr>
              <w:t xml:space="preserve">give descriptions with specific details to actively engage listeners</w:t>
            </w:r>
          </w:p>
          <w:p>
            <w:pPr>
              <w:pStyle w:val="ListParagraph"/>
              <w:numPr>
                <w:ilvl w:val="0"/>
                <w:numId w:val="1"/>
              </w:numPr>
              <w:spacing w:after="30" w:before="0"/>
            </w:pPr>
            <w:r>
              <w:rPr>
                <w:rFonts w:ascii="Calibri" w:cs="Calibri" w:eastAsia="Calibri" w:hAnsi="Calibri"/>
                <w:color w:val="1A1726"/>
                <w:sz w:val="19"/>
                <w:szCs w:val="19"/>
              </w:rPr>
              <w:t xml:space="preserve">use precise vocabulary</w:t>
            </w:r>
          </w:p>
          <w:p>
            <w:pPr>
              <w:pStyle w:val="ListParagraph"/>
              <w:numPr>
                <w:ilvl w:val="0"/>
                <w:numId w:val="1"/>
              </w:numPr>
              <w:spacing w:after="30" w:before="0"/>
            </w:pPr>
            <w:r>
              <w:rPr>
                <w:rFonts w:ascii="Calibri" w:cs="Calibri" w:eastAsia="Calibri" w:hAnsi="Calibri"/>
                <w:color w:val="1A1726"/>
                <w:sz w:val="19"/>
                <w:szCs w:val="19"/>
              </w:rPr>
              <w:t xml:space="preserve">make comments that encourage discussion, ask clarifying questions, and consider the impact of their words on others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Reading (Phase 2)</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identify the audience and purpose of texts that entertain, inform, and persuade</w:t>
            </w:r>
          </w:p>
          <w:p>
            <w:pPr>
              <w:pStyle w:val="ListParagraph"/>
              <w:numPr>
                <w:ilvl w:val="0"/>
                <w:numId w:val="1"/>
              </w:numPr>
              <w:spacing w:after="30" w:before="0"/>
            </w:pPr>
            <w:r>
              <w:rPr>
                <w:rFonts w:ascii="Calibri" w:cs="Calibri" w:eastAsia="Calibri" w:hAnsi="Calibri"/>
                <w:color w:val="1A1726"/>
                <w:sz w:val="19"/>
                <w:szCs w:val="19"/>
              </w:rPr>
              <w:t xml:space="preserve">respond to texts by sharing opinions and personal thoughts and feelings</w:t>
            </w:r>
          </w:p>
          <w:p>
            <w:pPr>
              <w:pStyle w:val="ListParagraph"/>
              <w:numPr>
                <w:ilvl w:val="0"/>
                <w:numId w:val="1"/>
              </w:numPr>
              <w:spacing w:after="30" w:before="0"/>
            </w:pPr>
            <w:r>
              <w:rPr>
                <w:rFonts w:ascii="Calibri" w:cs="Calibri" w:eastAsia="Calibri" w:hAnsi="Calibri"/>
                <w:color w:val="1A1726"/>
                <w:sz w:val="19"/>
                <w:szCs w:val="19"/>
              </w:rPr>
              <w:t xml:space="preserve">acknowledge others’ responses and respond respectfully to differences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Key competency — Thinking (ACS template)</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ARGUMENTATION: MAKING A CLAIM AND SUPPORTING IT WITH EVIDENCE — the central skill of this unit</w:t>
            </w:r>
          </w:p>
          <w:p>
            <w:pPr>
              <w:pStyle w:val="ListParagraph"/>
              <w:numPr>
                <w:ilvl w:val="0"/>
                <w:numId w:val="1"/>
              </w:numPr>
              <w:spacing w:after="30" w:before="0"/>
            </w:pPr>
            <w:r>
              <w:rPr>
                <w:rFonts w:ascii="Calibri" w:cs="Calibri" w:eastAsia="Calibri" w:hAnsi="Calibri"/>
                <w:color w:val="1A1726"/>
                <w:sz w:val="19"/>
                <w:szCs w:val="19"/>
              </w:rPr>
              <w:t xml:space="preserve">asking curious or critical questions; cause and effect thinking; metacognition</w:t>
            </w:r>
          </w:p>
        </w:tc>
      </w:tr>
    </w:tbl>
    <w:p>
      <w:pPr>
        <w:pBdr>
          <w:bottom w:val="single" w:color="CCCCCC" w:sz="6"/>
        </w:pBdr>
        <w:spacing w:after="90" w:before="180"/>
      </w:pPr>
      <w:r>
        <w:rPr>
          <w:rFonts w:ascii="Calibri" w:cs="Calibri" w:eastAsia="Calibri" w:hAnsi="Calibri"/>
          <w:b/>
          <w:bCs/>
          <w:color w:val="0F766E"/>
          <w:sz w:val="26"/>
          <w:szCs w:val="26"/>
        </w:rPr>
        <w:t xml:space="preserve">Knowledge Outcomes — students will know that…</w:t>
      </w:r>
    </w:p>
    <w:p>
      <w:pPr>
        <w:pStyle w:val="ListParagraph"/>
        <w:numPr>
          <w:ilvl w:val="0"/>
          <w:numId w:val="1"/>
        </w:numPr>
        <w:spacing w:after="40" w:before="0"/>
      </w:pPr>
      <w:r>
        <w:rPr>
          <w:rFonts w:ascii="Calibri" w:cs="Calibri" w:eastAsia="Calibri" w:hAnsi="Calibri"/>
          <w:color w:val="1A1726"/>
          <w:sz w:val="19"/>
          <w:szCs w:val="19"/>
        </w:rPr>
        <w:t xml:space="preserve">An opinion, a reason and evidence are three different things, and only the third one ends an argument.</w:t>
      </w:r>
    </w:p>
    <w:p>
      <w:pPr>
        <w:pStyle w:val="ListParagraph"/>
        <w:numPr>
          <w:ilvl w:val="0"/>
          <w:numId w:val="1"/>
        </w:numPr>
        <w:spacing w:after="40" w:before="0"/>
      </w:pPr>
      <w:r>
        <w:rPr>
          <w:rFonts w:ascii="Calibri" w:cs="Calibri" w:eastAsia="Calibri" w:hAnsi="Calibri"/>
          <w:color w:val="1A1726"/>
          <w:sz w:val="19"/>
          <w:szCs w:val="19"/>
        </w:rPr>
        <w:t xml:space="preserve">“Everyone” is not an audience. A persuasive text is aimed at the one person who can say yes.</w:t>
      </w:r>
    </w:p>
    <w:p>
      <w:pPr>
        <w:pStyle w:val="ListParagraph"/>
        <w:numPr>
          <w:ilvl w:val="0"/>
          <w:numId w:val="1"/>
        </w:numPr>
        <w:spacing w:after="40" w:before="0"/>
      </w:pPr>
      <w:r>
        <w:rPr>
          <w:rFonts w:ascii="Calibri" w:cs="Calibri" w:eastAsia="Calibri" w:hAnsi="Calibri"/>
          <w:color w:val="1A1726"/>
          <w:sz w:val="19"/>
          <w:szCs w:val="19"/>
        </w:rPr>
        <w:t xml:space="preserve">Reasons are ordered deliberately: easiest to agree with first, strongest last.</w:t>
      </w:r>
    </w:p>
    <w:p>
      <w:pPr>
        <w:pStyle w:val="ListParagraph"/>
        <w:numPr>
          <w:ilvl w:val="0"/>
          <w:numId w:val="1"/>
        </w:numPr>
        <w:spacing w:after="40" w:before="0"/>
      </w:pPr>
      <w:r>
        <w:rPr>
          <w:rFonts w:ascii="Calibri" w:cs="Calibri" w:eastAsia="Calibri" w:hAnsi="Calibri"/>
          <w:color w:val="1A1726"/>
          <w:sz w:val="19"/>
          <w:szCs w:val="19"/>
        </w:rPr>
        <w:t xml:space="preserve">A PEEL paragraph does four jobs, and the EXPLAIN is where the persuading actually happens.</w:t>
      </w:r>
    </w:p>
    <w:p>
      <w:pPr>
        <w:pStyle w:val="ListParagraph"/>
        <w:numPr>
          <w:ilvl w:val="0"/>
          <w:numId w:val="1"/>
        </w:numPr>
        <w:spacing w:after="40" w:before="0"/>
      </w:pPr>
      <w:r>
        <w:rPr>
          <w:rFonts w:ascii="Calibri" w:cs="Calibri" w:eastAsia="Calibri" w:hAnsi="Calibri"/>
          <w:color w:val="1A1726"/>
          <w:sz w:val="19"/>
          <w:szCs w:val="19"/>
        </w:rPr>
        <w:t xml:space="preserve">Naming the other side’s best argument fairly makes you more credible, not less.</w:t>
      </w:r>
    </w:p>
    <w:p>
      <w:pPr>
        <w:pStyle w:val="ListParagraph"/>
        <w:numPr>
          <w:ilvl w:val="0"/>
          <w:numId w:val="1"/>
        </w:numPr>
        <w:spacing w:after="40" w:before="0"/>
      </w:pPr>
      <w:r>
        <w:rPr>
          <w:rFonts w:ascii="Calibri" w:cs="Calibri" w:eastAsia="Calibri" w:hAnsi="Calibri"/>
          <w:color w:val="1A1726"/>
          <w:sz w:val="19"/>
          <w:szCs w:val="19"/>
        </w:rPr>
        <w:t xml:space="preserve">A call to action must be specific, small, and inside the audience’s power to grant.</w:t>
      </w:r>
    </w:p>
    <w:p>
      <w:pPr>
        <w:pStyle w:val="ListParagraph"/>
        <w:numPr>
          <w:ilvl w:val="0"/>
          <w:numId w:val="1"/>
        </w:numPr>
        <w:spacing w:after="40" w:before="0"/>
      </w:pPr>
      <w:r>
        <w:rPr>
          <w:rFonts w:ascii="Calibri" w:cs="Calibri" w:eastAsia="Calibri" w:hAnsi="Calibri"/>
          <w:color w:val="1A1726"/>
          <w:sz w:val="19"/>
          <w:szCs w:val="19"/>
        </w:rPr>
        <w:t xml:space="preserve">You can be right and still lose, if you sound like you are attacking the person who has to decide.</w:t>
      </w:r>
    </w:p>
    <w:p>
      <w:pPr>
        <w:pStyle w:val="ListParagraph"/>
        <w:numPr>
          <w:ilvl w:val="0"/>
          <w:numId w:val="1"/>
        </w:numPr>
        <w:spacing w:after="40" w:before="0"/>
      </w:pPr>
      <w:r>
        <w:rPr>
          <w:rFonts w:ascii="Calibri" w:cs="Calibri" w:eastAsia="Calibri" w:hAnsi="Calibri"/>
          <w:color w:val="1A1726"/>
          <w:sz w:val="19"/>
          <w:szCs w:val="19"/>
        </w:rPr>
        <w:t xml:space="preserve">A listener cannot reread you — so a speech needs shorter sentences, louder signposts and real pauses.</w:t>
      </w:r>
    </w:p>
    <w:p>
      <w:pPr>
        <w:pBdr>
          <w:bottom w:val="single" w:color="CCCCCC" w:sz="6"/>
        </w:pBdr>
        <w:spacing w:after="90" w:before="180"/>
      </w:pPr>
      <w:r>
        <w:rPr>
          <w:rFonts w:ascii="Calibri" w:cs="Calibri" w:eastAsia="Calibri" w:hAnsi="Calibri"/>
          <w:b/>
          <w:bCs/>
          <w:color w:val="0F766E"/>
          <w:sz w:val="26"/>
          <w:szCs w:val="26"/>
        </w:rPr>
        <w:t xml:space="preserve">Possible Misconceptions</w:t>
      </w:r>
    </w:p>
    <w:p>
      <w:pPr>
        <w:pStyle w:val="ListParagraph"/>
        <w:numPr>
          <w:ilvl w:val="0"/>
          <w:numId w:val="1"/>
        </w:numPr>
        <w:spacing w:after="40" w:before="0"/>
      </w:pPr>
      <w:r>
        <w:rPr>
          <w:rFonts w:ascii="Calibri" w:cs="Calibri" w:eastAsia="Calibri" w:hAnsi="Calibri"/>
          <w:color w:val="1A1726"/>
          <w:sz w:val="19"/>
          <w:szCs w:val="19"/>
        </w:rPr>
        <w:t xml:space="preserve">⚠ “Persuasive writing means saying it more strongly.” (It means proving it. Volume is not evidence.)</w:t>
      </w:r>
    </w:p>
    <w:p>
      <w:pPr>
        <w:pStyle w:val="ListParagraph"/>
        <w:numPr>
          <w:ilvl w:val="0"/>
          <w:numId w:val="1"/>
        </w:numPr>
        <w:spacing w:after="40" w:before="0"/>
      </w:pPr>
      <w:r>
        <w:rPr>
          <w:rFonts w:ascii="Calibri" w:cs="Calibri" w:eastAsia="Calibri" w:hAnsi="Calibri"/>
          <w:color w:val="1A1726"/>
          <w:sz w:val="19"/>
          <w:szCs w:val="19"/>
        </w:rPr>
        <w:t xml:space="preserve">⚠ “I should ignore the other side.” (They will think of it anyway, and then you look like you hadn’t.)</w:t>
      </w:r>
    </w:p>
    <w:p>
      <w:pPr>
        <w:pStyle w:val="ListParagraph"/>
        <w:numPr>
          <w:ilvl w:val="0"/>
          <w:numId w:val="1"/>
        </w:numPr>
        <w:spacing w:after="40" w:before="0"/>
      </w:pPr>
      <w:r>
        <w:rPr>
          <w:rFonts w:ascii="Calibri" w:cs="Calibri" w:eastAsia="Calibri" w:hAnsi="Calibri"/>
          <w:color w:val="1A1726"/>
          <w:sz w:val="19"/>
          <w:szCs w:val="19"/>
        </w:rPr>
        <w:t xml:space="preserve">⚠ “Emotive words are the technique.” (One notch up is powerful; three is exaggeration, and exaggeration costs trust.)</w:t>
      </w:r>
    </w:p>
    <w:p>
      <w:pPr>
        <w:pStyle w:val="ListParagraph"/>
        <w:numPr>
          <w:ilvl w:val="0"/>
          <w:numId w:val="1"/>
        </w:numPr>
        <w:spacing w:after="40" w:before="0"/>
      </w:pPr>
      <w:r>
        <w:rPr>
          <w:rFonts w:ascii="Calibri" w:cs="Calibri" w:eastAsia="Calibri" w:hAnsi="Calibri"/>
          <w:color w:val="1A1726"/>
          <w:sz w:val="19"/>
          <w:szCs w:val="19"/>
        </w:rPr>
        <w:t xml:space="preserve">⚠ “The bigger the ask, the better.” (The smaller the ask, the likelier the yes — and a small yes is where change starts.)</w:t>
      </w:r>
    </w:p>
    <w:p>
      <w:pPr>
        <w:pStyle w:val="ListParagraph"/>
        <w:numPr>
          <w:ilvl w:val="0"/>
          <w:numId w:val="1"/>
        </w:numPr>
        <w:spacing w:after="40" w:before="0"/>
      </w:pPr>
      <w:r>
        <w:rPr>
          <w:rFonts w:ascii="Calibri" w:cs="Calibri" w:eastAsia="Calibri" w:hAnsi="Calibri"/>
          <w:color w:val="1A1726"/>
          <w:sz w:val="19"/>
          <w:szCs w:val="19"/>
        </w:rPr>
        <w:t xml:space="preserve">⚠ “Changing my mind means I lost.” (It means the evidence worked.)</w:t>
      </w:r>
    </w:p>
    <w:p>
      <w:pPr>
        <w:pStyle w:val="ListParagraph"/>
        <w:numPr>
          <w:ilvl w:val="0"/>
          <w:numId w:val="1"/>
        </w:numPr>
        <w:spacing w:after="40" w:before="0"/>
      </w:pPr>
      <w:r>
        <w:rPr>
          <w:rFonts w:ascii="Calibri" w:cs="Calibri" w:eastAsia="Calibri" w:hAnsi="Calibri"/>
          <w:color w:val="1A1726"/>
          <w:sz w:val="19"/>
          <w:szCs w:val="19"/>
        </w:rPr>
        <w:t xml:space="preserve">⚠ “A speech is just my essay read out.” (It is the same argument re-registered for the ear — about a third shorter.)</w:t>
      </w:r>
    </w:p>
    <w:p>
      <w:pPr>
        <w:pBdr>
          <w:bottom w:val="single" w:color="CCCCCC" w:sz="6"/>
        </w:pBdr>
        <w:spacing w:after="90" w:before="180"/>
      </w:pPr>
      <w:r>
        <w:rPr>
          <w:rFonts w:ascii="Calibri" w:cs="Calibri" w:eastAsia="Calibri" w:hAnsi="Calibri"/>
          <w:b/>
          <w:bCs/>
          <w:color w:val="0F766E"/>
          <w:sz w:val="26"/>
          <w:szCs w:val="26"/>
        </w:rPr>
        <w:t xml:space="preserve">Essential Questions (used as WALTs)</w:t>
      </w:r>
    </w:p>
    <w:p>
      <w:pPr>
        <w:pStyle w:val="ListParagraph"/>
        <w:numPr>
          <w:ilvl w:val="0"/>
          <w:numId w:val="1"/>
        </w:numPr>
        <w:spacing w:after="40" w:before="0"/>
      </w:pPr>
      <w:r>
        <w:rPr>
          <w:rFonts w:ascii="Calibri" w:cs="Calibri" w:eastAsia="Calibri" w:hAnsi="Calibri"/>
          <w:color w:val="1A1726"/>
          <w:sz w:val="19"/>
          <w:szCs w:val="19"/>
        </w:rPr>
        <w:t xml:space="preserve">What is worth arguing about? (Week 1)</w:t>
      </w:r>
    </w:p>
    <w:p>
      <w:pPr>
        <w:pStyle w:val="ListParagraph"/>
        <w:numPr>
          <w:ilvl w:val="0"/>
          <w:numId w:val="1"/>
        </w:numPr>
        <w:spacing w:after="40" w:before="0"/>
      </w:pPr>
      <w:r>
        <w:rPr>
          <w:rFonts w:ascii="Calibri" w:cs="Calibri" w:eastAsia="Calibri" w:hAnsi="Calibri"/>
          <w:color w:val="1A1726"/>
          <w:sz w:val="19"/>
          <w:szCs w:val="19"/>
        </w:rPr>
        <w:t xml:space="preserve">What is the difference between an opinion and an argument? (Week 2)</w:t>
      </w:r>
    </w:p>
    <w:p>
      <w:pPr>
        <w:pStyle w:val="ListParagraph"/>
        <w:numPr>
          <w:ilvl w:val="0"/>
          <w:numId w:val="1"/>
        </w:numPr>
        <w:spacing w:after="40" w:before="0"/>
      </w:pPr>
      <w:r>
        <w:rPr>
          <w:rFonts w:ascii="Calibri" w:cs="Calibri" w:eastAsia="Calibri" w:hAnsi="Calibri"/>
          <w:color w:val="1A1726"/>
          <w:sz w:val="19"/>
          <w:szCs w:val="19"/>
        </w:rPr>
        <w:t xml:space="preserve">Who am I trying to move, and what will move them? (Week 3)</w:t>
      </w:r>
    </w:p>
    <w:p>
      <w:pPr>
        <w:pStyle w:val="ListParagraph"/>
        <w:numPr>
          <w:ilvl w:val="0"/>
          <w:numId w:val="1"/>
        </w:numPr>
        <w:spacing w:after="40" w:before="0"/>
      </w:pPr>
      <w:r>
        <w:rPr>
          <w:rFonts w:ascii="Calibri" w:cs="Calibri" w:eastAsia="Calibri" w:hAnsi="Calibri"/>
          <w:color w:val="1A1726"/>
          <w:sz w:val="19"/>
          <w:szCs w:val="19"/>
        </w:rPr>
        <w:t xml:space="preserve">How do I make my evidence mean something to my audience? (Week 5)</w:t>
      </w:r>
    </w:p>
    <w:p>
      <w:pPr>
        <w:pStyle w:val="ListParagraph"/>
        <w:numPr>
          <w:ilvl w:val="0"/>
          <w:numId w:val="1"/>
        </w:numPr>
        <w:spacing w:after="40" w:before="0"/>
      </w:pPr>
      <w:r>
        <w:rPr>
          <w:rFonts w:ascii="Calibri" w:cs="Calibri" w:eastAsia="Calibri" w:hAnsi="Calibri"/>
          <w:color w:val="1A1726"/>
          <w:sz w:val="19"/>
          <w:szCs w:val="19"/>
        </w:rPr>
        <w:t xml:space="preserve">Would this convince someone who does not already agree with me? (Week 7)</w:t>
      </w:r>
    </w:p>
    <w:p>
      <w:pPr>
        <w:pStyle w:val="ListParagraph"/>
        <w:numPr>
          <w:ilvl w:val="0"/>
          <w:numId w:val="1"/>
        </w:numPr>
        <w:spacing w:after="40" w:before="0"/>
      </w:pPr>
      <w:r>
        <w:rPr>
          <w:rFonts w:ascii="Calibri" w:cs="Calibri" w:eastAsia="Calibri" w:hAnsi="Calibri"/>
          <w:color w:val="1A1726"/>
          <w:sz w:val="19"/>
          <w:szCs w:val="19"/>
        </w:rPr>
        <w:t xml:space="preserve">Can my words move someone? (Week 10)</w:t>
      </w:r>
    </w:p>
    <w:p>
      <w:pPr>
        <w:spacing w:after="120" w:before="200"/>
      </w:pPr>
      <w:r>
        <w:rPr>
          <w:rFonts w:ascii="Calibri" w:cs="Calibri" w:eastAsia="Calibri" w:hAnsi="Calibri"/>
          <w:b/>
          <w:bCs/>
          <w:color w:val="6B21A8"/>
          <w:sz w:val="34"/>
          <w:szCs w:val="34"/>
        </w:rPr>
        <w:t xml:space="preserve">DO</w:t>
      </w:r>
    </w:p>
    <w:p>
      <w:pPr>
        <w:pBdr>
          <w:bottom w:val="single" w:color="CCCCCC" w:sz="6"/>
        </w:pBdr>
        <w:spacing w:after="90" w:before="180"/>
      </w:pPr>
      <w:r>
        <w:rPr>
          <w:rFonts w:ascii="Calibri" w:cs="Calibri" w:eastAsia="Calibri" w:hAnsi="Calibri"/>
          <w:b/>
          <w:bCs/>
          <w:color w:val="0F766E"/>
          <w:sz w:val="26"/>
          <w:szCs w:val="26"/>
        </w:rPr>
        <w:t xml:space="preserve">Key Competencies — indicators developed this unit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c>
          <w:tcPr>
            <w:tcW w:type="dxa" w:w="26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Thinking</w:t>
            </w:r>
          </w:p>
        </w:tc>
        <w:tc>
          <w:tcPr>
            <w:tcW w:type="dxa" w:w="118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ARGUMENTATION: making a claim and supporting it with evidence · Asking critical questions · Cause-and-effect reasoning (the “so what” ladder) · Metacognition</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Using language, symbols &amp; text</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Identify the purpose for which a text was constructed · Match a text’s features with its purpose · Use the conventions of a discipline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Managing self</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Taking a risk — standing to speak, every Friday from Week 4 · Managing nerves through preparation · Knowing your own values and why they matter</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Relating to others</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Listening to and fairly representing a view you disagree with · Receiving feedback without defending · Encouraging a nervous speaker</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Participating &amp; contributing</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Taking responsible and critical action in a community: an argument, made publicly, asking for a change</w:t>
            </w:r>
          </w:p>
        </w:tc>
      </w:tr>
    </w:tbl>
    <w:p>
      <w:pPr>
        <w:pBdr>
          <w:bottom w:val="single" w:color="CCCCCC" w:sz="6"/>
        </w:pBdr>
        <w:spacing w:after="90" w:before="180"/>
      </w:pPr>
      <w:r>
        <w:rPr>
          <w:rFonts w:ascii="Calibri" w:cs="Calibri" w:eastAsia="Calibri" w:hAnsi="Calibri"/>
          <w:b/>
          <w:bCs/>
          <w:color w:val="0F766E"/>
          <w:sz w:val="26"/>
          <w:szCs w:val="26"/>
        </w:rPr>
        <w:t xml:space="preserve">Key Skills</w:t>
      </w:r>
    </w:p>
    <w:p>
      <w:pPr>
        <w:pStyle w:val="ListParagraph"/>
        <w:numPr>
          <w:ilvl w:val="0"/>
          <w:numId w:val="1"/>
        </w:numPr>
        <w:spacing w:after="40" w:before="0"/>
      </w:pPr>
      <w:r>
        <w:rPr>
          <w:rFonts w:ascii="Calibri" w:cs="Calibri" w:eastAsia="Calibri" w:hAnsi="Calibri"/>
          <w:color w:val="1A1726"/>
          <w:sz w:val="19"/>
          <w:szCs w:val="19"/>
        </w:rPr>
        <w:t xml:space="preserve">Distinguishing opinion, reason and evidence; gathering evidence, including data students collect themselves.</w:t>
      </w:r>
    </w:p>
    <w:p>
      <w:pPr>
        <w:pStyle w:val="ListParagraph"/>
        <w:numPr>
          <w:ilvl w:val="0"/>
          <w:numId w:val="1"/>
        </w:numPr>
        <w:spacing w:after="40" w:before="0"/>
      </w:pPr>
      <w:r>
        <w:rPr>
          <w:rFonts w:ascii="Calibri" w:cs="Calibri" w:eastAsia="Calibri" w:hAnsi="Calibri"/>
          <w:color w:val="1A1726"/>
          <w:sz w:val="19"/>
          <w:szCs w:val="19"/>
        </w:rPr>
        <w:t xml:space="preserve">Steelmanning: constructing the strongest version of the opposing case.</w:t>
      </w:r>
    </w:p>
    <w:p>
      <w:pPr>
        <w:pStyle w:val="ListParagraph"/>
        <w:numPr>
          <w:ilvl w:val="0"/>
          <w:numId w:val="1"/>
        </w:numPr>
        <w:spacing w:after="40" w:before="0"/>
      </w:pPr>
      <w:r>
        <w:rPr>
          <w:rFonts w:ascii="Calibri" w:cs="Calibri" w:eastAsia="Calibri" w:hAnsi="Calibri"/>
          <w:color w:val="1A1726"/>
          <w:sz w:val="19"/>
          <w:szCs w:val="19"/>
        </w:rPr>
        <w:t xml:space="preserve">Audience analysis: identifying the decision-maker and what they already think and fear.</w:t>
      </w:r>
    </w:p>
    <w:p>
      <w:pPr>
        <w:pStyle w:val="ListParagraph"/>
        <w:numPr>
          <w:ilvl w:val="0"/>
          <w:numId w:val="1"/>
        </w:numPr>
        <w:spacing w:after="40" w:before="0"/>
      </w:pPr>
      <w:r>
        <w:rPr>
          <w:rFonts w:ascii="Calibri" w:cs="Calibri" w:eastAsia="Calibri" w:hAnsi="Calibri"/>
          <w:color w:val="1A1726"/>
          <w:sz w:val="19"/>
          <w:szCs w:val="19"/>
        </w:rPr>
        <w:t xml:space="preserve">PEEL paragraphing and the “so what” ladder from fact to consequence.</w:t>
      </w:r>
    </w:p>
    <w:p>
      <w:pPr>
        <w:pStyle w:val="ListParagraph"/>
        <w:numPr>
          <w:ilvl w:val="0"/>
          <w:numId w:val="1"/>
        </w:numPr>
        <w:spacing w:after="40" w:before="0"/>
      </w:pPr>
      <w:r>
        <w:rPr>
          <w:rFonts w:ascii="Calibri" w:cs="Calibri" w:eastAsia="Calibri" w:hAnsi="Calibri"/>
          <w:color w:val="1A1726"/>
          <w:sz w:val="19"/>
          <w:szCs w:val="19"/>
        </w:rPr>
        <w:t xml:space="preserve">Concede-and-turn counter-argument; a specific, granting-sized call to action.</w:t>
      </w:r>
    </w:p>
    <w:p>
      <w:pPr>
        <w:pStyle w:val="ListParagraph"/>
        <w:numPr>
          <w:ilvl w:val="0"/>
          <w:numId w:val="1"/>
        </w:numPr>
        <w:spacing w:after="40" w:before="0"/>
      </w:pPr>
      <w:r>
        <w:rPr>
          <w:rFonts w:ascii="Calibri" w:cs="Calibri" w:eastAsia="Calibri" w:hAnsi="Calibri"/>
          <w:color w:val="1A1726"/>
          <w:sz w:val="19"/>
          <w:szCs w:val="19"/>
        </w:rPr>
        <w:t xml:space="preserve">Converting a written argument into a two-minute spoken script; cue cards; voice, pace, pause and eye contact.</w:t>
      </w:r>
    </w:p>
    <w:p>
      <w:pPr>
        <w:spacing w:after="120" w:before="200"/>
      </w:pPr>
      <w:r>
        <w:rPr>
          <w:rFonts w:ascii="Calibri" w:cs="Calibri" w:eastAsia="Calibri" w:hAnsi="Calibri"/>
          <w:b/>
          <w:bCs/>
          <w:color w:val="6B21A8"/>
          <w:sz w:val="34"/>
          <w:szCs w:val="34"/>
        </w:rPr>
        <w:t xml:space="preserve">DELIVERY — PROGRAMME</w:t>
      </w:r>
    </w:p>
    <w:p>
      <w:pPr>
        <w:pBdr>
          <w:bottom w:val="single" w:color="CCCCCC" w:sz="6"/>
        </w:pBdr>
        <w:spacing w:after="90" w:before="180"/>
      </w:pPr>
      <w:r>
        <w:rPr>
          <w:rFonts w:ascii="Calibri" w:cs="Calibri" w:eastAsia="Calibri" w:hAnsi="Calibri"/>
          <w:b/>
          <w:bCs/>
          <w:color w:val="0F766E"/>
          <w:sz w:val="26"/>
          <w:szCs w:val="26"/>
        </w:rPr>
        <w:t xml:space="preserve">Ten-Week Overview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00"/>
        <w:gridCol w:w="3600"/>
        <w:gridCol w:w="3500"/>
      </w:tblGrid>
      <w:tr>
        <w:trPr>
          <w:tblHeader/>
        </w:trPr>
        <w:tc>
          <w:tcPr>
            <w:tcW w:type="dxa" w:w="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Wk</w:t>
            </w:r>
          </w:p>
        </w:tc>
        <w:tc>
          <w:tcPr>
            <w:tcW w:type="dxa" w:w="1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4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Weekly focus</w:t>
            </w:r>
          </w:p>
        </w:tc>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Students end the week with…</w:t>
            </w:r>
          </w:p>
        </w:tc>
        <w:tc>
          <w:tcPr>
            <w:tcW w:type="dxa" w:w="35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Warm-Up skills that feed it</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Persuasion around us; how a speech works; complaint versus argument.</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An issue bank, and a first 30-second stand</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Similes · direct speech punctuation · -ing openers · show don’t tell</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2</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Opinion / reason / evidence; four kinds of evidence; the other side.</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case file with evidence, and an opposition page</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Personification · active &amp; passive voice · semicolons · dialogue punctuation</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3</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 → FIND</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yes-test; the claim sentence; the four-box plan; rehearsal on a real “no”.</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planned argument aimed at a named person</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Metaphors · MODAL VERBS · -ed openers · editing for active voice</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4</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Four ways to open; signposting; PEEL paragraphs.</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Opening, claim and reason one drafted</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CONNECTIVES FOR PERSUASIVE WRITING · conjunctions · PEEL PARAGRAPHS</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5</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Connotation; weaving evidence with attribution; the “so what” ladder.</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Reasons two and three drafted</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CONNOTATION · nominalisation · cause &amp; effect sentences · formal register</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6</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Concede and turn; the call to action; rhythm and the rule of three.</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COMPLETE ARGUMENT</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FORMAL VS INFORMAL REGISTER · reported speech · sentence rhythm · cohesion</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7</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SHAPE</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Deconstruct strong and weak models; the credibility audit; two goals.</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marked-up draft and two goals</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Onomatopoeia · expanded noun phrases · RHETORICAL QUESTIONS · repetitive openers</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8</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Helping Circle; triage; revision workshops; page to stage.</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revised argument and a 2-minute script</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Idioms · parenthesis review · embedding clauses · self-editing checklist</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9</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Second draft; four-pass edit; best copy; cue cards and delivery craft.</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Best copy, cue cards, a rehearsed speech</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Expanded noun phrases · passive voice · sequencing · peer editing</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Typing; final proof; dress rehearsal; SPEECH DAY; reflection.</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published argument, delivered aloud</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Term 3 review: devices, grammar, paragraphs, whole-piece edit</w:t>
            </w:r>
          </w:p>
        </w:tc>
      </w:tr>
    </w:tbl>
    <w:p>
      <w:pPr>
        <w:pBdr>
          <w:bottom w:val="single" w:color="CCCCCC" w:sz="6"/>
        </w:pBdr>
        <w:spacing w:after="90" w:before="180"/>
      </w:pPr>
      <w:r>
        <w:rPr>
          <w:rFonts w:ascii="Calibri" w:cs="Calibri" w:eastAsia="Calibri" w:hAnsi="Calibri"/>
          <w:b/>
          <w:bCs/>
          <w:color w:val="0F766E"/>
          <w:sz w:val="26"/>
          <w:szCs w:val="26"/>
        </w:rPr>
        <w:t xml:space="preserve">Weekly Rhythm — and the standing habit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6200"/>
      </w:tblGrid>
      <w:tr>
        <w:trPr>
          <w:tblHeader/>
        </w:trPr>
        <w:tc>
          <w:tcPr>
            <w:tcW w:type="dxa" w:w="1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Day</w:t>
            </w:r>
          </w:p>
        </w:tc>
        <w:tc>
          <w:tcPr>
            <w:tcW w:type="dxa" w:w="63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Role</w:t>
            </w:r>
          </w:p>
        </w:tc>
        <w:tc>
          <w:tcPr>
            <w:tcW w:type="dxa" w:w="6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I Do / We Do / You Do balance</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Monday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Launch — the week’s focus introduced through a model or demonstration</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 Do–heavy</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Tuesday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Build together — the class constructs an example jointly</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 Do–heavy</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Wednesday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Stretch — a harder application of the same skill</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 Do → You Do bridge</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Thursday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Write — students apply the focus to their own argument</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You Do–heavy; teacher circulates and pulls a small group</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Friday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 and reflect — trios, circles, and STANDING TO READ from Week 4</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Student voice, minimal teacher input</w:t>
            </w:r>
          </w:p>
        </w:tc>
      </w:tr>
    </w:tbl>
    <w:p>
      <w:pPr>
        <w:spacing w:after="80" w:before="0"/>
      </w:pPr>
      <w:r>
        <w:rPr>
          <w:rFonts w:ascii="Calibri" w:cs="Calibri" w:eastAsia="Calibri" w:hAnsi="Calibri"/>
          <w:i/>
          <w:iCs/>
          <w:color w:val="1A1726"/>
          <w:sz w:val="19"/>
          <w:szCs w:val="19"/>
        </w:rPr>
        <w:t xml:space="preserve">Every 25-minute lesson: Warm-Up Bridge (2 min) → Process Check (1) → I Do (5–8) → We Do (5–8) → You Do (7–10) → Close (1–2). Every lesson is written out in full lesson-plan form in the app.</w:t>
      </w:r>
    </w:p>
    <w:p>
      <w:pPr>
        <w:spacing w:after="80" w:before="0"/>
      </w:pPr>
      <w:r>
        <w:rPr>
          <w:rFonts w:ascii="Calibri" w:cs="Calibri" w:eastAsia="Calibri" w:hAnsi="Calibri"/>
          <w:b/>
          <w:bCs/>
          <w:color w:val="1A1726"/>
          <w:sz w:val="19"/>
          <w:szCs w:val="19"/>
        </w:rPr>
        <w:t xml:space="preserve">THE STANDING HABIT: from Week 4, every Friday share is done standing, from a marked speaking spot in the room. By Week 10 standing up is ordinary. This is the single most important piece of anxiety management in the unit — do not skip it.</w:t>
      </w:r>
    </w:p>
    <w:p>
      <w:pPr>
        <w:spacing w:after="80" w:before="0"/>
      </w:pPr>
      <w:r>
        <w:rPr>
          <w:rFonts w:ascii="Calibri" w:cs="Calibri" w:eastAsia="Calibri" w:hAnsi="Calibri"/>
          <w:i/>
          <w:iCs/>
          <w:color w:val="1A1726"/>
          <w:sz w:val="19"/>
          <w:szCs w:val="19"/>
        </w:rPr>
        <w:t xml:space="preserve">PRINTABLE STUDENT WORKSHEET: every week's prompt can be printed as a two-page student planning sheet from the app (“Print student worksheet”) — the prompt, the question ladder with writing space, the word bank as tick-boxes, the sentence starters, a plan/notes page, a box for the first sentence, the “only if you're stuck” layer, and a four-point self-check. It sits beside the student while they start writing, and doubles as evidence of the planning stage.</w:t>
      </w:r>
    </w:p>
    <w:p>
      <w:pPr>
        <w:pBdr>
          <w:bottom w:val="single" w:color="CCCCCC" w:sz="6"/>
        </w:pBdr>
        <w:spacing w:after="90" w:before="180"/>
      </w:pPr>
      <w:r>
        <w:rPr>
          <w:rFonts w:ascii="Calibri" w:cs="Calibri" w:eastAsia="Calibri" w:hAnsi="Calibri"/>
          <w:b/>
          <w:bCs/>
          <w:color w:val="0F766E"/>
          <w:sz w:val="26"/>
          <w:szCs w:val="26"/>
        </w:rPr>
        <w:t xml:space="preserve">Student Agency, Contexts and Differentiation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gridCol w:w="5700"/>
      </w:tblGrid>
      <w:tr>
        <w:trPr>
          <w:tblHeader/>
        </w:trPr>
        <w:tc>
          <w:tcPr>
            <w:tcW w:type="dxa" w:w="3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Student agency</w:t>
            </w:r>
          </w:p>
        </w:tc>
        <w:tc>
          <w:tcPr>
            <w:tcW w:type="dxa" w:w="5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Contexts</w:t>
            </w:r>
          </w:p>
        </w:tc>
        <w:tc>
          <w:tcPr>
            <w:tcW w:type="dxa" w:w="5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Differentiation and personalisation</w:t>
            </w:r>
          </w:p>
        </w:tc>
      </w:tr>
      <w:tr>
        <w:trPr>
          <w:tblHeader w:val="false"/>
        </w:trPr>
        <w:tc>
          <w:tcPr>
            <w:tcW w:type="dxa" w:w="30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Students choose their own issue from their own issue bank (Wks 1–3).</w:t>
            </w:r>
          </w:p>
          <w:p>
            <w:pPr>
              <w:pStyle w:val="ListParagraph"/>
              <w:numPr>
                <w:ilvl w:val="0"/>
                <w:numId w:val="1"/>
              </w:numPr>
              <w:spacing w:after="30" w:before="0"/>
            </w:pPr>
            <w:r>
              <w:rPr>
                <w:rFonts w:ascii="Calibri" w:cs="Calibri" w:eastAsia="Calibri" w:hAnsi="Calibri"/>
                <w:color w:val="1A1726"/>
                <w:sz w:val="19"/>
                <w:szCs w:val="19"/>
              </w:rPr>
              <w:t xml:space="preserve">Students choose their audience — the person who could say yes.</w:t>
            </w:r>
          </w:p>
          <w:p>
            <w:pPr>
              <w:pStyle w:val="ListParagraph"/>
              <w:numPr>
                <w:ilvl w:val="0"/>
                <w:numId w:val="1"/>
              </w:numPr>
              <w:spacing w:after="30" w:before="0"/>
            </w:pPr>
            <w:r>
              <w:rPr>
                <w:rFonts w:ascii="Calibri" w:cs="Calibri" w:eastAsia="Calibri" w:hAnsi="Calibri"/>
                <w:color w:val="1A1726"/>
                <w:sz w:val="19"/>
                <w:szCs w:val="19"/>
              </w:rPr>
              <w:t xml:space="preserve">Students set their own two revision goals (Wk 7) and may choose to cut a reason.</w:t>
            </w:r>
          </w:p>
          <w:p>
            <w:pPr>
              <w:pStyle w:val="ListParagraph"/>
              <w:numPr>
                <w:ilvl w:val="0"/>
                <w:numId w:val="1"/>
              </w:numPr>
              <w:spacing w:after="30" w:before="0"/>
            </w:pPr>
            <w:r>
              <w:rPr>
                <w:rFonts w:ascii="Calibri" w:cs="Calibri" w:eastAsia="Calibri" w:hAnsi="Calibri"/>
                <w:color w:val="1A1726"/>
                <w:sz w:val="19"/>
                <w:szCs w:val="19"/>
              </w:rPr>
              <w:t xml:space="preserve">Students choose what to read at the Helping Circle and how much of the speech to memorise.</w:t>
            </w:r>
          </w:p>
        </w:tc>
        <w:tc>
          <w:tcPr>
            <w:tcW w:type="dxa" w:w="57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Local and immediate: the field, the tuck shop, the library, the school gate, the bins.</w:t>
            </w:r>
          </w:p>
          <w:p>
            <w:pPr>
              <w:pStyle w:val="ListParagraph"/>
              <w:numPr>
                <w:ilvl w:val="0"/>
                <w:numId w:val="1"/>
              </w:numPr>
              <w:spacing w:after="30" w:before="0"/>
            </w:pPr>
            <w:r>
              <w:rPr>
                <w:rFonts w:ascii="Calibri" w:cs="Calibri" w:eastAsia="Calibri" w:hAnsi="Calibri"/>
                <w:color w:val="1A1726"/>
                <w:sz w:val="19"/>
                <w:szCs w:val="19"/>
              </w:rPr>
              <w:t xml:space="preserve">Community: a reserve, an awa, a crossing, a local practice.</w:t>
            </w:r>
          </w:p>
          <w:p>
            <w:pPr>
              <w:pStyle w:val="ListParagraph"/>
              <w:numPr>
                <w:ilvl w:val="0"/>
                <w:numId w:val="1"/>
              </w:numPr>
              <w:spacing w:after="30" w:before="0"/>
            </w:pPr>
            <w:r>
              <w:rPr>
                <w:rFonts w:ascii="Calibri" w:cs="Calibri" w:eastAsia="Calibri" w:hAnsi="Calibri"/>
                <w:color w:val="1A1726"/>
                <w:sz w:val="19"/>
                <w:szCs w:val="19"/>
              </w:rPr>
              <w:t xml:space="preserve">Audience: a named decision-maker — principal, board, council, whānau, another class.</w:t>
            </w:r>
          </w:p>
          <w:p>
            <w:pPr>
              <w:pStyle w:val="ListParagraph"/>
              <w:numPr>
                <w:ilvl w:val="0"/>
                <w:numId w:val="1"/>
              </w:numPr>
              <w:spacing w:after="30" w:before="0"/>
            </w:pPr>
            <w:r>
              <w:rPr>
                <w:rFonts w:ascii="Calibri" w:cs="Calibri" w:eastAsia="Calibri" w:hAnsi="Calibri"/>
                <w:color w:val="1A1726"/>
                <w:sz w:val="19"/>
                <w:szCs w:val="19"/>
              </w:rPr>
              <w:t xml:space="preserve">Week 10: a live audience, ideally including the person the arguments are addressed to.</w:t>
            </w:r>
          </w:p>
        </w:tc>
        <w:tc>
          <w:tcPr>
            <w:tcW w:type="dxa" w:w="57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No issue: the borrow list plus the yes-test — an issue with no decision-maker is a rant, not an argument.</w:t>
            </w:r>
          </w:p>
          <w:p>
            <w:pPr>
              <w:pStyle w:val="ListParagraph"/>
              <w:numPr>
                <w:ilvl w:val="0"/>
                <w:numId w:val="1"/>
              </w:numPr>
              <w:spacing w:after="30" w:before="0"/>
            </w:pPr>
            <w:r>
              <w:rPr>
                <w:rFonts w:ascii="Calibri" w:cs="Calibri" w:eastAsia="Calibri" w:hAnsi="Calibri"/>
                <w:color w:val="1A1726"/>
                <w:sz w:val="19"/>
                <w:szCs w:val="19"/>
              </w:rPr>
              <w:t xml:space="preserve">Only opinions: back to FILL for one lesson with one job — find one number, example or quotation.</w:t>
            </w:r>
          </w:p>
          <w:p>
            <w:pPr>
              <w:pStyle w:val="ListParagraph"/>
              <w:numPr>
                <w:ilvl w:val="0"/>
                <w:numId w:val="1"/>
              </w:numPr>
              <w:spacing w:after="30" w:before="0"/>
            </w:pPr>
            <w:r>
              <w:rPr>
                <w:rFonts w:ascii="Calibri" w:cs="Calibri" w:eastAsia="Calibri" w:hAnsi="Calibri"/>
                <w:color w:val="1A1726"/>
                <w:sz w:val="19"/>
                <w:szCs w:val="19"/>
              </w:rPr>
              <w:t xml:space="preserve">Issue too big: keep the passion, shrink the ask to something doable this term.</w:t>
            </w:r>
          </w:p>
          <w:p>
            <w:pPr>
              <w:pStyle w:val="ListParagraph"/>
              <w:numPr>
                <w:ilvl w:val="0"/>
                <w:numId w:val="1"/>
              </w:numPr>
              <w:spacing w:after="30" w:before="0"/>
            </w:pPr>
            <w:r>
              <w:rPr>
                <w:rFonts w:ascii="Calibri" w:cs="Calibri" w:eastAsia="Calibri" w:hAnsi="Calibri"/>
                <w:color w:val="1A1726"/>
                <w:sz w:val="19"/>
                <w:szCs w:val="19"/>
              </w:rPr>
              <w:t xml:space="preserve">Writes an attack: “Would this person want to help you after reading this?” — a strategy question, not a manners lecture.</w:t>
            </w:r>
          </w:p>
          <w:p>
            <w:pPr>
              <w:pStyle w:val="ListParagraph"/>
              <w:numPr>
                <w:ilvl w:val="0"/>
                <w:numId w:val="1"/>
              </w:numPr>
              <w:spacing w:after="30" w:before="0"/>
            </w:pPr>
            <w:r>
              <w:rPr>
                <w:rFonts w:ascii="Calibri" w:cs="Calibri" w:eastAsia="Calibri" w:hAnsi="Calibri"/>
                <w:color w:val="1A1726"/>
                <w:sz w:val="19"/>
                <w:szCs w:val="19"/>
              </w:rPr>
              <w:t xml:space="preserve">Terrified of speaking: scale the audience, not the task — one partner, then four, then the class from your seat, then the front. Every step counts as delivered.</w:t>
            </w:r>
          </w:p>
          <w:p>
            <w:pPr>
              <w:pStyle w:val="ListParagraph"/>
              <w:numPr>
                <w:ilvl w:val="0"/>
                <w:numId w:val="1"/>
              </w:numPr>
              <w:spacing w:after="30" w:before="0"/>
            </w:pPr>
            <w:r>
              <w:rPr>
                <w:rFonts w:ascii="Calibri" w:cs="Calibri" w:eastAsia="Calibri" w:hAnsi="Calibri"/>
                <w:color w:val="1A1726"/>
                <w:sz w:val="19"/>
                <w:szCs w:val="19"/>
              </w:rPr>
              <w:t xml:space="preserve">Finishes early: write the opposing speech, properly.</w:t>
            </w:r>
          </w:p>
        </w:tc>
      </w:tr>
    </w:tbl>
    <w:p>
      <w:pPr>
        <w:spacing w:after="120" w:before="200"/>
      </w:pPr>
      <w:r>
        <w:rPr>
          <w:rFonts w:ascii="Calibri" w:cs="Calibri" w:eastAsia="Calibri" w:hAnsi="Calibri"/>
          <w:b/>
          <w:bCs/>
          <w:color w:val="6B21A8"/>
          <w:sz w:val="34"/>
          <w:szCs w:val="34"/>
        </w:rPr>
        <w:t xml:space="preserve">TEACHING THE WRITING PROCESS: THE THIRD GENRE</w:t>
      </w:r>
    </w:p>
    <w:p>
      <w:pPr>
        <w:spacing w:after="80" w:before="0"/>
      </w:pPr>
      <w:r>
        <w:rPr>
          <w:rFonts w:ascii="Calibri" w:cs="Calibri" w:eastAsia="Calibri" w:hAnsi="Calibri"/>
          <w:i/>
          <w:iCs/>
          <w:color w:val="1A1726"/>
          <w:sz w:val="20"/>
          <w:szCs w:val="20"/>
        </w:rPr>
        <w:t xml:space="preserve">Same four stages, third term: FILL · FIND · SHAPE · SHARE. One genuinely new idea — the piece does not finish on the page. SHARE ends with a human being listening to you, which changes what SHAPE and SHARE have to check for.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900"/>
        <w:gridCol w:w="4200"/>
      </w:tblGrid>
      <w:tr>
        <w:trPr>
          <w:tblHeader/>
        </w:trPr>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3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1 — narrative</w:t>
            </w:r>
          </w:p>
        </w:tc>
        <w:tc>
          <w:tcPr>
            <w:tcW w:type="dxa" w:w="3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2 — explanation</w:t>
            </w:r>
          </w:p>
        </w:tc>
        <w:tc>
          <w:tcPr>
            <w:tcW w:type="dxa" w:w="4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3 — persuasive</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 — What do I want to say?</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Memories, senses, moments.</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Facts, found and checked.</w:t>
            </w:r>
          </w:p>
        </w:tc>
        <w:tc>
          <w:tcPr>
            <w:tcW w:type="dxa" w:w="4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Reasons and evidence — AND the other side’s evidence.</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 — Who do I want to say it to?</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school community; the story ARC.</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One eight-year-old; the SEQUENCE.</w:t>
            </w:r>
          </w:p>
        </w:tc>
        <w:tc>
          <w:tcPr>
            <w:tcW w:type="dxa" w:w="4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person who can SAY YES; the CASE — claim, reasons, objection, ask.</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SHAPE — How do I want to say it?</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“Is it vivid?”</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“Is it clear?”</w:t>
            </w:r>
          </w:p>
        </w:tc>
        <w:tc>
          <w:tcPr>
            <w:tcW w:type="dxa" w:w="4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“Would it convince someone who disagrees?” — and you can be right and still lose.</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 — Is it ready to give away?</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“Did you feel it?”</w:t>
            </w:r>
          </w:p>
        </w:tc>
        <w:tc>
          <w:tcPr>
            <w:tcW w:type="dxa" w:w="3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“Did you understand it?”</w:t>
            </w:r>
          </w:p>
        </w:tc>
        <w:tc>
          <w:tcPr>
            <w:tcW w:type="dxa" w:w="4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“Were you convinced?” — and it ends on a stage.</w:t>
            </w:r>
          </w:p>
        </w:tc>
      </w:tr>
    </w:tbl>
    <w:p>
      <w:pPr>
        <w:pBdr>
          <w:bottom w:val="single" w:color="CCCCCC" w:sz="6"/>
        </w:pBdr>
        <w:spacing w:after="90" w:before="180"/>
      </w:pPr>
      <w:r>
        <w:rPr>
          <w:rFonts w:ascii="Calibri" w:cs="Calibri" w:eastAsia="Calibri" w:hAnsi="Calibri"/>
          <w:b/>
          <w:bCs/>
          <w:color w:val="0F766E"/>
          <w:sz w:val="26"/>
          <w:szCs w:val="26"/>
        </w:rPr>
        <w:t xml:space="preserve">Teaching and recall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2400"/>
      </w:tblGrid>
      <w:tr>
        <w:trPr>
          <w:tblHeader/>
        </w:trPr>
        <w:tc>
          <w:tcPr>
            <w:tcW w:type="dxa" w:w="2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w:t>
            </w:r>
          </w:p>
        </w:tc>
        <w:tc>
          <w:tcPr>
            <w:tcW w:type="dxa" w:w="1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 happens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COLD RECALL (third time, no warning). Then announce the Week 10 speech, so ten weeks of standing practice has a purpose.</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2</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FILL. Two columns: my evidence / their evidence. Changing your mind is a success, not a failure.</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3</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FIND. “EVERYONE” written on the board and crossed out.</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4</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SPACED RECALL — quick-fire, no notes.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5</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THREE GENRES, ONE PROCESS — each stage explained three ways; the class generates the four constants.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6</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SPACED RECALL + move the peg; the three SHAPE questions go on the wall: vivid → clear → convincing.</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7</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SHAPE. “You can be right and still lose.”</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8</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SHARE, delivered from the speaking spot. The irony rule: you may not argue with feedback on your persuasive writing.</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9</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CYCLE + the rehearsal loop: every stumble out loud is an edit.</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10</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ASSESS — three genres, one process, and what never changed.</w:t>
            </w:r>
          </w:p>
        </w:tc>
      </w:tr>
    </w:tbl>
    <w:p>
      <w:pPr>
        <w:pBdr>
          <w:bottom w:val="single" w:color="CCCCCC" w:sz="6"/>
        </w:pBdr>
        <w:spacing w:after="90" w:before="180"/>
      </w:pPr>
      <w:r>
        <w:rPr>
          <w:rFonts w:ascii="Calibri" w:cs="Calibri" w:eastAsia="Calibri" w:hAnsi="Calibri"/>
          <w:b/>
          <w:bCs/>
          <w:color w:val="0F766E"/>
          <w:sz w:val="26"/>
          <w:szCs w:val="26"/>
        </w:rPr>
        <w:t xml:space="preserve">The four constants (generated by the class in Week 5, assessed in Week 10)</w:t>
      </w:r>
    </w:p>
    <w:p>
      <w:pPr>
        <w:pStyle w:val="ListParagraph"/>
        <w:numPr>
          <w:ilvl w:val="0"/>
          <w:numId w:val="1"/>
        </w:numPr>
        <w:spacing w:after="40" w:before="0"/>
      </w:pPr>
      <w:r>
        <w:rPr>
          <w:rFonts w:ascii="Calibri" w:cs="Calibri" w:eastAsia="Calibri" w:hAnsi="Calibri"/>
          <w:color w:val="1A1726"/>
          <w:sz w:val="19"/>
          <w:szCs w:val="19"/>
        </w:rPr>
        <w:t xml:space="preserve">You always FILL before you draft.</w:t>
      </w:r>
    </w:p>
    <w:p>
      <w:pPr>
        <w:pStyle w:val="ListParagraph"/>
        <w:numPr>
          <w:ilvl w:val="0"/>
          <w:numId w:val="1"/>
        </w:numPr>
        <w:spacing w:after="40" w:before="0"/>
      </w:pPr>
      <w:r>
        <w:rPr>
          <w:rFonts w:ascii="Calibri" w:cs="Calibri" w:eastAsia="Calibri" w:hAnsi="Calibri"/>
          <w:color w:val="1A1726"/>
          <w:sz w:val="19"/>
          <w:szCs w:val="19"/>
        </w:rPr>
        <w:t xml:space="preserve">You always write to a particular someone.</w:t>
      </w:r>
    </w:p>
    <w:p>
      <w:pPr>
        <w:pStyle w:val="ListParagraph"/>
        <w:numPr>
          <w:ilvl w:val="0"/>
          <w:numId w:val="1"/>
        </w:numPr>
        <w:spacing w:after="40" w:before="0"/>
      </w:pPr>
      <w:r>
        <w:rPr>
          <w:rFonts w:ascii="Calibri" w:cs="Calibri" w:eastAsia="Calibri" w:hAnsi="Calibri"/>
          <w:color w:val="1A1726"/>
          <w:sz w:val="19"/>
          <w:szCs w:val="19"/>
        </w:rPr>
        <w:t xml:space="preserve">You always read it as the person who does not already agree.</w:t>
      </w:r>
    </w:p>
    <w:p>
      <w:pPr>
        <w:pStyle w:val="ListParagraph"/>
        <w:numPr>
          <w:ilvl w:val="0"/>
          <w:numId w:val="1"/>
        </w:numPr>
        <w:spacing w:after="40" w:before="0"/>
      </w:pPr>
      <w:r>
        <w:rPr>
          <w:rFonts w:ascii="Calibri" w:cs="Calibri" w:eastAsia="Calibri" w:hAnsi="Calibri"/>
          <w:color w:val="1A1726"/>
          <w:sz w:val="19"/>
          <w:szCs w:val="19"/>
        </w:rPr>
        <w:t xml:space="preserve">You always test it on a real human being before you publish.</w:t>
      </w:r>
    </w:p>
    <w:p>
      <w:pPr>
        <w:pBdr>
          <w:bottom w:val="single" w:color="CCCCCC" w:sz="6"/>
        </w:pBdr>
        <w:spacing w:after="90" w:before="180"/>
      </w:pPr>
      <w:r>
        <w:rPr>
          <w:rFonts w:ascii="Calibri" w:cs="Calibri" w:eastAsia="Calibri" w:hAnsi="Calibri"/>
          <w:b/>
          <w:bCs/>
          <w:color w:val="0F766E"/>
          <w:sz w:val="26"/>
          <w:szCs w:val="26"/>
        </w:rPr>
        <w:t xml:space="preserve">The 60-second Process Check — unchanged, third term</w:t>
      </w:r>
    </w:p>
    <w:p>
      <w:pPr>
        <w:spacing w:after="80" w:before="0"/>
      </w:pPr>
      <w:r>
        <w:rPr>
          <w:rFonts w:ascii="Calibri" w:cs="Calibri" w:eastAsia="Calibri" w:hAnsi="Calibri"/>
          <w:b/>
          <w:bCs/>
          <w:color w:val="1A1726"/>
          <w:sz w:val="19"/>
          <w:szCs w:val="19"/>
        </w:rPr>
        <w:t xml:space="preserve">WEEK 1 — TEACH THE SPOTLIGHT FIRST. On the term's first spotlight day the cold recall has to happen before anything reminds the class of the answer, including the routine itself. That lesson's card in the app carries a “teach the spotlight first today” banner and places the spotlight above the routine. Normal order resumes the next day.</w:t>
      </w:r>
    </w:p>
    <w:p>
      <w:pPr>
        <w:pStyle w:val="ListParagraph"/>
        <w:numPr>
          <w:ilvl w:val="0"/>
          <w:numId w:val="1"/>
        </w:numPr>
        <w:spacing w:after="40" w:before="0"/>
      </w:pPr>
      <w:r>
        <w:rPr>
          <w:rFonts w:ascii="Calibri" w:cs="Calibri" w:eastAsia="Calibri" w:hAnsi="Calibri"/>
          <w:color w:val="1A1726"/>
          <w:sz w:val="19"/>
          <w:szCs w:val="19"/>
        </w:rPr>
        <w:t xml:space="preserve">“Hands — which stage are we in?” Silent hand action from the whole class.</w:t>
      </w:r>
    </w:p>
    <w:p>
      <w:pPr>
        <w:pStyle w:val="ListParagraph"/>
        <w:numPr>
          <w:ilvl w:val="0"/>
          <w:numId w:val="1"/>
        </w:numPr>
        <w:spacing w:after="40" w:before="0"/>
      </w:pPr>
      <w:r>
        <w:rPr>
          <w:rFonts w:ascii="Calibri" w:cs="Calibri" w:eastAsia="Calibri" w:hAnsi="Calibri"/>
          <w:color w:val="1A1726"/>
          <w:sz w:val="19"/>
          <w:szCs w:val="19"/>
        </w:rPr>
        <w:t xml:space="preserve">“Name it.” Whole class: stage number, word and question.</w:t>
      </w:r>
    </w:p>
    <w:p>
      <w:pPr>
        <w:pStyle w:val="ListParagraph"/>
        <w:numPr>
          <w:ilvl w:val="0"/>
          <w:numId w:val="1"/>
        </w:numPr>
        <w:spacing w:after="40" w:before="0"/>
      </w:pPr>
      <w:r>
        <w:rPr>
          <w:rFonts w:ascii="Calibri" w:cs="Calibri" w:eastAsia="Calibri" w:hAnsi="Calibri"/>
          <w:color w:val="1A1726"/>
          <w:sz w:val="19"/>
          <w:szCs w:val="19"/>
        </w:rPr>
        <w:t xml:space="preserve">One student: “How do you know we’re in that stage today?” — and this term, the follow-up for everyone: “how is that different from what this stage looked like last term?”</w:t>
      </w:r>
    </w:p>
    <w:p>
      <w:pPr>
        <w:pStyle w:val="ListParagraph"/>
        <w:numPr>
          <w:ilvl w:val="0"/>
          <w:numId w:val="1"/>
        </w:numPr>
        <w:spacing w:after="40" w:before="0"/>
      </w:pPr>
      <w:r>
        <w:rPr>
          <w:rFonts w:ascii="Calibri" w:cs="Calibri" w:eastAsia="Calibri" w:hAnsi="Calibri"/>
          <w:color w:val="1A1726"/>
          <w:sz w:val="19"/>
          <w:szCs w:val="19"/>
        </w:rPr>
        <w:t xml:space="preserve">Today’s extra question, written on each day’s lesson.</w:t>
      </w:r>
    </w:p>
    <w:p>
      <w:pPr>
        <w:spacing w:after="80" w:before="0"/>
      </w:pPr>
      <w:r>
        <w:rPr>
          <w:rFonts w:ascii="Calibri" w:cs="Calibri" w:eastAsia="Calibri" w:hAnsi="Calibri"/>
          <w:i/>
          <w:iCs/>
          <w:color w:val="1A1726"/>
          <w:sz w:val="19"/>
          <w:szCs w:val="19"/>
        </w:rPr>
        <w:t xml:space="preserve">Hand the routine to a rotating student “process leader” from Week 3. It costs you nothing and doubles the retrieval value for whoever is leading.</w:t>
      </w:r>
    </w:p>
    <w:p>
      <w:pPr>
        <w:spacing w:after="120" w:before="200"/>
      </w:pPr>
      <w:r>
        <w:rPr>
          <w:rFonts w:ascii="Calibri" w:cs="Calibri" w:eastAsia="Calibri" w:hAnsi="Calibri"/>
          <w:b/>
          <w:bCs/>
          <w:color w:val="6B21A8"/>
          <w:sz w:val="34"/>
          <w:szCs w:val="34"/>
        </w:rPr>
        <w:t xml:space="preserve">ASSESSMENT</w:t>
      </w:r>
    </w:p>
    <w:p>
      <w:pPr>
        <w:pBdr>
          <w:bottom w:val="single" w:color="CCCCCC" w:sz="6"/>
        </w:pBdr>
        <w:spacing w:after="90" w:before="180"/>
      </w:pPr>
      <w:r>
        <w:rPr>
          <w:rFonts w:ascii="Calibri" w:cs="Calibri" w:eastAsia="Calibri" w:hAnsi="Calibri"/>
          <w:b/>
          <w:bCs/>
          <w:color w:val="0F766E"/>
          <w:sz w:val="26"/>
          <w:szCs w:val="26"/>
        </w:rPr>
        <w:t xml:space="preserve">Marking load across the term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gridCol w:w="3600"/>
      </w:tblGrid>
      <w:tr>
        <w:trPr>
          <w:tblHeader/>
        </w:trPr>
        <w:tc>
          <w:tcPr>
            <w:tcW w:type="dxa" w:w="2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When</w:t>
            </w:r>
          </w:p>
        </w:tc>
        <w:tc>
          <w:tcPr>
            <w:tcW w:type="dxa" w:w="8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w:t>
            </w:r>
          </w:p>
        </w:tc>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Teacher time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2, Friday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Evidence check — a glance at the case file for “reason + evidence”, not opinions.</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min for the class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3, Friday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Plan gallery — a glance at four-box plans during the gallery walk.</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min for the class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6, Thursday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Draft check: On track / Needs a conference / Flying.</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~15 sec per student</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8</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Nothing — the Helping Circle and the “were you convinced?” test carry the feedback.</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0</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10</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Published piece against the rubric, PLUS the Delivery row scored live during the speeches.</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~3 min per student, most of it during speech day</w:t>
            </w:r>
          </w:p>
        </w:tc>
      </w:tr>
    </w:tbl>
    <w:p>
      <w:pPr>
        <w:pBdr>
          <w:bottom w:val="single" w:color="CCCCCC" w:sz="6"/>
        </w:pBdr>
        <w:spacing w:after="90" w:before="180"/>
      </w:pPr>
      <w:r>
        <w:rPr>
          <w:rFonts w:ascii="Calibri" w:cs="Calibri" w:eastAsia="Calibri" w:hAnsi="Calibri"/>
          <w:b/>
          <w:bCs/>
          <w:color w:val="0F766E"/>
          <w:sz w:val="26"/>
          <w:szCs w:val="26"/>
        </w:rPr>
        <w:t xml:space="preserve">Single-Point Rubric — Term 3 published argument and speech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gridCol w:w="2700"/>
        <w:gridCol w:w="2700"/>
      </w:tblGrid>
      <w:tr>
        <w:trPr>
          <w:tblHeader/>
        </w:trPr>
        <w:tc>
          <w:tcPr>
            <w:tcW w:type="dxa" w:w="3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Success criterion</w:t>
            </w:r>
          </w:p>
        </w:tc>
        <w:tc>
          <w:tcPr>
            <w:tcW w:type="dxa" w:w="6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 a strong piece does</w:t>
            </w:r>
          </w:p>
        </w:tc>
        <w:tc>
          <w:tcPr>
            <w:tcW w:type="dxa" w:w="2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Glow ✓</w:t>
            </w:r>
          </w:p>
        </w:tc>
        <w:tc>
          <w:tcPr>
            <w:tcW w:type="dxa" w:w="2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Grow →</w:t>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Position</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One clear claim, early — the audience knows what is being asked for</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Opening</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Hooks the audience and leads straight into the claim</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Reasons</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Three strong reasons, one per paragraph, strongest last</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Evidence</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Every reason backed with something real — not “everyone knows”</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PEEL paragraphs</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Point · Evidence · Explain · Link — all four jobs</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Counter-argument</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Names the strongest objection fairly, then answers it</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Persuasive language</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Modals, connotation, rule of three, rhetorical questions — used, not scattered</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Tone</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Firm but respectful; convinces rather than attacks</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Call to action</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Specific, small, and inside this audience’s power to grant</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Accuracy</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Facts correct and sourced; GPS checked; names spelled correctly</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DELIVERY (speech)</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Audible · paced with real pauses · eye contact · cue cards not a script · ends on the ask</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Process</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Names the four stages, explains which one and why, and how the process worked across three genres</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bl>
    <w:p>
      <w:pPr>
        <w:spacing w:after="80" w:before="120"/>
      </w:pPr>
      <w:r>
        <w:rPr>
          <w:rFonts w:ascii="Calibri" w:cs="Calibri" w:eastAsia="Calibri" w:hAnsi="Calibri"/>
          <w:b/>
          <w:bCs/>
          <w:color w:val="1A1726"/>
          <w:sz w:val="20"/>
          <w:szCs w:val="20"/>
        </w:rPr>
        <w:t xml:space="preserve">Overall:  ☐ Working towards   ☐ Meeting Phase 2 expectations   ☐ Exceeding</w:t>
      </w:r>
    </w:p>
    <w:p>
      <w:pPr>
        <w:spacing w:after="80" w:before="0"/>
      </w:pPr>
      <w:r>
        <w:rPr>
          <w:rFonts w:ascii="Calibri" w:cs="Calibri" w:eastAsia="Calibri" w:hAnsi="Calibri"/>
          <w:color w:val="1A1726"/>
          <w:sz w:val="20"/>
          <w:szCs w:val="20"/>
        </w:rPr>
        <w:t xml:space="preserve">Glow (one sentence): _______________________________________________________________________</w:t>
      </w:r>
    </w:p>
    <w:p>
      <w:pPr>
        <w:spacing w:after="80" w:before="0"/>
      </w:pPr>
      <w:r>
        <w:rPr>
          <w:rFonts w:ascii="Calibri" w:cs="Calibri" w:eastAsia="Calibri" w:hAnsi="Calibri"/>
          <w:color w:val="1A1726"/>
          <w:sz w:val="20"/>
          <w:szCs w:val="20"/>
        </w:rPr>
        <w:t xml:space="preserve">Grow (one next step — “Next time, try…”): __________________________________________________</w:t>
      </w:r>
    </w:p>
    <w:p>
      <w:pPr>
        <w:spacing w:after="120" w:before="200"/>
      </w:pPr>
      <w:r>
        <w:rPr>
          <w:rFonts w:ascii="Calibri" w:cs="Calibri" w:eastAsia="Calibri" w:hAnsi="Calibri"/>
          <w:b/>
          <w:bCs/>
          <w:color w:val="6B21A8"/>
          <w:sz w:val="34"/>
          <w:szCs w:val="34"/>
        </w:rPr>
        <w:t xml:space="preserve">WRITING PROCESS PLANNING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0800"/>
      </w:tblGrid>
      <w:tr>
        <w:trPr>
          <w:tblHeader/>
        </w:trPr>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10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Planning — lessons and experiences for this stage, in this unit</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One — What do I want to say? Has something to say · explore &amp; develop vocabulary and ideas · uses prompts · makes thinking visible · plan · jotter notebooks</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1–3. FILL — and this term the well fills with reasons, evidence, and the other side’s case.</w:t>
            </w:r>
          </w:p>
          <w:p>
            <w:pPr>
              <w:pStyle w:val="ListParagraph"/>
              <w:numPr>
                <w:ilvl w:val="0"/>
                <w:numId w:val="1"/>
              </w:numPr>
              <w:spacing w:after="30" w:before="0"/>
            </w:pPr>
            <w:r>
              <w:rPr>
                <w:rFonts w:ascii="Calibri" w:cs="Calibri" w:eastAsia="Calibri" w:hAnsi="Calibri"/>
                <w:color w:val="1A1726"/>
                <w:sz w:val="19"/>
                <w:szCs w:val="19"/>
              </w:rPr>
              <w:t xml:space="preserve">Wk 1: what persuasion is and what it wants from us; how a speech is built (watched twice); complaint versus argument; the issue bank; the first 30-second stand; “who does this serve?” (Proverbs 31:8–9).</w:t>
            </w:r>
          </w:p>
          <w:p>
            <w:pPr>
              <w:pStyle w:val="ListParagraph"/>
              <w:numPr>
                <w:ilvl w:val="0"/>
                <w:numId w:val="1"/>
              </w:numPr>
              <w:spacing w:after="30" w:before="0"/>
            </w:pPr>
            <w:r>
              <w:rPr>
                <w:rFonts w:ascii="Calibri" w:cs="Calibri" w:eastAsia="Calibri" w:hAnsi="Calibri"/>
                <w:color w:val="1A1726"/>
                <w:sz w:val="19"/>
                <w:szCs w:val="19"/>
              </w:rPr>
              <w:t xml:space="preserve">Wk 2: opinion / reason / evidence; the four kinds of evidence (number, example, expert, story); steelmanning the opposition; the evidence hunt, including data students collect themselves; the case test in trios.</w:t>
            </w:r>
          </w:p>
          <w:p>
            <w:pPr>
              <w:pStyle w:val="ListParagraph"/>
              <w:numPr>
                <w:ilvl w:val="0"/>
                <w:numId w:val="1"/>
              </w:numPr>
              <w:spacing w:after="30" w:before="0"/>
            </w:pPr>
            <w:r>
              <w:rPr>
                <w:rFonts w:ascii="Calibri" w:cs="Calibri" w:eastAsia="Calibri" w:hAnsi="Calibri"/>
                <w:color w:val="1A1726"/>
                <w:sz w:val="19"/>
                <w:szCs w:val="19"/>
              </w:rPr>
              <w:t xml:space="preserve">Wk 3: choosing the issue for the term against the yes-test.</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Two — Who do I want to say it to? Impact · voice · first ideas · feedback · sharing · reading–writing links and close reading of models · audience awareness</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3–6. First draft — aimed at one named decision-maker.</w:t>
            </w:r>
          </w:p>
          <w:p>
            <w:pPr>
              <w:pStyle w:val="ListParagraph"/>
              <w:numPr>
                <w:ilvl w:val="0"/>
                <w:numId w:val="1"/>
              </w:numPr>
              <w:spacing w:after="30" w:before="0"/>
            </w:pPr>
            <w:r>
              <w:rPr>
                <w:rFonts w:ascii="Calibri" w:cs="Calibri" w:eastAsia="Calibri" w:hAnsi="Calibri"/>
                <w:color w:val="1A1726"/>
                <w:sz w:val="19"/>
                <w:szCs w:val="19"/>
              </w:rPr>
              <w:t xml:space="preserve">Wk 3: three audiences, three registers; the claim sentence and modal verbs; the four-box plan with reasons ordered strongest-last; rehearsal on a partner playing the person who says no.</w:t>
            </w:r>
          </w:p>
          <w:p>
            <w:pPr>
              <w:pStyle w:val="ListParagraph"/>
              <w:numPr>
                <w:ilvl w:val="0"/>
                <w:numId w:val="1"/>
              </w:numPr>
              <w:spacing w:after="30" w:before="0"/>
            </w:pPr>
            <w:r>
              <w:rPr>
                <w:rFonts w:ascii="Calibri" w:cs="Calibri" w:eastAsia="Calibri" w:hAnsi="Calibri"/>
                <w:color w:val="1A1726"/>
                <w:sz w:val="19"/>
                <w:szCs w:val="19"/>
              </w:rPr>
              <w:t xml:space="preserve">Wk 4: four ways to open; signposting (“there are three reasons…”); PEEL paragraphs, with the EXPLAIN taught as the place persuasion happens.</w:t>
            </w:r>
          </w:p>
          <w:p>
            <w:pPr>
              <w:pStyle w:val="ListParagraph"/>
              <w:numPr>
                <w:ilvl w:val="0"/>
                <w:numId w:val="1"/>
              </w:numPr>
              <w:spacing w:after="30" w:before="0"/>
            </w:pPr>
            <w:r>
              <w:rPr>
                <w:rFonts w:ascii="Calibri" w:cs="Calibri" w:eastAsia="Calibri" w:hAnsi="Calibri"/>
                <w:color w:val="1A1726"/>
                <w:sz w:val="19"/>
                <w:szCs w:val="19"/>
              </w:rPr>
              <w:t xml:space="preserve">Wk 5: connotation — one notch, not three; weaving evidence with attribution; the “so what” ladder from fact to consequence.</w:t>
            </w:r>
          </w:p>
          <w:p>
            <w:pPr>
              <w:pStyle w:val="ListParagraph"/>
              <w:numPr>
                <w:ilvl w:val="0"/>
                <w:numId w:val="1"/>
              </w:numPr>
              <w:spacing w:after="30" w:before="0"/>
            </w:pPr>
            <w:r>
              <w:rPr>
                <w:rFonts w:ascii="Calibri" w:cs="Calibri" w:eastAsia="Calibri" w:hAnsi="Calibri"/>
                <w:color w:val="1A1726"/>
                <w:sz w:val="19"/>
                <w:szCs w:val="19"/>
              </w:rPr>
              <w:t xml:space="preserve">Wk 6: concede-and-turn counter-argument; the call to action, shrunk until it can be granted; rhythm and the rule of three; the long write that completes the argument.</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Three — Analyse strengths &amp; weaknesses in relation to purpose and audience · impact &amp; voice · content &amp; ideas · structure · vocabulary &amp; language features · GPS · deconstruction of models · guided revision</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7–8. SHAPE — read as the person who does not already agree.</w:t>
            </w:r>
          </w:p>
          <w:p>
            <w:pPr>
              <w:pStyle w:val="ListParagraph"/>
              <w:numPr>
                <w:ilvl w:val="0"/>
                <w:numId w:val="1"/>
              </w:numPr>
              <w:spacing w:after="30" w:before="0"/>
            </w:pPr>
            <w:r>
              <w:rPr>
                <w:rFonts w:ascii="Calibri" w:cs="Calibri" w:eastAsia="Calibri" w:hAnsi="Calibri"/>
                <w:color w:val="1A1726"/>
                <w:sz w:val="19"/>
                <w:szCs w:val="19"/>
              </w:rPr>
              <w:t xml:space="preserve">Wk 7: annotating the WAGOLL against the class-built criteria; diagnosing the weak exemplar; the teacher finding the hole in their own case out loud; the credibility audit in three colours — unproved claims (blue), exaggeration (red), attacks on the audience (green); two written “I will…” goals, including permission to cut a weak reason.</w:t>
            </w:r>
          </w:p>
          <w:p>
            <w:pPr>
              <w:pStyle w:val="ListParagraph"/>
              <w:numPr>
                <w:ilvl w:val="0"/>
                <w:numId w:val="1"/>
              </w:numPr>
              <w:spacing w:after="30" w:before="0"/>
            </w:pPr>
            <w:r>
              <w:rPr>
                <w:rFonts w:ascii="Calibri" w:cs="Calibri" w:eastAsia="Calibri" w:hAnsi="Calibri"/>
                <w:color w:val="1A1726"/>
                <w:sz w:val="19"/>
                <w:szCs w:val="19"/>
              </w:rPr>
              <w:t xml:space="preserve">Wk 8 (Tue): triage — and any “I started doubting you” goes straight into the DO pile.</w:t>
            </w:r>
          </w:p>
          <w:p>
            <w:pPr>
              <w:pStyle w:val="ListParagraph"/>
              <w:numPr>
                <w:ilvl w:val="0"/>
                <w:numId w:val="1"/>
              </w:numPr>
              <w:spacing w:after="30" w:before="0"/>
            </w:pPr>
            <w:r>
              <w:rPr>
                <w:rFonts w:ascii="Calibri" w:cs="Calibri" w:eastAsia="Calibri" w:hAnsi="Calibri"/>
                <w:color w:val="1A1726"/>
                <w:sz w:val="19"/>
                <w:szCs w:val="19"/>
              </w:rPr>
              <w:t xml:space="preserve">Language-feature focus: modal verbs, connotation, rhetorical questions, rule of three, formal register.</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Four — Seek feedback; revise and recraft in cycles until ready to publish. Clearly conveys the message · suited to purpose · reads fluently · carefully chosen vocabulary · more sophisticated language features with the audience in mind</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8–10. SHARE — and this term it ends on a stage.</w:t>
            </w:r>
          </w:p>
          <w:p>
            <w:pPr>
              <w:pStyle w:val="ListParagraph"/>
              <w:numPr>
                <w:ilvl w:val="0"/>
                <w:numId w:val="1"/>
              </w:numPr>
              <w:spacing w:after="30" w:before="0"/>
            </w:pPr>
            <w:r>
              <w:rPr>
                <w:rFonts w:ascii="Calibri" w:cs="Calibri" w:eastAsia="Calibri" w:hAnsi="Calibri"/>
                <w:color w:val="1A1726"/>
                <w:sz w:val="19"/>
                <w:szCs w:val="19"/>
              </w:rPr>
              <w:t xml:space="preserve">Wk 7 Fri: the Helping Circle taught with a fishbowl on the teacher’s own argument, plus the irony rule.</w:t>
            </w:r>
          </w:p>
          <w:p>
            <w:pPr>
              <w:pStyle w:val="ListParagraph"/>
              <w:numPr>
                <w:ilvl w:val="0"/>
                <w:numId w:val="1"/>
              </w:numPr>
              <w:spacing w:after="30" w:before="0"/>
            </w:pPr>
            <w:r>
              <w:rPr>
                <w:rFonts w:ascii="Calibri" w:cs="Calibri" w:eastAsia="Calibri" w:hAnsi="Calibri"/>
                <w:color w:val="1A1726"/>
                <w:sz w:val="19"/>
                <w:szCs w:val="19"/>
              </w:rPr>
              <w:t xml:space="preserve">Wk 8: the Helping Circle across two days, standing to read, with persuasion-lens stars and wishes; ADD / CUT / REORDER / REPLACE workshops with CUT emphasised; PAGE TO STAGE — cutting a third, signposting aloud, marking pauses, timing to two minutes.</w:t>
            </w:r>
          </w:p>
          <w:p>
            <w:pPr>
              <w:pStyle w:val="ListParagraph"/>
              <w:numPr>
                <w:ilvl w:val="0"/>
                <w:numId w:val="1"/>
              </w:numPr>
              <w:spacing w:after="30" w:before="0"/>
            </w:pPr>
            <w:r>
              <w:rPr>
                <w:rFonts w:ascii="Calibri" w:cs="Calibri" w:eastAsia="Calibri" w:hAnsi="Calibri"/>
                <w:color w:val="1A1726"/>
                <w:sz w:val="19"/>
                <w:szCs w:val="19"/>
              </w:rPr>
              <w:t xml:space="preserve">Wk 9: the real second draft; the four-pass edit (capitals → commas after connectives → apostrophes → names); best copy addressed, dated and signed; cue cards (four cards, five words each); voice, pace, pause and eye contact; rehearsal with delivery feedback.</w:t>
            </w:r>
          </w:p>
          <w:p>
            <w:pPr>
              <w:pStyle w:val="ListParagraph"/>
              <w:numPr>
                <w:ilvl w:val="0"/>
                <w:numId w:val="1"/>
              </w:numPr>
              <w:spacing w:after="30" w:before="0"/>
            </w:pPr>
            <w:r>
              <w:rPr>
                <w:rFonts w:ascii="Calibri" w:cs="Calibri" w:eastAsia="Calibri" w:hAnsi="Calibri"/>
                <w:color w:val="1A1726"/>
                <w:sz w:val="19"/>
                <w:szCs w:val="19"/>
              </w:rPr>
              <w:t xml:space="preserve">Wk 10: typed and formatted (Surname_Firstname_Persuasive_T3); final proof read backwards; dress rehearsal; SPEECH DAY with a live audience; written reflection across three genres.</w:t>
            </w:r>
          </w:p>
        </w:tc>
      </w:tr>
    </w:tbl>
    <w:p>
      <w:pPr>
        <w:pBdr>
          <w:bottom w:val="single" w:color="CCCCCC" w:sz="6"/>
        </w:pBdr>
        <w:spacing w:after="90" w:before="180"/>
      </w:pPr>
      <w:r>
        <w:rPr>
          <w:rFonts w:ascii="Calibri" w:cs="Calibri" w:eastAsia="Calibri" w:hAnsi="Calibri"/>
          <w:b/>
          <w:bCs/>
          <w:color w:val="0F766E"/>
          <w:sz w:val="26"/>
          <w:szCs w:val="26"/>
        </w:rPr>
        <w:t xml:space="preserve">The Helping Circle — Term 3 (persuasion) version</w:t>
      </w:r>
    </w:p>
    <w:p>
      <w:pPr>
        <w:spacing w:after="80" w:before="0"/>
      </w:pPr>
      <w:r>
        <w:rPr>
          <w:rFonts w:ascii="Calibri" w:cs="Calibri" w:eastAsia="Calibri" w:hAnsi="Calibri"/>
          <w:i/>
          <w:iCs/>
          <w:color w:val="1A1726"/>
          <w:sz w:val="20"/>
          <w:szCs w:val="20"/>
        </w:rPr>
        <w:t xml:space="preserve">Groups of four · five minutes per writer · the writer STANDS to read, because this is heading for a stage.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Stars — listener prompts</w:t>
            </w:r>
          </w:p>
        </w:tc>
        <w:tc>
          <w:tcPr>
            <w:tcW w:type="dxa" w:w="7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Wishes — listener prompts</w:t>
            </w:r>
          </w:p>
        </w:tc>
      </w:tr>
      <w:tr>
        <w:trPr>
          <w:tblHeader w:val="false"/>
        </w:trPr>
        <w:tc>
          <w:tcPr>
            <w:tcW w:type="dxa" w:w="72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The reason that convinced me most was…</w:t>
            </w:r>
          </w:p>
          <w:p>
            <w:pPr>
              <w:pStyle w:val="ListParagraph"/>
              <w:numPr>
                <w:ilvl w:val="0"/>
                <w:numId w:val="1"/>
              </w:numPr>
              <w:spacing w:after="30" w:before="0"/>
            </w:pPr>
            <w:r>
              <w:rPr>
                <w:rFonts w:ascii="Calibri" w:cs="Calibri" w:eastAsia="Calibri" w:hAnsi="Calibri"/>
                <w:color w:val="1A1726"/>
                <w:sz w:val="19"/>
                <w:szCs w:val="19"/>
              </w:rPr>
              <w:t xml:space="preserve">Your evidence for ____ was really strong because…</w:t>
            </w:r>
          </w:p>
          <w:p>
            <w:pPr>
              <w:pStyle w:val="ListParagraph"/>
              <w:numPr>
                <w:ilvl w:val="0"/>
                <w:numId w:val="1"/>
              </w:numPr>
              <w:spacing w:after="30" w:before="0"/>
            </w:pPr>
            <w:r>
              <w:rPr>
                <w:rFonts w:ascii="Calibri" w:cs="Calibri" w:eastAsia="Calibri" w:hAnsi="Calibri"/>
                <w:color w:val="1A1726"/>
                <w:sz w:val="19"/>
                <w:szCs w:val="19"/>
              </w:rPr>
              <w:t xml:space="preserve">The line I’d remember afterwards is…</w:t>
            </w:r>
          </w:p>
          <w:p>
            <w:pPr>
              <w:pStyle w:val="ListParagraph"/>
              <w:numPr>
                <w:ilvl w:val="0"/>
                <w:numId w:val="1"/>
              </w:numPr>
              <w:spacing w:after="30" w:before="0"/>
            </w:pPr>
            <w:r>
              <w:rPr>
                <w:rFonts w:ascii="Calibri" w:cs="Calibri" w:eastAsia="Calibri" w:hAnsi="Calibri"/>
                <w:color w:val="1A1726"/>
                <w:sz w:val="19"/>
                <w:szCs w:val="19"/>
              </w:rPr>
              <w:t xml:space="preserve">You changed my mind about…</w:t>
            </w:r>
          </w:p>
        </w:tc>
        <w:tc>
          <w:tcPr>
            <w:tcW w:type="dxa" w:w="72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 started doubting you when…</w:t>
            </w:r>
          </w:p>
          <w:p>
            <w:pPr>
              <w:pStyle w:val="ListParagraph"/>
              <w:numPr>
                <w:ilvl w:val="0"/>
                <w:numId w:val="1"/>
              </w:numPr>
              <w:spacing w:after="30" w:before="0"/>
            </w:pPr>
            <w:r>
              <w:rPr>
                <w:rFonts w:ascii="Calibri" w:cs="Calibri" w:eastAsia="Calibri" w:hAnsi="Calibri"/>
                <w:color w:val="1A1726"/>
                <w:sz w:val="19"/>
                <w:szCs w:val="19"/>
              </w:rPr>
              <w:t xml:space="preserve">You said ____ but you didn’t prove it.</w:t>
            </w:r>
          </w:p>
          <w:p>
            <w:pPr>
              <w:pStyle w:val="ListParagraph"/>
              <w:numPr>
                <w:ilvl w:val="0"/>
                <w:numId w:val="1"/>
              </w:numPr>
              <w:spacing w:after="30" w:before="0"/>
            </w:pPr>
            <w:r>
              <w:rPr>
                <w:rFonts w:ascii="Calibri" w:cs="Calibri" w:eastAsia="Calibri" w:hAnsi="Calibri"/>
                <w:color w:val="1A1726"/>
                <w:sz w:val="19"/>
                <w:szCs w:val="19"/>
              </w:rPr>
              <w:t xml:space="preserve">Someone who disagrees would say ____ — you haven’t answered that yet.</w:t>
            </w:r>
          </w:p>
          <w:p>
            <w:pPr>
              <w:pStyle w:val="ListParagraph"/>
              <w:numPr>
                <w:ilvl w:val="0"/>
                <w:numId w:val="1"/>
              </w:numPr>
              <w:spacing w:after="30" w:before="0"/>
            </w:pPr>
            <w:r>
              <w:rPr>
                <w:rFonts w:ascii="Calibri" w:cs="Calibri" w:eastAsia="Calibri" w:hAnsi="Calibri"/>
                <w:color w:val="1A1726"/>
                <w:sz w:val="19"/>
                <w:szCs w:val="19"/>
              </w:rPr>
              <w:t xml:space="preserve">Your call to action isn’t something I could actually do.</w:t>
            </w:r>
          </w:p>
          <w:p>
            <w:pPr>
              <w:pStyle w:val="ListParagraph"/>
              <w:numPr>
                <w:ilvl w:val="0"/>
                <w:numId w:val="1"/>
              </w:numPr>
              <w:spacing w:after="30" w:before="0"/>
            </w:pPr>
            <w:r>
              <w:rPr>
                <w:rFonts w:ascii="Calibri" w:cs="Calibri" w:eastAsia="Calibri" w:hAnsi="Calibri"/>
                <w:color w:val="1A1726"/>
                <w:sz w:val="19"/>
                <w:szCs w:val="19"/>
              </w:rPr>
              <w:t xml:space="preserve">That bit sounded like you were telling me off rather than convincing me.</w:t>
            </w:r>
          </w:p>
        </w:tc>
      </w:tr>
    </w:tbl>
    <w:p>
      <w:pPr>
        <w:spacing w:after="80" w:before="0"/>
      </w:pPr>
      <w:r>
        <w:rPr>
          <w:rFonts w:ascii="Calibri" w:cs="Calibri" w:eastAsia="Calibri" w:hAnsi="Calibri"/>
          <w:i/>
          <w:iCs/>
          <w:color w:val="1A1726"/>
          <w:sz w:val="19"/>
          <w:szCs w:val="19"/>
        </w:rPr>
        <w:t xml:space="preserve">Ground rules: We talk about the argument, never the person. Disagreeing with a position is allowed and is not unkind; attacking the person holding it is. THE IRONY RULE: you may not argue with feedback on your persuasive writing — if you have to convince someone out loud that your argument was convincing, the writing did not do it.</w:t>
      </w:r>
    </w:p>
    <w:p>
      <w:pPr>
        <w:pBdr>
          <w:bottom w:val="single" w:color="CCCCCC" w:sz="6"/>
        </w:pBdr>
        <w:spacing w:after="90" w:before="180"/>
      </w:pPr>
      <w:r>
        <w:rPr>
          <w:rFonts w:ascii="Calibri" w:cs="Calibri" w:eastAsia="Calibri" w:hAnsi="Calibri"/>
          <w:b/>
          <w:bCs/>
          <w:color w:val="0F766E"/>
          <w:sz w:val="26"/>
          <w:szCs w:val="26"/>
        </w:rPr>
        <w:t xml:space="preserve">Publication, Delivery and Celebration</w:t>
      </w:r>
    </w:p>
    <w:p>
      <w:pPr>
        <w:pStyle w:val="ListParagraph"/>
        <w:numPr>
          <w:ilvl w:val="0"/>
          <w:numId w:val="1"/>
        </w:numPr>
        <w:spacing w:after="40" w:before="0"/>
      </w:pPr>
      <w:r>
        <w:rPr>
          <w:rFonts w:ascii="Calibri" w:cs="Calibri" w:eastAsia="Calibri" w:hAnsi="Calibri"/>
          <w:color w:val="1A1726"/>
          <w:sz w:val="19"/>
          <w:szCs w:val="19"/>
        </w:rPr>
        <w:t xml:space="preserve">Best copy handwritten in writing books (Week 9) — addressed to a named person, dated and signed, so it could actually be delivered.</w:t>
      </w:r>
    </w:p>
    <w:p>
      <w:pPr>
        <w:pStyle w:val="ListParagraph"/>
        <w:numPr>
          <w:ilvl w:val="0"/>
          <w:numId w:val="1"/>
        </w:numPr>
        <w:spacing w:after="40" w:before="0"/>
      </w:pPr>
      <w:r>
        <w:rPr>
          <w:rFonts w:ascii="Calibri" w:cs="Calibri" w:eastAsia="Calibri" w:hAnsi="Calibri"/>
          <w:color w:val="1A1726"/>
          <w:sz w:val="19"/>
          <w:szCs w:val="19"/>
        </w:rPr>
        <w:t xml:space="preserve">Final publication typed in Microsoft Word (Week 10), saved as Surname_Firstname_Persuasive_T3.</w:t>
      </w:r>
    </w:p>
    <w:p>
      <w:pPr>
        <w:pStyle w:val="ListParagraph"/>
        <w:numPr>
          <w:ilvl w:val="0"/>
          <w:numId w:val="1"/>
        </w:numPr>
        <w:spacing w:after="40" w:before="0"/>
      </w:pPr>
      <w:r>
        <w:rPr>
          <w:rFonts w:ascii="Calibri" w:cs="Calibri" w:eastAsia="Calibri" w:hAnsi="Calibri"/>
          <w:color w:val="1A1726"/>
          <w:sz w:val="19"/>
          <w:szCs w:val="19"/>
        </w:rPr>
        <w:t xml:space="preserve">SPEECH DAY (Week 10 Thursday): every student delivers a two-minute speech from cue cards. Teacher speaks first. Consider inviting the audience the speeches are addressed to — a principal in the room changes the event entirely.</w:t>
      </w:r>
    </w:p>
    <w:p>
      <w:pPr>
        <w:pStyle w:val="ListParagraph"/>
        <w:numPr>
          <w:ilvl w:val="0"/>
          <w:numId w:val="1"/>
        </w:numPr>
        <w:spacing w:after="40" w:before="0"/>
      </w:pPr>
      <w:r>
        <w:rPr>
          <w:rFonts w:ascii="Calibri" w:cs="Calibri" w:eastAsia="Calibri" w:hAnsi="Calibri"/>
          <w:color w:val="1A1726"/>
          <w:sz w:val="19"/>
          <w:szCs w:val="19"/>
        </w:rPr>
        <w:t xml:space="preserve">Where an argument deserves it, actually send or deliver the letter. This is not a pretend exercise, and students know the difference.</w:t>
      </w:r>
    </w:p>
    <w:p>
      <w:pPr>
        <w:pStyle w:val="ListParagraph"/>
        <w:numPr>
          <w:ilvl w:val="0"/>
          <w:numId w:val="1"/>
        </w:numPr>
        <w:spacing w:after="40" w:before="0"/>
      </w:pPr>
      <w:r>
        <w:rPr>
          <w:rFonts w:ascii="Calibri" w:cs="Calibri" w:eastAsia="Calibri" w:hAnsi="Calibri"/>
          <w:color w:val="1A1726"/>
          <w:sz w:val="19"/>
          <w:szCs w:val="19"/>
        </w:rPr>
        <w:t xml:space="preserve">The celebration is named as Manaaki: serving with the gift you have. Closing: Soli Deo Gloria.</w:t>
      </w:r>
    </w:p>
    <w:p>
      <w:pPr>
        <w:pBdr>
          <w:bottom w:val="single" w:color="CCCCCC" w:sz="6"/>
        </w:pBdr>
        <w:spacing w:after="90" w:before="180"/>
      </w:pPr>
      <w:r>
        <w:rPr>
          <w:rFonts w:ascii="Calibri" w:cs="Calibri" w:eastAsia="Calibri" w:hAnsi="Calibri"/>
          <w:b/>
          <w:bCs/>
          <w:color w:val="0F766E"/>
          <w:sz w:val="26"/>
          <w:szCs w:val="26"/>
        </w:rPr>
        <w:t xml:space="preserve">Resources</w:t>
      </w:r>
    </w:p>
    <w:p>
      <w:pPr>
        <w:pStyle w:val="ListParagraph"/>
        <w:numPr>
          <w:ilvl w:val="0"/>
          <w:numId w:val="1"/>
        </w:numPr>
        <w:spacing w:after="40" w:before="0"/>
      </w:pPr>
      <w:r>
        <w:rPr>
          <w:rFonts w:ascii="Calibri" w:cs="Calibri" w:eastAsia="Calibri" w:hAnsi="Calibri"/>
          <w:color w:val="1A1726"/>
          <w:sz w:val="19"/>
          <w:szCs w:val="19"/>
        </w:rPr>
        <w:t xml:space="preserve">Writing Hub app — Writing Focus (Term 3) module: 50 day-by-day lesson plans, weekly prompts with four-layer support, the writing-process module, rubric, Helping Circle cards and exemplar bank.</w:t>
      </w:r>
    </w:p>
    <w:p>
      <w:pPr>
        <w:pStyle w:val="ListParagraph"/>
        <w:numPr>
          <w:ilvl w:val="0"/>
          <w:numId w:val="1"/>
        </w:numPr>
        <w:spacing w:after="40" w:before="0"/>
      </w:pPr>
      <w:r>
        <w:rPr>
          <w:rFonts w:ascii="Calibri" w:cs="Calibri" w:eastAsia="Calibri" w:hAnsi="Calibri"/>
          <w:color w:val="1A1726"/>
          <w:sz w:val="19"/>
          <w:szCs w:val="19"/>
        </w:rPr>
        <w:t xml:space="preserve">Daily Warm-Up app — Term 3, Weeks 1–10 (Monday–Thursday skills that each lesson bridges from).</w:t>
      </w:r>
    </w:p>
    <w:p>
      <w:pPr>
        <w:pStyle w:val="ListParagraph"/>
        <w:numPr>
          <w:ilvl w:val="0"/>
          <w:numId w:val="1"/>
        </w:numPr>
        <w:spacing w:after="40" w:before="0"/>
      </w:pPr>
      <w:r>
        <w:rPr>
          <w:rFonts w:ascii="Calibri" w:cs="Calibri" w:eastAsia="Calibri" w:hAnsi="Calibri"/>
          <w:color w:val="1A1726"/>
          <w:sz w:val="19"/>
          <w:szCs w:val="19"/>
        </w:rPr>
        <w:t xml:space="preserve">One strong written persuasive mentor text (a letter to a newspaper, a newsletter opinion piece, a campaign page) AND one short speech excerpt of 60–90 seconds, watched twice in Week 1.</w:t>
      </w:r>
    </w:p>
    <w:p>
      <w:pPr>
        <w:pStyle w:val="ListParagraph"/>
        <w:numPr>
          <w:ilvl w:val="0"/>
          <w:numId w:val="1"/>
        </w:numPr>
        <w:spacing w:after="40" w:before="0"/>
      </w:pPr>
      <w:r>
        <w:rPr>
          <w:rFonts w:ascii="Calibri" w:cs="Calibri" w:eastAsia="Calibri" w:hAnsi="Calibri"/>
          <w:color w:val="1A1726"/>
          <w:sz w:val="19"/>
          <w:szCs w:val="19"/>
        </w:rPr>
        <w:t xml:space="preserve">A marked speaking spot in the classroom, used every Friday from Week 4. Cue cards. A visible timer.</w:t>
      </w:r>
    </w:p>
    <w:p>
      <w:pPr>
        <w:pStyle w:val="ListParagraph"/>
        <w:numPr>
          <w:ilvl w:val="0"/>
          <w:numId w:val="1"/>
        </w:numPr>
        <w:spacing w:after="40" w:before="0"/>
      </w:pPr>
      <w:r>
        <w:rPr>
          <w:rFonts w:ascii="Calibri" w:cs="Calibri" w:eastAsia="Calibri" w:hAnsi="Calibri"/>
          <w:color w:val="1A1726"/>
          <w:sz w:val="19"/>
          <w:szCs w:val="19"/>
        </w:rPr>
        <w:t xml:space="preserve">A Week 10 audience booked in Week 1: another class, the principal, whānau, or the decision-makers named in the speeches.</w:t>
      </w:r>
    </w:p>
    <w:p>
      <w:pPr>
        <w:pStyle w:val="ListParagraph"/>
        <w:numPr>
          <w:ilvl w:val="0"/>
          <w:numId w:val="1"/>
        </w:numPr>
        <w:spacing w:after="40" w:before="0"/>
      </w:pPr>
      <w:r>
        <w:rPr>
          <w:rFonts w:ascii="Calibri" w:cs="Calibri" w:eastAsia="Calibri" w:hAnsi="Calibri"/>
          <w:color w:val="1A1726"/>
          <w:sz w:val="19"/>
          <w:szCs w:val="19"/>
        </w:rPr>
        <w:t xml:space="preserve">Gail Loane, I’ve Got Something to Say (2017) — Ch 3 jotters, Ch 5 models and audience, Ch 9 guided revision, Ch 10 frameworks and language features, Ch 11 deconstruction. The Helping Circle (Gail Loane).</w:t>
      </w:r>
    </w:p>
    <w:p>
      <w:pPr>
        <w:spacing w:before="300"/>
      </w:pPr>
      <w:r>
        <w:rPr>
          <w:rFonts w:ascii="Calibri" w:cs="Calibri" w:eastAsia="Calibri" w:hAnsi="Calibri"/>
          <w:b/>
          <w:bCs/>
          <w:color w:val="6B21A8"/>
          <w:sz w:val="22"/>
          <w:szCs w:val="22"/>
        </w:rPr>
        <w:t xml:space="preserve">Soli Deo Gloria — To God Alone the Glory</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2026-08-30T19:48:47.490Z</dcterms:created>
  <dcterms:modified xsi:type="dcterms:W3CDTF">2026-08-30T19:48:47.490Z</dcterms:modified>
</cp:coreProperties>
</file>

<file path=docProps/custom.xml><?xml version="1.0" encoding="utf-8"?>
<Properties xmlns="http://schemas.openxmlformats.org/officeDocument/2006/custom-properties" xmlns:vt="http://schemas.openxmlformats.org/officeDocument/2006/docPropsVTypes"/>
</file>