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Informe de avance y contrato de API v0 (motor de simulación)</w:t>
      </w:r>
    </w:p>
    <w:p>
      <w:pPr/>
      <w:r>
        <w:t xml:space="preserve">Preparado por Franco López para revisión de Carlos Lavado · </w:t>
      </w:r>
      <w:r>
        <w:t xml:space="preserve">Oct 3, 2026</w:t>
      </w:r>
      <w:r>
        <w:t xml:space="preserve"> · </w:t>
      </w:r>
      <w:r>
        <w:t xml:space="preserve">@Lopez</w:t>
      </w:r>
    </w:p>
    <w:p>
      <w:pPr>
        <w:pStyle w:val="Heading2"/>
      </w:pPr>
      <w:r>
        <w:t xml:space="preserve">Resumen ejecutivo</w:t>
      </w:r>
    </w:p>
    <w:p>
      <w:pPr/>
      <w:r>
        <w:t xml:space="preserve">El motor de simulación de HipoSim ya está portado a C# y validado, el endpoint </w:t>
      </w:r>
      <w:r>
        <w:rPr>
          <w:rStyle w:val="CodeChar"/>
        </w:rPr>
        <w:t xml:space="preserve">POST /api/simulations</w:t>
      </w:r>
      <w:r>
        <w:t xml:space="preserve"> está implementado y probado, y el contrato de API v0 está listo para que Carlos lo revise antes de integrarlo en </w:t>
      </w:r>
      <w:r>
        <w:rPr>
          <w:rStyle w:val="CodeChar"/>
        </w:rPr>
        <w:t xml:space="preserve">hiposim-platform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Motor financiero (SP02):</w:t>
      </w:r>
      <w:r>
        <w:t xml:space="preserve"> la biblioteca </w:t>
      </w:r>
      <w:r>
        <w:rPr>
          <w:rStyle w:val="CodeChar"/>
        </w:rPr>
        <w:t xml:space="preserve">HipoSim.FinancialEngine</w:t>
      </w:r>
      <w:r>
        <w:t xml:space="preserve"> reproduce el motor Python de AutoFinance Pro con una diferencia máxima de 0.00 en 48 escenarios (9,156 filas de cronograma).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Endpoint de simulación (TS06):</w:t>
      </w:r>
      <w:r>
        <w:t xml:space="preserve"> implementado como biblioteca </w:t>
      </w:r>
      <w:r>
        <w:rPr>
          <w:rStyle w:val="CodeChar"/>
        </w:rPr>
        <w:t xml:space="preserve">HipoSim.Simulations</w:t>
      </w:r>
      <w:r>
        <w:t xml:space="preserve"> (validador, servicio y controlador). Falta conectarla a la API real y a su base de datos.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Contrato v0:</w:t>
      </w:r>
      <w:r>
        <w:t xml:space="preserve"> archivo OpenAPI con 4 endpoints (health, registro, login y simulación). La simulación está especificada al detalle y sus ejemplos son resultados reales del motor.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Calidad:</w:t>
      </w:r>
      <w:r>
        <w:t xml:space="preserve"> 166 pruebas automáticas pasan; la cobertura de líneas es 99.7% en el motor y 99.3% en la capa de simulación.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Pendiente:</w:t>
      </w:r>
      <w:r>
        <w:t xml:space="preserve"> US05 en la app móvil, que depende del contrato y de la capa de red de Diego.</w:t>
      </w:r>
    </w:p>
    <w:p>
      <w:pPr>
        <w:pStyle w:val="Heading3"/>
      </w:pPr>
      <w:r>
        <w:t xml:space="preserve">Qué se pide a Carlos</w:t>
      </w:r>
    </w:p>
    <w:p>
      <w:pPr>
        <w:pStyle w:val="ListParagraph"/>
        <w:numPr>
          <w:ilvl w:val="0"/>
          <w:numId w:val="3"/>
        </w:numPr>
      </w:pPr>
      <w:r>
        <w:t xml:space="preserve">Revisar el contrato v0 con la lista de verificación de este documento.</w:t>
      </w:r>
    </w:p>
    <w:p>
      <w:pPr>
        <w:pStyle w:val="ListParagraph"/>
        <w:numPr>
          <w:ilvl w:val="0"/>
          <w:numId w:val="3"/>
        </w:numPr>
      </w:pPr>
      <w:r>
        <w:t xml:space="preserve">Responder las preguntas abiertas, sobre todo tres: si el endpoint de simulación es público, si se guarda cada cálculo y qué valores de seguros se usan por defecto.</w:t>
      </w:r>
    </w:p>
    <w:p>
      <w:pPr>
        <w:pStyle w:val="ListParagraph"/>
        <w:numPr>
          <w:ilvl w:val="0"/>
          <w:numId w:val="3"/>
        </w:numPr>
      </w:pPr>
      <w:r>
        <w:t xml:space="preserve">Corregir los endpoints de autenticación, que son un borrador (son parte de TS07, a cargo de Carlos).</w:t>
      </w:r>
    </w:p>
    <w:p>
      <w:pPr>
        <w:pStyle w:val="ListParagraph"/>
        <w:numPr>
          <w:ilvl w:val="0"/>
          <w:numId w:val="3"/>
        </w:numPr>
      </w:pPr>
      <w:r>
        <w:t xml:space="preserve">Crear </w:t>
      </w:r>
      <w:r>
        <w:rPr>
          <w:rStyle w:val="CodeChar"/>
        </w:rPr>
        <w:t xml:space="preserve">hiposim-platform</w:t>
      </w:r>
      <w:r>
        <w:t xml:space="preserve"> e implementar </w:t>
      </w:r>
      <w:r>
        <w:rPr>
          <w:rStyle w:val="CodeChar"/>
        </w:rPr>
        <w:t xml:space="preserve">ISimulationRepository</w:t>
      </w:r>
      <w:r>
        <w:t xml:space="preserve"> con Entity Framework Core.</w:t>
      </w:r>
    </w:p>
    <w:p>
      <w:pPr>
        <w:pStyle w:val="Heading2"/>
      </w:pPr>
      <w:r>
        <w:t xml:space="preserve">Alcance asignado y dependencias</w:t>
      </w:r>
    </w:p>
    <w:p>
      <w:pPr/>
      <w:r>
        <w:t xml:space="preserve">A Franco le corresponden SP02, TS06 y US05, que suman 11 Story Points, más el contrato de API v0 (escrito junto con Carlos) y dos documentos de evidencia. La asignación sale del archivo de indicaciones del equipo y los puntos, del Sprint Backlog 2 del Capítulo 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Entregable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SP02</w:t>
            </w:r>
          </w:p>
        </w:tc>
        <w:tc>
          <w:tcPr>
            <w:tcW w:w="3120" w:type="dxa"/>
          </w:tcPr>
          <w:p>
            <w:pPr/>
            <w:r>
              <w:t xml:space="preserve">Validar el port del motor financiero (método francés, VAN, TIR, TCEA) de Python a C#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TS06</w:t>
            </w:r>
          </w:p>
        </w:tc>
        <w:tc>
          <w:tcPr>
            <w:tcW w:w="3120" w:type="dxa"/>
          </w:tcPr>
          <w:p>
            <w:pPr/>
            <w:r>
              <w:t xml:space="preserve">Exponer el endpoint de simulación </w:t>
            </w:r>
            <w:r>
              <w:rPr>
                <w:rStyle w:val="CodeChar"/>
              </w:rPr>
              <w:t xml:space="preserve">POST /api/simulations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US05</w:t>
            </w:r>
          </w:p>
        </w:tc>
        <w:tc>
          <w:tcPr>
            <w:tcW w:w="3120" w:type="dxa"/>
          </w:tcPr>
          <w:p>
            <w:pPr/>
            <w:r>
              <w:t xml:space="preserve">Aplicar el Bono del Buen Pagador en la app móvil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Contrato API v0</w:t>
            </w:r>
          </w:p>
        </w:tc>
        <w:tc>
          <w:tcPr>
            <w:tcW w:w="3120" w:type="dxa"/>
          </w:tcPr>
          <w:p>
            <w:pPr/>
            <w:r>
              <w:t xml:space="preserve">Escribirlo junto con Carlos para que web y móvil trabajen contra él</w:t>
            </w:r>
          </w:p>
        </w:tc>
        <w:tc>
          <w:tcPr>
            <w:tcW w:w="3120" w:type="dxa"/>
          </w:tcPr>
          <w:p>
            <w:pPr/>
            <w:r>
              <w:t xml:space="preserve">Sin SP propio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Documentación</w:t>
            </w:r>
          </w:p>
        </w:tc>
        <w:tc>
          <w:tcPr>
            <w:tcW w:w="3120" w:type="dxa"/>
          </w:tcPr>
          <w:p>
            <w:pPr/>
            <w:r>
              <w:t xml:space="preserve">Documento de validación del motor y Testing Suite Evidence</w:t>
            </w:r>
          </w:p>
        </w:tc>
        <w:tc>
          <w:tcPr>
            <w:tcW w:w="3120" w:type="dxa"/>
          </w:tcPr>
          <w:p>
            <w:pPr/>
            <w:r>
              <w:t xml:space="preserve">Sin SP propio</w:t>
            </w:r>
          </w:p>
        </w:tc>
      </w:tr>
    </w:tbl>
    <w:p>
      <w:pPr/>
      <w:r>
        <w:t xml:space="preserve">El trabajo se cruza con el de otros cuatro compañeros. La tabla indica qué recibe cada uno de este trabajo o qué necesita Franco de ellos.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Compañero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 tarea relacionada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Relación con este trabajo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Carlos</w:t>
            </w:r>
          </w:p>
        </w:tc>
        <w:tc>
          <w:tcPr>
            <w:tcW w:w="3120" w:type="dxa"/>
          </w:tcPr>
          <w:p>
            <w:pPr/>
            <w:r>
              <w:t xml:space="preserve">Repositorio </w:t>
            </w:r>
            <w:r>
              <w:rPr>
                <w:rStyle w:val="CodeChar"/>
              </w:rPr>
              <w:t xml:space="preserve">hiposim-platform</w:t>
            </w:r>
            <w:r>
              <w:t xml:space="preserve">, solución ASP.NET Core, PostgreSQL, migraciones, JWT (TS02, TS07), registro del móvil (US13)</w:t>
            </w:r>
          </w:p>
        </w:tc>
        <w:tc>
          <w:tcPr>
            <w:tcW w:w="3120" w:type="dxa"/>
          </w:tcPr>
          <w:p>
            <w:pPr/>
            <w:r>
              <w:t xml:space="preserve">Franco necesita el repositorio, la autenticación y una entidad </w:t>
            </w:r>
            <w:r>
              <w:rPr>
                <w:rStyle w:val="CodeChar"/>
              </w:rPr>
              <w:t xml:space="preserve">Simulation</w:t>
            </w:r>
            <w:r>
              <w:t xml:space="preserve"> en la base de datos. Revisa el contrato y los PR de la API.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Diego</w:t>
            </w:r>
          </w:p>
        </w:tc>
        <w:tc>
          <w:tcPr>
            <w:tcW w:w="3120" w:type="dxa"/>
          </w:tcPr>
          <w:p>
            <w:pPr/>
            <w:r>
              <w:t xml:space="preserve">Capa de red del móvil (Retrofit), formulario de simulación (US01), resultados con TCEA, VAN y TIR (US04)</w:t>
            </w:r>
          </w:p>
        </w:tc>
        <w:tc>
          <w:tcPr>
            <w:tcW w:w="3120" w:type="dxa"/>
          </w:tcPr>
          <w:p>
            <w:pPr/>
            <w:r>
              <w:t xml:space="preserve">Consume la respuesta de </w:t>
            </w:r>
            <w:r>
              <w:rPr>
                <w:rStyle w:val="CodeChar"/>
              </w:rPr>
              <w:t xml:space="preserve">POST /api/simulations</w:t>
            </w:r>
            <w:r>
              <w:t xml:space="preserve">. Revisa los PR del móvil, incluido el de US05.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Joaquín</w:t>
            </w:r>
          </w:p>
        </w:tc>
        <w:tc>
          <w:tcPr>
            <w:tcW w:w="3120" w:type="dxa"/>
          </w:tcPr>
          <w:p>
            <w:pPr/>
            <w:r>
              <w:t xml:space="preserve">Backend de leads (TS08), cronograma del móvil (US02), diagrama de clases (4.9)</w:t>
            </w:r>
          </w:p>
        </w:tc>
        <w:tc>
          <w:tcPr>
            <w:tcW w:w="3120" w:type="dxa"/>
          </w:tcPr>
          <w:p>
            <w:pPr/>
            <w:r>
              <w:t xml:space="preserve">Usa el </w:t>
            </w:r>
            <w:r>
              <w:rPr>
                <w:rStyle w:val="CodeChar"/>
              </w:rPr>
              <w:t xml:space="preserve">simulationId</w:t>
            </w:r>
            <w:r>
              <w:t xml:space="preserve"> y el cronograma de la respuesta. Documenta </w:t>
            </w:r>
            <w:r>
              <w:rPr>
                <w:rStyle w:val="CodeChar"/>
              </w:rPr>
              <w:t xml:space="preserve">StateBenefit</w:t>
            </w:r>
            <w:r>
              <w:t xml:space="preserve"> en el diccionario de clases.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Gustavo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/api/agencies</w:t>
            </w:r>
            <w:r>
              <w:t xml:space="preserve">, </w:t>
            </w:r>
            <w:r>
              <w:rPr>
                <w:rStyle w:val="CodeChar"/>
              </w:rPr>
              <w:t xml:space="preserve">GET /health</w:t>
            </w:r>
            <w:r>
              <w:t xml:space="preserve">, login del móvil (US26), envío a inmobiliarias (US21), Swagger (TS05)</w:t>
            </w:r>
          </w:p>
        </w:tc>
        <w:tc>
          <w:tcPr>
            <w:tcW w:w="3120" w:type="dxa"/>
          </w:tcPr>
          <w:p>
            <w:pPr/>
            <w:r>
              <w:t xml:space="preserve">Genera la documentación Swagger de este endpoint. Su </w:t>
            </w:r>
            <w:r>
              <w:rPr>
                <w:rStyle w:val="CodeChar"/>
              </w:rPr>
              <w:t xml:space="preserve">GET /health</w:t>
            </w:r>
            <w:r>
              <w:t xml:space="preserve"> es el mismo que el contrato esboza; hay que confirmar que el formato coincida.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Jhoan</w:t>
            </w:r>
          </w:p>
        </w:tc>
        <w:tc>
          <w:tcPr>
            <w:tcW w:w="3120" w:type="dxa"/>
          </w:tcPr>
          <w:p>
            <w:pPr/>
            <w:r>
              <w:t xml:space="preserve">Aplicación web del asesor</w:t>
            </w:r>
          </w:p>
        </w:tc>
        <w:tc>
          <w:tcPr>
            <w:tcW w:w="3120" w:type="dxa"/>
          </w:tcPr>
          <w:p>
            <w:pPr/>
            <w:r>
              <w:t xml:space="preserve">Indirecta: verá la simulación que el comprador comparta en un lead.</w:t>
            </w:r>
          </w:p>
        </w:tc>
      </w:tr>
    </w:tbl>
    <w:p>
      <w:pPr>
        <w:pStyle w:val="Heading2"/>
      </w:pPr>
      <w:r>
        <w:t xml:space="preserve">Trabajo realizado, de principio a fin</w:t>
      </w:r>
    </w:p>
    <w:p>
      <w:pPr/>
      <w:r>
        <w:t xml:space="preserve">El trabajo avanzó en ocho etapas sin esperar a que existiera el repositorio del backend; todas ocurrieron el 2 y 3 de octubre de 2026, salvo la etapa 2, que se apoya en un trabajo previo sobre AutoFinance Pro. Cada etapa dejó un resultado verificable.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Análisis de la asignación.</w:t>
      </w:r>
      <w:r>
        <w:t xml:space="preserve"> Se leyó el archivo de indicaciones y los capítulos 1 a 5 del informe. De ahí salió el alcance (SP02, TS06, US05), los criterios de aceptación y la restricción de que </w:t>
      </w:r>
      <w:r>
        <w:rPr>
          <w:rStyle w:val="CodeChar"/>
        </w:rPr>
        <w:t xml:space="preserve">hiposim-platform</w:t>
      </w:r>
      <w:r>
        <w:t xml:space="preserve"> todavía no existía.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Línea base del motor de referencia.</w:t>
      </w:r>
      <w:r>
        <w:t xml:space="preserve"> Antes de portar nada se dejó funcionando AutoFinance Pro: sus 11 pruebas en Python pasan (hubo que añadir </w:t>
      </w:r>
      <w:r>
        <w:rPr>
          <w:rStyle w:val="CodeChar"/>
        </w:rPr>
        <w:t xml:space="preserve">email-validator</w:t>
      </w:r>
      <w:r>
        <w:t xml:space="preserve"> y fijar </w:t>
      </w:r>
      <w:r>
        <w:rPr>
          <w:rStyle w:val="CodeChar"/>
        </w:rPr>
        <w:t xml:space="preserve">bcrypt==4.0.1</w:t>
      </w:r>
      <w:r>
        <w:t xml:space="preserve">) y su base de datos corre sobre PostgreSQL con migraciones de Alembic.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Decisión de estructura.</w:t>
      </w:r>
      <w:r>
        <w:t xml:space="preserve"> Se creó una solución .NET independiente, </w:t>
      </w:r>
      <w:r>
        <w:rPr>
          <w:rStyle w:val="CodeChar"/>
        </w:rPr>
        <w:t xml:space="preserve">HipoSim\financial-engine</w:t>
      </w:r>
      <w:r>
        <w:t xml:space="preserve">, con bibliotecas </w:t>
      </w:r>
      <w:r>
        <w:rPr>
          <w:rStyle w:val="CodeChar"/>
        </w:rPr>
        <w:t xml:space="preserve">net8.0</w:t>
      </w:r>
      <w:r>
        <w:t xml:space="preserve"> que se mueven a </w:t>
      </w:r>
      <w:r>
        <w:rPr>
          <w:rStyle w:val="CodeChar"/>
        </w:rPr>
        <w:t xml:space="preserve">hiposim-platform</w:t>
      </w:r>
      <w:r>
        <w:t xml:space="preserve"> sin cambios.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Port del motor (SP02).</w:t>
      </w:r>
      <w:r>
        <w:t xml:space="preserve"> Se reescribió en C# la conversión de tasas, la amortización francesa con gracia total y parcial, VAN, TIR y TCEA, y se añadió el motor de beneficios con la tabla del bono tomada del simulador del Landing Page.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Validación del port.</w:t>
      </w:r>
      <w:r>
        <w:t xml:space="preserve"> Se ejecutó el motor Python original sobre 48 escenarios y se comparó fila por fila con el C#. Diferencia máxima: 0.00. Se comprobaron las pruebas con cambios deliberados en el código.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Contrato de API v0.</w:t>
      </w:r>
      <w:r>
        <w:t xml:space="preserve"> Se redactó el contrato OpenAPI 3.0.3 con ejemplos calculados por el motor y se validó su sintaxis y sus ejemplos.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Endpoint de simulación (TS06).</w:t>
      </w:r>
      <w:r>
        <w:t xml:space="preserve"> Se implementó </w:t>
      </w:r>
      <w:r>
        <w:rPr>
          <w:rStyle w:val="CodeChar"/>
        </w:rPr>
        <w:t xml:space="preserve">HipoSim.Simulations</w:t>
      </w:r>
      <w:r>
        <w:t xml:space="preserve"> con validador, servicio, controlador y pruebas de integración que envían los ejemplos del contrato al endpoint real.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Documentación.</w:t>
      </w:r>
      <w:r>
        <w:t xml:space="preserve"> Se escribió el documento de validación con la evidencia del Testing Suite, se añadió un prototipo ejecutable y se midió la cobertura; este informe cierra la etapa.</w:t>
      </w:r>
    </w:p>
    <w:p>
      <w:pPr>
        <w:pStyle w:val="Heading2"/>
      </w:pPr>
      <w:r>
        <w:t xml:space="preserve">Estado por entregable</w:t>
      </w:r>
    </w:p>
    <w:p>
      <w:pPr/>
      <w:r>
        <w:t xml:space="preserve">Cuatro de los seis entregables están hechos o en revisión; TS06 espera la integración con la API de Carlos y US05 no ha empezado.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Entregable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hay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falta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SP02, port del motor</w:t>
            </w:r>
          </w:p>
        </w:tc>
        <w:tc>
          <w:tcPr>
            <w:tcW w:w="2340" w:type="dxa"/>
          </w:tcPr>
          <w:p>
            <w:pPr/>
            <w:r>
              <w:t xml:space="preserve">Hecho</w:t>
            </w:r>
          </w:p>
        </w:tc>
        <w:tc>
          <w:tcPr>
            <w:tcW w:w="2340" w:type="dxa"/>
          </w:tcPr>
          <w:p>
            <w:pPr/>
            <w:r>
              <w:t xml:space="preserve">Biblioteca </w:t>
            </w:r>
            <w:r>
              <w:rPr>
                <w:rStyle w:val="CodeChar"/>
              </w:rPr>
              <w:t xml:space="preserve">HipoSim.FinancialEngine</w:t>
            </w:r>
            <w:r>
              <w:t xml:space="preserve">, 106 pruebas y paridad con diferencia 0.00 frente a Python</w:t>
            </w:r>
          </w:p>
        </w:tc>
        <w:tc>
          <w:tcPr>
            <w:tcW w:w="2340" w:type="dxa"/>
          </w:tcPr>
          <w:p>
            <w:pPr/>
            <w:r>
              <w:t xml:space="preserve">Moverla a </w:t>
            </w:r>
            <w:r>
              <w:rPr>
                <w:rStyle w:val="CodeChar"/>
              </w:rPr>
              <w:t xml:space="preserve">hiposim-platform</w:t>
            </w:r>
            <w:r>
              <w:t xml:space="preserve"> (carpeta </w:t>
            </w:r>
            <w:r>
              <w:rPr>
                <w:rStyle w:val="CodeChar"/>
              </w:rPr>
              <w:t xml:space="preserve">src/</w:t>
            </w:r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TS06, endpoint de simulación</w:t>
            </w:r>
          </w:p>
        </w:tc>
        <w:tc>
          <w:tcPr>
            <w:tcW w:w="2340" w:type="dxa"/>
          </w:tcPr>
          <w:p>
            <w:pPr/>
            <w:r>
              <w:t xml:space="preserve">Falta integrar</w:t>
            </w:r>
          </w:p>
        </w:tc>
        <w:tc>
          <w:tcPr>
            <w:tcW w:w="2340" w:type="dxa"/>
          </w:tcPr>
          <w:p>
            <w:pPr/>
            <w:r>
              <w:t xml:space="preserve">Biblioteca </w:t>
            </w:r>
            <w:r>
              <w:rPr>
                <w:rStyle w:val="CodeChar"/>
              </w:rPr>
              <w:t xml:space="preserve">HipoSim.Simulations</w:t>
            </w:r>
            <w:r>
              <w:t xml:space="preserve"> con validador, servicio, controlador y 60 pruebas</w:t>
            </w:r>
          </w:p>
        </w:tc>
        <w:tc>
          <w:tcPr>
            <w:tcW w:w="2340" w:type="dxa"/>
          </w:tcPr>
          <w:p>
            <w:pPr/>
            <w:r>
              <w:t xml:space="preserve">Repositorio con EF Core, registro en la API de Carlos y revisión del Swagger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Contrato API v0</w:t>
            </w:r>
          </w:p>
        </w:tc>
        <w:tc>
          <w:tcPr>
            <w:tcW w:w="2340" w:type="dxa"/>
          </w:tcPr>
          <w:p>
            <w:pPr/>
            <w:r>
              <w:t xml:space="preserve">En revisión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openapi.v0.yaml</w:t>
            </w:r>
            <w:r>
              <w:t xml:space="preserve"> validado, con ejemplos reales del motor</w:t>
            </w:r>
          </w:p>
        </w:tc>
        <w:tc>
          <w:tcPr>
            <w:tcW w:w="2340" w:type="dxa"/>
          </w:tcPr>
          <w:p>
            <w:pPr/>
            <w:r>
              <w:t xml:space="preserve">Revisión de Carlos y respuesta a las 8 preguntas abiertas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US05, bono en el móvil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La parte de servidor está lista: el bono se evalúa en el motor y se devuelve en la respuesta</w:t>
            </w:r>
          </w:p>
        </w:tc>
        <w:tc>
          <w:tcPr>
            <w:tcW w:w="2340" w:type="dxa"/>
          </w:tcPr>
          <w:p>
            <w:pPr/>
            <w:r>
              <w:t xml:space="preserve">Pantalla en </w:t>
            </w:r>
            <w:r>
              <w:rPr>
                <w:rStyle w:val="CodeChar"/>
              </w:rPr>
              <w:t xml:space="preserve">hiposim-app-mobile</w:t>
            </w:r>
            <w:r>
              <w:t xml:space="preserve">; depende de la capa Retrofit de Diego y del contrato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Documento de validación del motor</w:t>
            </w:r>
          </w:p>
        </w:tc>
        <w:tc>
          <w:tcPr>
            <w:tcW w:w="2340" w:type="dxa"/>
          </w:tcPr>
          <w:p>
            <w:pPr/>
            <w:r>
              <w:t xml:space="preserve">Hecho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docs/engine-validation.md</w:t>
            </w:r>
            <w:r>
              <w:t xml:space="preserve">, parte 1</w:t>
            </w:r>
          </w:p>
        </w:tc>
        <w:tc>
          <w:tcPr>
            <w:tcW w:w="2340" w:type="dxa"/>
          </w:tcPr>
          <w:p>
            <w:pPr/>
            <w:r>
              <w:t xml:space="preserve">URL del repositorio, commit y capturas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Testing Suite Evidence</w:t>
            </w:r>
          </w:p>
        </w:tc>
        <w:tc>
          <w:tcPr>
            <w:tcW w:w="2340" w:type="dxa"/>
          </w:tcPr>
          <w:p>
            <w:pPr/>
            <w:r>
              <w:t xml:space="preserve">Hecho</w:t>
            </w:r>
          </w:p>
        </w:tc>
        <w:tc>
          <w:tcPr>
            <w:tcW w:w="2340" w:type="dxa"/>
          </w:tcPr>
          <w:p>
            <w:pPr/>
            <w:r>
              <w:t xml:space="preserve">Parte 2 del mismo documento: 166 pruebas, cobertura y mutaciones</w:t>
            </w:r>
          </w:p>
        </w:tc>
        <w:tc>
          <w:tcPr>
            <w:tcW w:w="2340" w:type="dxa"/>
          </w:tcPr>
          <w:p>
            <w:pPr/>
            <w:r>
              <w:t xml:space="preserve">Integración continua y capturas</w:t>
            </w:r>
          </w:p>
        </w:tc>
      </w:tr>
    </w:tbl>
    <w:p>
      <w:pPr>
        <w:pStyle w:val="Heading2"/>
      </w:pPr>
      <w:r>
        <w:t xml:space="preserve">Contrato API v0: cómo revisarlo</w:t>
      </w:r>
    </w:p>
    <w:p>
      <w:pPr/>
      <w:r>
        <w:t xml:space="preserve">El contrato v0 es un único archivo OpenAPI 3.0.3 de 676 líneas, </w:t>
      </w:r>
      <w:r>
        <w:rPr>
          <w:rStyle w:val="CodeChar"/>
        </w:rPr>
        <w:t xml:space="preserve">docs/api-contract/openapi.v0.yaml</w:t>
      </w:r>
      <w:r>
        <w:t xml:space="preserve">, dentro de la solución </w:t>
      </w:r>
      <w:r>
        <w:rPr>
          <w:rStyle w:val="CodeChar"/>
        </w:rPr>
        <w:t xml:space="preserve">C:\Users\franc\HipoSim\financial-engine</w:t>
      </w:r>
      <w:r>
        <w:t xml:space="preserve">. Cuando exista </w:t>
      </w:r>
      <w:r>
        <w:rPr>
          <w:rStyle w:val="CodeChar"/>
        </w:rPr>
        <w:t xml:space="preserve">hiposim-platform</w:t>
      </w:r>
      <w:r>
        <w:t xml:space="preserve"> debe moverse allí.</w:t>
      </w:r>
    </w:p>
    <w:p>
      <w:pPr/>
      <w:r>
        <w:rPr>
          <w:b/>
        </w:rPr>
        <w:t xml:space="preserve">Cómo verlo.</w:t>
      </w:r>
      <w:r>
        <w:t xml:space="preserve"> Puede abrirse en un visor de OpenAPI: la extensión de OpenAPI de VS Code o Rider, la importación de Postman (</w:t>
      </w:r>
      <w:r>
        <w:rPr>
          <w:rStyle w:val="CodeChar"/>
        </w:rPr>
        <w:t xml:space="preserve">Import</w:t>
      </w:r>
      <w:r>
        <w:t xml:space="preserve">, archivo OpenAPI) o un editor de Swagger en línea. El archivo no contiene datos sensibles.</w:t>
      </w:r>
    </w:p>
    <w:p>
      <w:pPr/>
      <w:r>
        <w:rPr>
          <w:b/>
        </w:rPr>
        <w:t xml:space="preserve">Qué está verificado y qué 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Parte del contrato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Verificación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Sintaxis OpenAPI 3.0.3</w:t>
            </w:r>
          </w:p>
        </w:tc>
        <w:tc>
          <w:tcPr>
            <w:tcW w:w="4680" w:type="dxa"/>
          </w:tcPr>
          <w:p>
            <w:pPr/>
            <w:r>
              <w:t xml:space="preserve">Válida según </w:t>
            </w:r>
            <w:r>
              <w:rPr>
                <w:rStyle w:val="CodeChar"/>
              </w:rPr>
              <w:t xml:space="preserve">openapi-spec-validator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Los 16 ejemplos (solicitudes, respuestas y errores)</w:t>
            </w:r>
          </w:p>
        </w:tc>
        <w:tc>
          <w:tcPr>
            <w:tcW w:w="4680" w:type="dxa"/>
          </w:tcPr>
          <w:p>
            <w:pPr/>
            <w:r>
              <w:t xml:space="preserve">Cumplen su propio esquema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/api/simulations</w:t>
            </w:r>
          </w:p>
        </w:tc>
        <w:tc>
          <w:tcPr>
            <w:tcW w:w="4680" w:type="dxa"/>
          </w:tcPr>
          <w:p>
            <w:pPr/>
            <w:r>
              <w:t xml:space="preserve">6 pruebas automáticas envían los ejemplos al código real y exigen que las respuestas coincidan en números, mensajes y nombres de propiedades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Registro, login y health</w:t>
            </w:r>
          </w:p>
        </w:tc>
        <w:tc>
          <w:tcPr>
            <w:tcW w:w="4680" w:type="dxa"/>
          </w:tcPr>
          <w:p>
            <w:pPr/>
            <w:r>
              <w:t xml:space="preserve">Son una propuesta: no tienen implementación ni pruebas. Corresponden a Carlos (TS07) y Gustavo (</w:t>
            </w:r>
            <w:r>
              <w:rPr>
                <w:rStyle w:val="CodeChar"/>
              </w:rPr>
              <w:t xml:space="preserve">/health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Qué se espera de Carlos.</w:t>
      </w:r>
    </w:p>
    <w:p>
      <w:pPr>
        <w:pStyle w:val="ListParagraph"/>
        <w:numPr>
          <w:ilvl w:val="0"/>
          <w:numId w:val="5"/>
        </w:numPr>
      </w:pPr>
      <w:r>
        <w:t xml:space="preserve">Comprobar que el contrato cumple los requisitos, con la matriz de trazabilidad y la lista de verificación de este documento.</w:t>
      </w:r>
    </w:p>
    <w:p>
      <w:pPr>
        <w:pStyle w:val="ListParagraph"/>
        <w:numPr>
          <w:ilvl w:val="0"/>
          <w:numId w:val="5"/>
        </w:numPr>
      </w:pPr>
      <w:r>
        <w:t xml:space="preserve">Decidir las 10 preguntas abiertas (cada una trae una propuesta).</w:t>
      </w:r>
    </w:p>
    <w:p>
      <w:pPr>
        <w:pStyle w:val="ListParagraph"/>
        <w:numPr>
          <w:ilvl w:val="0"/>
          <w:numId w:val="5"/>
        </w:numPr>
      </w:pPr>
      <w:r>
        <w:t xml:space="preserve">Corregir los endpoints de autenticación y confirmar que su API puede cumplir las convenciones: errores en </w:t>
      </w:r>
      <w:r>
        <w:rPr>
          <w:rStyle w:val="CodeChar"/>
        </w:rPr>
        <w:t xml:space="preserve">camelCase</w:t>
      </w:r>
      <w:r>
        <w:t xml:space="preserve"> y datos en el token.</w:t>
      </w:r>
    </w:p>
    <w:p>
      <w:pPr>
        <w:pStyle w:val="ListParagraph"/>
        <w:numPr>
          <w:ilvl w:val="0"/>
          <w:numId w:val="5"/>
        </w:numPr>
      </w:pPr>
      <w:r>
        <w:t xml:space="preserve">Devolver los cambios como comentarios en este documento o editando el archivo YAML.</w:t>
      </w:r>
    </w:p>
    <w:p>
      <w:pPr/>
      <w:r>
        <w:rPr>
          <w:b/>
        </w:rPr>
        <w:t xml:space="preserve">Qué cambió tras contrastarlo con el Capítulo 3.</w:t>
      </w:r>
      <w:r>
        <w:t xml:space="preserve"> Al revisar los criterios de aceptación se encontraron tres brechas en la primera versión, ya corregidas en el archivo y en el código: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US02:</w:t>
      </w:r>
      <w:r>
        <w:t xml:space="preserve"> el cronograma ahora trae </w:t>
      </w:r>
      <w:r>
        <w:rPr>
          <w:rStyle w:val="CodeChar"/>
        </w:rPr>
        <w:t xml:space="preserve">openingBalance</w:t>
      </w:r>
      <w:r>
        <w:t xml:space="preserve"> (saldo inicial de cada mes); el criterio pide mostrar saldo inicial, amortización, interés y saldo final.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US13:</w:t>
      </w:r>
      <w:r>
        <w:t xml:space="preserve"> el registro ahora pide teléfono y las dos aceptaciones (términos y autorización de datos, Ley 29733), y devuelve el token JWT además del usuario.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US26 y US22:</w:t>
      </w:r>
      <w:r>
        <w:t xml:space="preserve"> el login documenta que un error nunca indica cuál dato es incorrecto, y que el token del asesor debe llevar la inmobiliaria para limitar sus leads.</w:t>
      </w:r>
    </w:p>
    <w:p>
      <w:pPr>
        <w:pStyle w:val="Heading2"/>
      </w:pPr>
      <w:r>
        <w:t xml:space="preserve">Contrato API v0: convenciones y endpoints</w:t>
      </w:r>
    </w:p>
    <w:p>
      <w:pPr/>
      <w:r>
        <w:t xml:space="preserve">El contrato define cuatro endpoints; solo </w:t>
      </w:r>
      <w:r>
        <w:rPr>
          <w:rStyle w:val="CodeChar"/>
        </w:rPr>
        <w:t xml:space="preserve">POST /api/simulations</w:t>
      </w:r>
      <w:r>
        <w:t xml:space="preserve"> tiene implementación y pruebas, los otros tres son una propuesta para Carlos y Gustavo.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Respuestas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Dueño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GET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/health</w:t>
            </w:r>
          </w:p>
        </w:tc>
        <w:tc>
          <w:tcPr>
            <w:tcW w:w="1337" w:type="dxa"/>
          </w:tcPr>
          <w:p>
            <w:pPr/>
            <w:r>
              <w:t xml:space="preserve">Comprobar que la API está disponible</w:t>
            </w:r>
          </w:p>
        </w:tc>
        <w:tc>
          <w:tcPr>
            <w:tcW w:w="1337" w:type="dxa"/>
          </w:tcPr>
          <w:p>
            <w:pPr/>
            <w:r>
              <w:t xml:space="preserve">No</w:t>
            </w:r>
          </w:p>
        </w:tc>
        <w:tc>
          <w:tcPr>
            <w:tcW w:w="1337" w:type="dxa"/>
          </w:tcPr>
          <w:p>
            <w:pPr/>
            <w:r>
              <w:t xml:space="preserve">200</w:t>
            </w:r>
          </w:p>
        </w:tc>
        <w:tc>
          <w:tcPr>
            <w:tcW w:w="1337" w:type="dxa"/>
          </w:tcPr>
          <w:p>
            <w:pPr/>
            <w:r>
              <w:t xml:space="preserve">Gustavo</w:t>
            </w:r>
          </w:p>
        </w:tc>
        <w:tc>
          <w:tcPr>
            <w:tcW w:w="1337" w:type="dxa"/>
          </w:tcPr>
          <w:p>
            <w:pPr/>
            <w:r>
              <w:t xml:space="preserve">Propuesta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POST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/api/auth/register</w:t>
            </w:r>
          </w:p>
        </w:tc>
        <w:tc>
          <w:tcPr>
            <w:tcW w:w="1337" w:type="dxa"/>
          </w:tcPr>
          <w:p>
            <w:pPr/>
            <w:r>
              <w:t xml:space="preserve">Registrar a un comprador y abrir su sesión</w:t>
            </w:r>
          </w:p>
        </w:tc>
        <w:tc>
          <w:tcPr>
            <w:tcW w:w="1337" w:type="dxa"/>
          </w:tcPr>
          <w:p>
            <w:pPr/>
            <w:r>
              <w:t xml:space="preserve">No</w:t>
            </w:r>
          </w:p>
        </w:tc>
        <w:tc>
          <w:tcPr>
            <w:tcW w:w="1337" w:type="dxa"/>
          </w:tcPr>
          <w:p>
            <w:pPr/>
            <w:r>
              <w:t xml:space="preserve">201, 400, 409</w:t>
            </w:r>
          </w:p>
        </w:tc>
        <w:tc>
          <w:tcPr>
            <w:tcW w:w="1337" w:type="dxa"/>
          </w:tcPr>
          <w:p>
            <w:pPr/>
            <w:r>
              <w:t xml:space="preserve">Carlos</w:t>
            </w:r>
          </w:p>
        </w:tc>
        <w:tc>
          <w:tcPr>
            <w:tcW w:w="1337" w:type="dxa"/>
          </w:tcPr>
          <w:p>
            <w:pPr/>
            <w:r>
              <w:t xml:space="preserve">Propuesta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POST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/api/auth/login</w:t>
            </w:r>
          </w:p>
        </w:tc>
        <w:tc>
          <w:tcPr>
            <w:tcW w:w="1337" w:type="dxa"/>
          </w:tcPr>
          <w:p>
            <w:pPr/>
            <w:r>
              <w:t xml:space="preserve">Iniciar sesión como comprador o asesor</w:t>
            </w:r>
          </w:p>
        </w:tc>
        <w:tc>
          <w:tcPr>
            <w:tcW w:w="1337" w:type="dxa"/>
          </w:tcPr>
          <w:p>
            <w:pPr/>
            <w:r>
              <w:t xml:space="preserve">No</w:t>
            </w:r>
          </w:p>
        </w:tc>
        <w:tc>
          <w:tcPr>
            <w:tcW w:w="1337" w:type="dxa"/>
          </w:tcPr>
          <w:p>
            <w:pPr/>
            <w:r>
              <w:t xml:space="preserve">200, 400, 401</w:t>
            </w:r>
          </w:p>
        </w:tc>
        <w:tc>
          <w:tcPr>
            <w:tcW w:w="1337" w:type="dxa"/>
          </w:tcPr>
          <w:p>
            <w:pPr/>
            <w:r>
              <w:t xml:space="preserve">Carlos</w:t>
            </w:r>
          </w:p>
        </w:tc>
        <w:tc>
          <w:tcPr>
            <w:tcW w:w="1337" w:type="dxa"/>
          </w:tcPr>
          <w:p>
            <w:pPr/>
            <w:r>
              <w:t xml:space="preserve">Propuesta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POST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/api/simulations</w:t>
            </w:r>
          </w:p>
        </w:tc>
        <w:tc>
          <w:tcPr>
            <w:tcW w:w="1337" w:type="dxa"/>
          </w:tcPr>
          <w:p>
            <w:pPr/>
            <w:r>
              <w:t xml:space="preserve">Calcular una simulación hipotecaria</w:t>
            </w:r>
          </w:p>
        </w:tc>
        <w:tc>
          <w:tcPr>
            <w:tcW w:w="1337" w:type="dxa"/>
          </w:tcPr>
          <w:p>
            <w:pPr/>
            <w:r>
              <w:t xml:space="preserve">Opcional</w:t>
            </w:r>
          </w:p>
        </w:tc>
        <w:tc>
          <w:tcPr>
            <w:tcW w:w="1337" w:type="dxa"/>
          </w:tcPr>
          <w:p>
            <w:pPr/>
            <w:r>
              <w:t xml:space="preserve">200, 400</w:t>
            </w:r>
          </w:p>
        </w:tc>
        <w:tc>
          <w:tcPr>
            <w:tcW w:w="1337" w:type="dxa"/>
          </w:tcPr>
          <w:p>
            <w:pPr/>
            <w:r>
              <w:t xml:space="preserve">Franco</w:t>
            </w:r>
          </w:p>
        </w:tc>
        <w:tc>
          <w:tcPr>
            <w:tcW w:w="1337" w:type="dxa"/>
          </w:tcPr>
          <w:p>
            <w:pPr/>
            <w:r>
              <w:t xml:space="preserve">Implementado y probado</w:t>
            </w:r>
          </w:p>
        </w:tc>
      </w:tr>
    </w:tbl>
    <w:p>
      <w:pPr/>
      <w:r>
        <w:t xml:space="preserve">Las convenciones son iguales para todos los endpoints.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Convención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Formato</w:t>
            </w:r>
          </w:p>
        </w:tc>
        <w:tc>
          <w:tcPr>
            <w:tcW w:w="4680" w:type="dxa"/>
          </w:tcPr>
          <w:p>
            <w:pPr/>
            <w:r>
              <w:t xml:space="preserve">JSON, propiedades en </w:t>
            </w:r>
            <w:r>
              <w:rPr>
                <w:rStyle w:val="CodeChar"/>
              </w:rPr>
              <w:t xml:space="preserve">camelCase</w:t>
            </w:r>
            <w:r>
              <w:t xml:space="preserve">, identificadores en inglés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Tasas</w:t>
            </w:r>
          </w:p>
        </w:tc>
        <w:tc>
          <w:tcPr>
            <w:tcW w:w="4680" w:type="dxa"/>
          </w:tcPr>
          <w:p>
            <w:pPr/>
            <w:r>
              <w:t xml:space="preserve">Fracciones, no porcentajes: </w:t>
            </w:r>
            <w:r>
              <w:rPr>
                <w:rStyle w:val="CodeChar"/>
              </w:rPr>
              <w:t xml:space="preserve">0.085</w:t>
            </w:r>
            <w:r>
              <w:t xml:space="preserve"> es 8.5%. Se redondean a 6 decimales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Montos</w:t>
            </w:r>
          </w:p>
        </w:tc>
        <w:tc>
          <w:tcPr>
            <w:tcW w:w="4680" w:type="dxa"/>
          </w:tcPr>
          <w:p>
            <w:pPr/>
            <w:r>
              <w:t xml:space="preserve">Soles (PEN) con 2 decimales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Fechas</w:t>
            </w:r>
          </w:p>
        </w:tc>
        <w:tc>
          <w:tcPr>
            <w:tcW w:w="4680" w:type="dxa"/>
          </w:tcPr>
          <w:p>
            <w:pPr/>
            <w:r>
              <w:t xml:space="preserve">ISO 8601, por ejemplo </w:t>
            </w:r>
            <w:r>
              <w:rPr>
                <w:rStyle w:val="CodeChar"/>
              </w:rPr>
              <w:t xml:space="preserve">2026-10-01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Errores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application/problem+json</w:t>
            </w:r>
            <w:r>
              <w:t xml:space="preserve"> (RFC 9457). Los errores de validación van en </w:t>
            </w:r>
            <w:r>
              <w:rPr>
                <w:rStyle w:val="CodeChar"/>
              </w:rPr>
              <w:t xml:space="preserve">errors</w:t>
            </w:r>
            <w:r>
              <w:t xml:space="preserve">, con una lista de mensajes por cada propiedad de la solicitud, escrita en </w:t>
            </w:r>
            <w:r>
              <w:rPr>
                <w:rStyle w:val="CodeChar"/>
              </w:rPr>
              <w:t xml:space="preserve">camelCase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Seguridad</w:t>
            </w:r>
          </w:p>
        </w:tc>
        <w:tc>
          <w:tcPr>
            <w:tcW w:w="4680" w:type="dxa"/>
          </w:tcPr>
          <w:p>
            <w:pPr/>
            <w:r>
              <w:t xml:space="preserve">JWT con esquema </w:t>
            </w:r>
            <w:r>
              <w:rPr>
                <w:rStyle w:val="CodeChar"/>
              </w:rPr>
              <w:t xml:space="preserve">Bearer</w:t>
            </w:r>
            <w:r>
              <w:t xml:space="preserve">. Los roles del token son </w:t>
            </w:r>
            <w:r>
              <w:rPr>
                <w:rStyle w:val="CodeChar"/>
              </w:rPr>
              <w:t xml:space="preserve">buyer</w:t>
            </w:r>
            <w:r>
              <w:t xml:space="preserve"> y </w:t>
            </w:r>
            <w:r>
              <w:rPr>
                <w:rStyle w:val="CodeChar"/>
              </w:rPr>
              <w:t xml:space="preserve">advisor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Versión en la ruta</w:t>
            </w:r>
          </w:p>
        </w:tc>
        <w:tc>
          <w:tcPr>
            <w:tcW w:w="4680" w:type="dxa"/>
          </w:tcPr>
          <w:p>
            <w:pPr/>
            <w:r>
              <w:t xml:space="preserve">Ninguna (</w:t>
            </w:r>
            <w:r>
              <w:rPr>
                <w:rStyle w:val="CodeChar"/>
              </w:rPr>
              <w:t xml:space="preserve">/api/...</w:t>
            </w:r>
            <w:r>
              <w:t xml:space="preserve">), como en la tabla de la sección 5.2.6 del informe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Servidor de desarrollo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http://localhost:5000</w:t>
            </w:r>
            <w:r>
              <w:t xml:space="preserve"> como valor provisional; se ajusta al perfil de lanzamiento de la API</w:t>
            </w:r>
          </w:p>
        </w:tc>
      </w:tr>
    </w:tbl>
    <w:p>
      <w:pPr>
        <w:pStyle w:val="Heading2"/>
      </w:pPr>
      <w:r>
        <w:t xml:space="preserve">POST /api/simulations en detalle</w:t>
      </w:r>
    </w:p>
    <w:p>
      <w:pPr/>
      <w:r>
        <w:t xml:space="preserve">Este endpoint recibe el precio de la vivienda, la cuota inicial, la tasa y el plazo, y devuelve la cuota, los indicadores, el resultado del bono y el cronograma completo, sin exigir sesión. Es la única parte del contrato con código y pruebas detrás.</w:t>
      </w:r>
    </w:p>
    <w:p>
      <w:pPr>
        <w:pStyle w:val="Heading3"/>
      </w:pPr>
      <w:r>
        <w:t xml:space="preserve">Seguridad y comportamiento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Público, con token opcional.</w:t>
      </w:r>
      <w:r>
        <w:t xml:space="preserve"> Cualquiera puede simular (US01, escenario 3: sin cuenta y sin pedir datos personales). Si llega un token válido, la simulación queda asociada al comprador (se lee el identificador del claim </w:t>
      </w:r>
      <w:r>
        <w:rPr>
          <w:rStyle w:val="CodeChar"/>
        </w:rPr>
        <w:t xml:space="preserve">NameIdentifier</w:t>
      </w:r>
      <w:r>
        <w:t xml:space="preserve"> o </w:t>
      </w:r>
      <w:r>
        <w:rPr>
          <w:rStyle w:val="CodeChar"/>
        </w:rPr>
        <w:t xml:space="preserve">sub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Cada cálculo se guarda</w:t>
      </w:r>
      <w:r>
        <w:t xml:space="preserve"> y la respuesta trae su </w:t>
      </w:r>
      <w:r>
        <w:rPr>
          <w:rStyle w:val="CodeChar"/>
        </w:rPr>
        <w:t xml:space="preserve">simulationId</w:t>
      </w:r>
      <w:r>
        <w:t xml:space="preserve">, para que un lead pueda referenciar la simulación más adelante.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Qué calcula:</w:t>
      </w:r>
      <w:r>
        <w:t xml:space="preserve"> convierte la TEA a tasa mensual con el año comercial de 360 días, aplica el bono si se pidió y corresponde, arma el cronograma por el método francés (con gracia total o parcial si se indicó) y calcula VAN, TIR y TCEA.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Qué no expone todavía:</w:t>
      </w:r>
      <w:r>
        <w:t xml:space="preserve"> tasa nominal (TNA), cuota balón, seguros ni gastos como datos de entrada. Los seguros y los gastos son valores del servidor.</w:t>
      </w:r>
    </w:p>
    <w:p>
      <w:pPr>
        <w:pStyle w:val="Heading3"/>
      </w:pPr>
      <w:r>
        <w:t xml:space="preserve">Solicitud</w:t>
      </w:r>
    </w:p>
    <w:p>
      <w:pPr/>
      <w:r>
        <w:t xml:space="preserve">Solo cuatro campos son obligatorios; el resto tiene valor por defecto.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Obligatorio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Por defecto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Ejemplo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propertyPrice</w:t>
            </w:r>
          </w:p>
        </w:tc>
        <w:tc>
          <w:tcPr>
            <w:tcW w:w="1560" w:type="dxa"/>
          </w:tcPr>
          <w:p>
            <w:pPr/>
            <w:r>
              <w:t xml:space="preserve">número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Ninguno</w:t>
            </w:r>
          </w:p>
        </w:tc>
        <w:tc>
          <w:tcPr>
            <w:tcW w:w="1560" w:type="dxa"/>
          </w:tcPr>
          <w:p>
            <w:pPr/>
            <w:r>
              <w:t xml:space="preserve">Mayor que 0</w:t>
            </w:r>
          </w:p>
        </w:tc>
        <w:tc>
          <w:tcPr>
            <w:tcW w:w="1560" w:type="dxa"/>
          </w:tcPr>
          <w:p>
            <w:pPr/>
            <w:r>
              <w:t xml:space="preserve">280000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downPayment</w:t>
            </w:r>
          </w:p>
        </w:tc>
        <w:tc>
          <w:tcPr>
            <w:tcW w:w="1560" w:type="dxa"/>
          </w:tcPr>
          <w:p>
            <w:pPr/>
            <w:r>
              <w:t xml:space="preserve">número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Ninguno</w:t>
            </w:r>
          </w:p>
        </w:tc>
        <w:tc>
          <w:tcPr>
            <w:tcW w:w="1560" w:type="dxa"/>
          </w:tcPr>
          <w:p>
            <w:pPr/>
            <w:r>
              <w:t xml:space="preserve">No negativo, al menos 10% de </w:t>
            </w:r>
            <w:r>
              <w:rPr>
                <w:rStyle w:val="CodeChar"/>
              </w:rPr>
              <w:t xml:space="preserve">propertyPrice</w:t>
            </w:r>
            <w:r>
              <w:t xml:space="preserve"> y no mayor que </w:t>
            </w:r>
            <w:r>
              <w:rPr>
                <w:rStyle w:val="CodeChar"/>
              </w:rPr>
              <w:t xml:space="preserve">propertyPrice</w:t>
            </w:r>
          </w:p>
        </w:tc>
        <w:tc>
          <w:tcPr>
            <w:tcW w:w="1560" w:type="dxa"/>
          </w:tcPr>
          <w:p>
            <w:pPr/>
            <w:r>
              <w:t xml:space="preserve">42000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annualEffectiveRate</w:t>
            </w:r>
          </w:p>
        </w:tc>
        <w:tc>
          <w:tcPr>
            <w:tcW w:w="1560" w:type="dxa"/>
          </w:tcPr>
          <w:p>
            <w:pPr/>
            <w:r>
              <w:t xml:space="preserve">número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Ninguno</w:t>
            </w:r>
          </w:p>
        </w:tc>
        <w:tc>
          <w:tcPr>
            <w:tcW w:w="1560" w:type="dxa"/>
          </w:tcPr>
          <w:p>
            <w:pPr/>
            <w:r>
              <w:t xml:space="preserve">Fracción mayor que 0 y como máximo 1 (TEA)</w:t>
            </w:r>
          </w:p>
        </w:tc>
        <w:tc>
          <w:tcPr>
            <w:tcW w:w="1560" w:type="dxa"/>
          </w:tcPr>
          <w:p>
            <w:pPr/>
            <w:r>
              <w:t xml:space="preserve">0.085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termInMonths</w:t>
            </w:r>
          </w:p>
        </w:tc>
        <w:tc>
          <w:tcPr>
            <w:tcW w:w="1560" w:type="dxa"/>
          </w:tcPr>
          <w:p>
            <w:pPr/>
            <w:r>
              <w:t xml:space="preserve">entero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Ninguno</w:t>
            </w:r>
          </w:p>
        </w:tc>
        <w:tc>
          <w:tcPr>
            <w:tcW w:w="1560" w:type="dxa"/>
          </w:tcPr>
          <w:p>
            <w:pPr/>
            <w:r>
              <w:t xml:space="preserve">De 60 a 360</w:t>
            </w:r>
          </w:p>
        </w:tc>
        <w:tc>
          <w:tcPr>
            <w:tcW w:w="1560" w:type="dxa"/>
          </w:tcPr>
          <w:p>
            <w:pPr/>
            <w:r>
              <w:t xml:space="preserve">240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gracePeriodMonths</w:t>
            </w:r>
          </w:p>
        </w:tc>
        <w:tc>
          <w:tcPr>
            <w:tcW w:w="1560" w:type="dxa"/>
          </w:tcPr>
          <w:p>
            <w:pPr/>
            <w:r>
              <w:t xml:space="preserve">entero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De 0 a </w:t>
            </w:r>
            <w:r>
              <w:rPr>
                <w:rStyle w:val="CodeChar"/>
              </w:rPr>
              <w:t xml:space="preserve">termInMonths</w:t>
            </w:r>
            <w:r>
              <w:t xml:space="preserve"> menos 1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graceType</w:t>
            </w:r>
          </w:p>
        </w:tc>
        <w:tc>
          <w:tcPr>
            <w:tcW w:w="1560" w:type="dxa"/>
          </w:tcPr>
          <w:p>
            <w:pPr/>
            <w:r>
              <w:t xml:space="preserve">texto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none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none</w:t>
            </w:r>
            <w:r>
              <w:t xml:space="preserve">, </w:t>
            </w:r>
            <w:r>
              <w:rPr>
                <w:rStyle w:val="CodeChar"/>
              </w:rPr>
              <w:t xml:space="preserve">total</w:t>
            </w:r>
            <w:r>
              <w:t xml:space="preserve"> o </w:t>
            </w:r>
            <w:r>
              <w:rPr>
                <w:rStyle w:val="CodeChar"/>
              </w:rPr>
              <w:t xml:space="preserve">partial</w:t>
            </w:r>
            <w:r>
              <w:t xml:space="preserve">, sin distinguir mayúsculas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none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applyGoodPayerBonus</w:t>
            </w:r>
          </w:p>
        </w:tc>
        <w:tc>
          <w:tcPr>
            <w:tcW w:w="1560" w:type="dxa"/>
          </w:tcPr>
          <w:p>
            <w:pPr/>
            <w:r>
              <w:t xml:space="preserve">booleano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1560" w:type="dxa"/>
          </w:tcPr>
          <w:p>
            <w:pPr/>
            <w:r>
              <w:t xml:space="preserve">Ninguna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startDate</w:t>
            </w:r>
          </w:p>
        </w:tc>
        <w:tc>
          <w:tcPr>
            <w:tcW w:w="1560" w:type="dxa"/>
          </w:tcPr>
          <w:p>
            <w:pPr/>
            <w:r>
              <w:t xml:space="preserve">fecha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Hoy en Lima (UTC-5)</w:t>
            </w:r>
          </w:p>
        </w:tc>
        <w:tc>
          <w:tcPr>
            <w:tcW w:w="1560" w:type="dxa"/>
          </w:tcPr>
          <w:p>
            <w:pPr/>
            <w:r>
              <w:t xml:space="preserve">La primera cuota vence un mes después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2026-10-01</w:t>
            </w:r>
          </w:p>
        </w:tc>
      </w:tr>
    </w:tbl>
    <w:p>
      <w:pPr/>
      <w:r>
        <w:t xml:space="preserve">Hay tres reglas que cruzan campos. </w:t>
      </w:r>
      <w:r>
        <w:rPr>
          <w:rStyle w:val="CodeChar"/>
        </w:rPr>
        <w:t xml:space="preserve">graceType</w:t>
      </w:r>
      <w:r>
        <w:t xml:space="preserve"> debe ser </w:t>
      </w:r>
      <w:r>
        <w:rPr>
          <w:rStyle w:val="CodeChar"/>
        </w:rPr>
        <w:t xml:space="preserve">none</w:t>
      </w:r>
      <w:r>
        <w:t xml:space="preserve"> si y solo si </w:t>
      </w:r>
      <w:r>
        <w:rPr>
          <w:rStyle w:val="CodeChar"/>
        </w:rPr>
        <w:t xml:space="preserve">gracePeriodMonths</w:t>
      </w:r>
      <w:r>
        <w:t xml:space="preserve"> es 0. La cuota inicial más el bono no puede dejar el monto a financiar en cero o menos. Y el 10% mínimo se calcula en aritmética decimal para que 28,000 sobre 280,000 se acepte exactamente.</w:t>
      </w:r>
    </w:p>
    <w:p>
      <w:pPr>
        <w:pStyle w:val="Heading3"/>
      </w:pPr>
      <w:r>
        <w:t xml:space="preserve">Respuesta 200</w:t>
      </w:r>
    </w:p>
    <w:p>
      <w:pPr/>
      <w:r>
        <w:t xml:space="preserve">La respuesta trae los totales, los indicadores, el bono, los supuestos usados y una fila de cronograma por mes.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contiene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simulationId</w:t>
            </w:r>
          </w:p>
        </w:tc>
        <w:tc>
          <w:tcPr>
            <w:tcW w:w="3120" w:type="dxa"/>
          </w:tcPr>
          <w:p>
            <w:pPr/>
            <w:r>
              <w:t xml:space="preserve">uuid</w:t>
            </w:r>
          </w:p>
        </w:tc>
        <w:tc>
          <w:tcPr>
            <w:tcW w:w="3120" w:type="dxa"/>
          </w:tcPr>
          <w:p>
            <w:pPr/>
            <w:r>
              <w:t xml:space="preserve">Identificador con el que se guardó la simulación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financedAmount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propertyPrice</w:t>
            </w:r>
            <w:r>
              <w:t xml:space="preserve"> menos </w:t>
            </w:r>
            <w:r>
              <w:rPr>
                <w:rStyle w:val="CodeChar"/>
              </w:rPr>
              <w:t xml:space="preserve">downPayment</w:t>
            </w:r>
            <w:r>
              <w:t xml:space="preserve"> menos </w:t>
            </w:r>
            <w:r>
              <w:rPr>
                <w:rStyle w:val="CodeChar"/>
              </w:rPr>
              <w:t xml:space="preserve">benefit.appliedAmount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monthlyInstallment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Cuota regular (capital más interés), sin seguros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totalPaid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Suma del pago total de todas las filas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totalInterest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Suma de los intereses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additionalCosts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Seguros de todo el plazo más gastos administrativos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tcea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TIR anualizada del flujo real, seguros incluidos (Resolución SBS 8181-2012). Fracción de 6 decimales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irr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TIR anual del mismo flujo; en esta versión es igual a </w:t>
            </w:r>
            <w:r>
              <w:rPr>
                <w:rStyle w:val="CodeChar"/>
              </w:rPr>
              <w:t xml:space="preserve">tcea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npv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VAN desde el lado del prestamista, descontado a </w:t>
            </w:r>
            <w:r>
              <w:rPr>
                <w:rStyle w:val="CodeChar"/>
              </w:rPr>
              <w:t xml:space="preserve">assumptions.annualDiscountRate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benefit</w:t>
            </w:r>
          </w:p>
        </w:tc>
        <w:tc>
          <w:tcPr>
            <w:tcW w:w="3120" w:type="dxa"/>
          </w:tcPr>
          <w:p>
            <w:pPr/>
            <w:r>
              <w:t xml:space="preserve">objeto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eligible</w:t>
            </w:r>
            <w:r>
              <w:t xml:space="preserve"> y </w:t>
            </w:r>
            <w:r>
              <w:rPr>
                <w:rStyle w:val="CodeChar"/>
              </w:rPr>
              <w:t xml:space="preserve">appliedAmount</w:t>
            </w:r>
            <w:r>
              <w:t xml:space="preserve"> del Bono del Buen Pagador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assumptions</w:t>
            </w:r>
          </w:p>
        </w:tc>
        <w:tc>
          <w:tcPr>
            <w:tcW w:w="3120" w:type="dxa"/>
          </w:tcPr>
          <w:p>
            <w:pPr/>
            <w:r>
              <w:t xml:space="preserve">objeto</w:t>
            </w:r>
          </w:p>
        </w:tc>
        <w:tc>
          <w:tcPr>
            <w:tcW w:w="3120" w:type="dxa"/>
          </w:tcPr>
          <w:p>
            <w:pPr/>
            <w:r>
              <w:t xml:space="preserve">Seguros, gastos y tasa de descuento que usó el servidor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amortizationSchedule</w:t>
            </w:r>
          </w:p>
        </w:tc>
        <w:tc>
          <w:tcPr>
            <w:tcW w:w="3120" w:type="dxa"/>
          </w:tcPr>
          <w:p>
            <w:pPr/>
            <w:r>
              <w:t xml:space="preserve">arreglo</w:t>
            </w:r>
          </w:p>
        </w:tc>
        <w:tc>
          <w:tcPr>
            <w:tcW w:w="3120" w:type="dxa"/>
          </w:tcPr>
          <w:p>
            <w:pPr/>
            <w:r>
              <w:t xml:space="preserve">Una fila por mes, incluidos los meses de gracia</w:t>
            </w:r>
          </w:p>
        </w:tc>
      </w:tr>
    </w:tbl>
    <w:p>
      <w:pPr/>
      <w:r>
        <w:t xml:space="preserve">Cada fila del cronograma tiene estos campos.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contiene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period</w:t>
            </w:r>
          </w:p>
        </w:tc>
        <w:tc>
          <w:tcPr>
            <w:tcW w:w="3120" w:type="dxa"/>
          </w:tcPr>
          <w:p>
            <w:pPr/>
            <w:r>
              <w:t xml:space="preserve">entero</w:t>
            </w:r>
          </w:p>
        </w:tc>
        <w:tc>
          <w:tcPr>
            <w:tcW w:w="3120" w:type="dxa"/>
          </w:tcPr>
          <w:p>
            <w:pPr/>
            <w:r>
              <w:t xml:space="preserve">Número de cuota, desde 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paymentDate</w:t>
            </w:r>
          </w:p>
        </w:tc>
        <w:tc>
          <w:tcPr>
            <w:tcW w:w="3120" w:type="dxa"/>
          </w:tcPr>
          <w:p>
            <w:pPr/>
            <w:r>
              <w:t xml:space="preserve">fecha</w:t>
            </w:r>
          </w:p>
        </w:tc>
        <w:tc>
          <w:tcPr>
            <w:tcW w:w="3120" w:type="dxa"/>
          </w:tcPr>
          <w:p>
            <w:pPr/>
            <w:r>
              <w:t xml:space="preserve">Fecha de pago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openingBalance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Saldo al inicio del mes (US02). La primera fila abre con </w:t>
            </w:r>
            <w:r>
              <w:rPr>
                <w:rStyle w:val="CodeChar"/>
              </w:rPr>
              <w:t xml:space="preserve">financedAmount</w:t>
            </w:r>
            <w:r>
              <w:t xml:space="preserve">; las demás, con el saldo final de la anterior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installment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Capital más interés pagado en el mes, sin seguros. Es 0 en un mes de gracia total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interest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Interés del mes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amortization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Capital amortizado en el mes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remainingBalance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Saldo al final del mes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propertyInsurance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Seguro del inmueble del mes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creditLifeInsurance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t xml:space="preserve">Seguro de desgravamen del mes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totalPayment</w:t>
            </w:r>
          </w:p>
        </w:tc>
        <w:tc>
          <w:tcPr>
            <w:tcW w:w="3120" w:type="dxa"/>
          </w:tcPr>
          <w:p>
            <w:pPr/>
            <w:r>
              <w:t xml:space="preserve">número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installment</w:t>
            </w:r>
            <w:r>
              <w:t xml:space="preserve"> más los dos seguros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isGracePeriod</w:t>
            </w:r>
          </w:p>
        </w:tc>
        <w:tc>
          <w:tcPr>
            <w:tcW w:w="3120" w:type="dxa"/>
          </w:tcPr>
          <w:p>
            <w:pPr/>
            <w:r>
              <w:t xml:space="preserve">booleano</w:t>
            </w:r>
          </w:p>
        </w:tc>
        <w:tc>
          <w:tcPr>
            <w:tcW w:w="3120" w:type="dxa"/>
          </w:tcPr>
          <w:p>
            <w:pPr/>
            <w:r>
              <w:t xml:space="preserve">Verdadero en los meses de gracia</w:t>
            </w:r>
          </w:p>
        </w:tc>
      </w:tr>
    </w:tbl>
    <w:p>
      <w:pPr>
        <w:pStyle w:val="Heading3"/>
      </w:pPr>
      <w:r>
        <w:t xml:space="preserve">Bono del Buen Pagador (US05)</w:t>
      </w:r>
    </w:p>
    <w:p>
      <w:pPr/>
      <w:r>
        <w:t xml:space="preserve">El bono se evalúa en el servidor con una tabla de rangos de precio, y solo se descuenta si el comprador lo pidió y la vivienda está dentro de un rango.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Precio de la vivienda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Monto del bono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Hasta S/ 200,000</w:t>
            </w:r>
          </w:p>
        </w:tc>
        <w:tc>
          <w:tcPr>
            <w:tcW w:w="4680" w:type="dxa"/>
          </w:tcPr>
          <w:p>
            <w:pPr/>
            <w:r>
              <w:t xml:space="preserve">S/ 26,400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Hasta S/ 300,000</w:t>
            </w:r>
          </w:p>
        </w:tc>
        <w:tc>
          <w:tcPr>
            <w:tcW w:w="4680" w:type="dxa"/>
          </w:tcPr>
          <w:p>
            <w:pPr/>
            <w:r>
              <w:t xml:space="preserve">S/ 18,200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Hasta S/ 400,000</w:t>
            </w:r>
          </w:p>
        </w:tc>
        <w:tc>
          <w:tcPr>
            <w:tcW w:w="4680" w:type="dxa"/>
          </w:tcPr>
          <w:p>
            <w:pPr/>
            <w:r>
              <w:t xml:space="preserve">S/ 10,000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Más de S/ 400,000</w:t>
            </w:r>
          </w:p>
        </w:tc>
        <w:tc>
          <w:tcPr>
            <w:tcW w:w="4680" w:type="dxa"/>
          </w:tcPr>
          <w:p>
            <w:pPr/>
            <w:r>
              <w:t xml:space="preserve">Sin bono</w:t>
            </w:r>
          </w:p>
        </w:tc>
      </w:tr>
    </w:tbl>
    <w:p>
      <w:pPr/>
      <w:r>
        <w:t xml:space="preserve">Esta tabla es referencial: se copió del simulador del Landing Page, no es una tabla oficial del Fondo Mivivienda y debe pasar a parámetros administrables.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applyGoodPayerBonus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¿Vivienda en rango?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benefit.eligible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benefit.appliedAmount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financedAmount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Monto del tramo</w:t>
            </w:r>
          </w:p>
        </w:tc>
        <w:tc>
          <w:tcPr>
            <w:tcW w:w="1872" w:type="dxa"/>
          </w:tcPr>
          <w:p>
            <w:pPr/>
            <w:r>
              <w:t xml:space="preserve">Se reduce en ese monto (US05, escenario 1)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No cambia; la respuesta sigue siendo 200 (US05, escenario 2)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Sí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No cambia; permite avisar al comprador que califica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No cambia</w:t>
            </w:r>
          </w:p>
        </w:tc>
      </w:tr>
    </w:tbl>
    <w:p>
      <w:pPr>
        <w:pStyle w:val="Heading3"/>
      </w:pPr>
      <w:r>
        <w:t xml:space="preserve">Errores 400</w:t>
      </w:r>
    </w:p>
    <w:p>
      <w:pPr/>
      <w:r>
        <w:t xml:space="preserve">Cuando la solicitud es inválida, la respuesta es 400 con </w:t>
      </w:r>
      <w:r>
        <w:rPr>
          <w:rStyle w:val="CodeChar"/>
        </w:rPr>
        <w:t xml:space="preserve">application/problem+json</w:t>
      </w:r>
      <w:r>
        <w:t xml:space="preserve"> y lista todos los campos que fallan a la vez (TS06, escenarios 2 y 3). Además de lo que muestran los ejemplos, la respuesta real incluye </w:t>
      </w:r>
      <w:r>
        <w:rPr>
          <w:rStyle w:val="CodeChar"/>
        </w:rPr>
        <w:t xml:space="preserve">type</w:t>
      </w:r>
      <w:r>
        <w:t xml:space="preserve"> y </w:t>
      </w:r>
      <w:r>
        <w:rPr>
          <w:rStyle w:val="CodeChar"/>
        </w:rPr>
        <w:t xml:space="preserve">traceId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Clave en </w:t>
            </w:r>
            <w:r>
              <w:rPr>
                <w:rStyle w:val="CodeChar"/>
              </w:rPr>
              <w:t xml:space="preserve">errors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Mensaje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Campo obligatorio ausente</w:t>
            </w:r>
          </w:p>
        </w:tc>
        <w:tc>
          <w:tcPr>
            <w:tcW w:w="3120" w:type="dxa"/>
          </w:tcPr>
          <w:p>
            <w:pPr/>
            <w:r>
              <w:t xml:space="preserve">El nombre del campo</w:t>
            </w:r>
          </w:p>
        </w:tc>
        <w:tc>
          <w:tcPr>
            <w:tcW w:w="3120" w:type="dxa"/>
          </w:tcPr>
          <w:p>
            <w:pPr/>
            <w:r>
              <w:t xml:space="preserve">The propertyPrice field is required.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Precio no positivo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propertyPrice</w:t>
            </w:r>
          </w:p>
        </w:tc>
        <w:tc>
          <w:tcPr>
            <w:tcW w:w="3120" w:type="dxa"/>
          </w:tcPr>
          <w:p>
            <w:pPr/>
            <w:r>
              <w:t xml:space="preserve">The propertyPrice must be greater than 0.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Cuota inicial negativa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downPayment</w:t>
            </w:r>
          </w:p>
        </w:tc>
        <w:tc>
          <w:tcPr>
            <w:tcW w:w="3120" w:type="dxa"/>
          </w:tcPr>
          <w:p>
            <w:pPr/>
            <w:r>
              <w:t xml:space="preserve">The downPayment cannot be negative.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Cuota inicial mayor que el precio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downPayment</w:t>
            </w:r>
          </w:p>
        </w:tc>
        <w:tc>
          <w:tcPr>
            <w:tcW w:w="3120" w:type="dxa"/>
          </w:tcPr>
          <w:p>
            <w:pPr/>
            <w:r>
              <w:t xml:space="preserve">The downPayment cannot be greater than the propertyPrice.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Cuota inicial menor al 10%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downPayment</w:t>
            </w:r>
          </w:p>
        </w:tc>
        <w:tc>
          <w:tcPr>
            <w:tcW w:w="3120" w:type="dxa"/>
          </w:tcPr>
          <w:p>
            <w:pPr/>
            <w:r>
              <w:t xml:space="preserve">The down payment must be at least 10% of the property price.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Tasa fuera de rango (por ejemplo 8.5)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annualEffectiveRate</w:t>
            </w:r>
          </w:p>
        </w:tc>
        <w:tc>
          <w:tcPr>
            <w:tcW w:w="3120" w:type="dxa"/>
          </w:tcPr>
          <w:p>
            <w:pPr/>
            <w:r>
              <w:t xml:space="preserve">The annualEffectiveRate must be a fraction greater than 0 and at most 1 (0.085 means 8.5%).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Plazo fuera de rango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termInMonths</w:t>
            </w:r>
          </w:p>
        </w:tc>
        <w:tc>
          <w:tcPr>
            <w:tcW w:w="3120" w:type="dxa"/>
          </w:tcPr>
          <w:p>
            <w:pPr/>
            <w:r>
              <w:t xml:space="preserve">The termInMonths must be between 60 and 360.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Gracia negativa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gracePeriodMonths</w:t>
            </w:r>
          </w:p>
        </w:tc>
        <w:tc>
          <w:tcPr>
            <w:tcW w:w="3120" w:type="dxa"/>
          </w:tcPr>
          <w:p>
            <w:pPr/>
            <w:r>
              <w:t xml:space="preserve">The gracePeriodMonths cannot be negative.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Gracia igual o mayor que el plazo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gracePeriodMonths</w:t>
            </w:r>
          </w:p>
        </w:tc>
        <w:tc>
          <w:tcPr>
            <w:tcW w:w="3120" w:type="dxa"/>
          </w:tcPr>
          <w:p>
            <w:pPr/>
            <w:r>
              <w:t xml:space="preserve">The gracePeriodMonths must be lower than the termInMonths.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Tipo de gracia desconocido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graceType</w:t>
            </w:r>
          </w:p>
        </w:tc>
        <w:tc>
          <w:tcPr>
            <w:tcW w:w="3120" w:type="dxa"/>
          </w:tcPr>
          <w:p>
            <w:pPr/>
            <w:r>
              <w:t xml:space="preserve">The graceType must be one of: none, total, partial.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none</w:t>
            </w:r>
            <w:r>
              <w:t xml:space="preserve"> con meses de gracia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graceType</w:t>
            </w:r>
          </w:p>
        </w:tc>
        <w:tc>
          <w:tcPr>
            <w:tcW w:w="3120" w:type="dxa"/>
          </w:tcPr>
          <w:p>
            <w:pPr/>
            <w:r>
              <w:t xml:space="preserve">The graceType must be 'total' or 'partial' when gracePeriodMonths is greater than 0.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total</w:t>
            </w:r>
            <w:r>
              <w:t xml:space="preserve"> o </w:t>
            </w:r>
            <w:r>
              <w:rPr>
                <w:rStyle w:val="CodeChar"/>
              </w:rPr>
              <w:t xml:space="preserve">partial</w:t>
            </w:r>
            <w:r>
              <w:t xml:space="preserve"> sin meses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gracePeriodMonths</w:t>
            </w:r>
          </w:p>
        </w:tc>
        <w:tc>
          <w:tcPr>
            <w:tcW w:w="3120" w:type="dxa"/>
          </w:tcPr>
          <w:p>
            <w:pPr/>
            <w:r>
              <w:t xml:space="preserve">The gracePeriodMonths must be greater than 0 when graceType is 'total' or 'partial'.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Cuota inicial y bono no dejan nada que financiar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downPayment</w:t>
            </w:r>
          </w:p>
        </w:tc>
        <w:tc>
          <w:tcPr>
            <w:tcW w:w="3120" w:type="dxa"/>
          </w:tcPr>
          <w:p>
            <w:pPr/>
            <w:r>
              <w:t xml:space="preserve">The down payment and the bonus leave nothing to finance.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Tipo de dato incorrecto (por ejemplo texto en un número)</w:t>
            </w:r>
          </w:p>
        </w:tc>
        <w:tc>
          <w:tcPr>
            <w:tcW w:w="3120" w:type="dxa"/>
          </w:tcPr>
          <w:p>
            <w:pPr/>
            <w:r>
              <w:t xml:space="preserve">La propiedad</w:t>
            </w:r>
          </w:p>
        </w:tc>
        <w:tc>
          <w:tcPr>
            <w:tcW w:w="3120" w:type="dxa"/>
          </w:tcPr>
          <w:p>
            <w:pPr/>
            <w:r>
              <w:t xml:space="preserve">The {field} field has an invalid value.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JSON mal formado o cuerpo vacío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</w:t>
            </w:r>
          </w:p>
        </w:tc>
        <w:tc>
          <w:tcPr>
            <w:tcW w:w="3120" w:type="dxa"/>
          </w:tcPr>
          <w:p>
            <w:pPr/>
            <w:r>
              <w:t xml:space="preserve">The request body is not valid JSON. / The request body is required.</w:t>
            </w:r>
          </w:p>
        </w:tc>
      </w:tr>
    </w:tbl>
    <w:p>
      <w:pPr>
        <w:pStyle w:val="Heading3"/>
      </w:pPr>
      <w:r>
        <w:t xml:space="preserve">Ejemplo completo</w:t>
      </w:r>
    </w:p>
    <w:p>
      <w:pPr/>
      <w:r>
        <w:t xml:space="preserve">Solicitud de una vivienda de S/ 280,000 con 15% de cuota inicial, TEA de 8.5%, 20 años y el bono pedido.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"propertyPrice": 280000,</w:t>
        <w:br/>
        <w:t xml:space="preserve">  "downPayment": 42000,</w:t>
        <w:br/>
        <w:t xml:space="preserve">  "annualEffectiveRate": 0.085,</w:t>
        <w:br/>
        <w:t xml:space="preserve">  "termInMonths": 240,</w:t>
        <w:br/>
        <w:t xml:space="preserve">  "gracePeriodMonths": 0,</w:t>
        <w:br/>
        <w:t xml:space="preserve">  "graceType": "none",</w:t>
        <w:br/>
        <w:t xml:space="preserve">  "applyGoodPayerBonus": true,</w:t>
        <w:br/>
        <w:t xml:space="preserve">  "startDate": "2026-10-01"</w:t>
        <w:br/>
        <w:t xml:space="preserve">}</w:t>
      </w:r>
    </w:p>
    <w:p>
      <w:pPr/>
      <w:r>
        <w:t xml:space="preserve">Respuesta real del motor. El cronograma se acorta aquí a 3 de sus 240 filas; el identificador es ilustrativo.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"simulationId": "3f9b8c2e-6a1d-4c58-9e0f-7d2b5a1c4e90",</w:t>
        <w:br/>
        <w:t xml:space="preserve">  "financedAmount": 219800,</w:t>
        <w:br/>
        <w:t xml:space="preserve">  "monthlyInstallment": 1863.99,</w:t>
        <w:br/>
        <w:t xml:space="preserve">  "totalPaid": 447357.6,</w:t>
        <w:br/>
        <w:t xml:space="preserve">  "totalInterest": 227557.97,</w:t>
        <w:br/>
        <w:t xml:space="preserve">  "additionalCosts": 0,</w:t>
        <w:br/>
        <w:t xml:space="preserve">  "tcea": 0.085,</w:t>
        <w:br/>
        <w:t xml:space="preserve">  "irr": 0.085,</w:t>
        <w:br/>
        <w:t xml:space="preserve">  "npv": -20791.75,</w:t>
        <w:br/>
        <w:t xml:space="preserve">  "benefit": { "name": "Good Payer Bonus", "eligible": true, "appliedAmount": 18200 },</w:t>
        <w:br/>
        <w:t xml:space="preserve">  "assumptions": {</w:t>
        <w:br/>
        <w:t xml:space="preserve">    "monthlyPropertyInsurance": 0,</w:t>
        <w:br/>
        <w:t xml:space="preserve">    "monthlyCreditLifeInsurance": 0,</w:t>
        <w:br/>
        <w:t xml:space="preserve">    "administrativeExpenses": 0,</w:t>
        <w:br/>
        <w:t xml:space="preserve">    "annualDiscountRate": 0.1</w:t>
        <w:br/>
        <w:t xml:space="preserve">  },</w:t>
        <w:br/>
        <w:t xml:space="preserve">  "amortizationSchedule": [</w:t>
        <w:br/>
        <w:t xml:space="preserve">    { "period": 1, "paymentDate": "2026-11-01", "openingBalance": 219800, "installment": 1863.99, "interest": 1499.36, "amortization": 364.63, "remainingBalance": 219435.37, "propertyInsurance": 0, "creditLifeInsurance": 0, "totalPayment": 1863.99, "isGracePeriod": false },</w:t>
        <w:br/>
        <w:t xml:space="preserve">    { "period": 2, "paymentDate": "2026-12-01", "openingBalance": 219435.37, "installment": 1863.99, "interest": 1496.88, "amortization": 367.11, "remainingBalance": 219068.26, "propertyInsurance": 0, "creditLifeInsurance": 0, "totalPayment": 1863.99, "isGracePeriod": false },</w:t>
        <w:br/>
        <w:t xml:space="preserve">    { "period": 240, "paymentDate": "2046-10-01", "openingBalance": 1851.36, "installment": 1863.99, "interest": 12.63, "amortization": 1851.36, "remainingBalance": 0, "propertyInsurance": 0, "creditLifeInsurance": 0, "totalPayment": 1863.99, "isGracePeriod": false }</w:t>
        <w:br/>
        <w:t xml:space="preserve">  ]</w:t>
        <w:br/>
        <w:t xml:space="preserve">}</w:t>
      </w:r>
    </w:p>
    <w:p>
      <w:pPr/>
      <w:r>
        <w:t xml:space="preserve">Error 400 cuando la cuota inicial es menor al 10% (la respuesta real añade </w:t>
      </w:r>
      <w:r>
        <w:rPr>
          <w:rStyle w:val="CodeChar"/>
        </w:rPr>
        <w:t xml:space="preserve">type</w:t>
      </w:r>
      <w:r>
        <w:t xml:space="preserve"> y </w:t>
      </w:r>
      <w:r>
        <w:rPr>
          <w:rStyle w:val="CodeChar"/>
        </w:rPr>
        <w:t xml:space="preserve">traceId</w:t>
      </w:r>
      <w:r>
        <w:t xml:space="preserve">).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"title": "One or more validation errors occurred.",</w:t>
        <w:br/>
        <w:t xml:space="preserve">  "status": 400,</w:t>
        <w:br/>
        <w:t xml:space="preserve">  "errors": {</w:t>
        <w:br/>
        <w:t xml:space="preserve">    "downPayment": ["The down payment must be at least 10% of the property price."]</w:t>
        <w:br/>
        <w:t xml:space="preserve">  }</w:t>
        <w:br/>
        <w:t xml:space="preserve">}</w:t>
      </w:r>
    </w:p>
    <w:p>
      <w:pPr>
        <w:pStyle w:val="Heading2"/>
      </w:pPr>
      <w:r>
        <w:t xml:space="preserve">Autenticación y health: borrador para Carlos</w:t>
      </w:r>
    </w:p>
    <w:p>
      <w:pPr/>
      <w:r>
        <w:t xml:space="preserve">Los endpoints de registro, login y health son un borrador escrito para que la web y el móvil puedan trabajar contra algo concreto; Carlos (TS07) y Gustavo (</w:t>
      </w:r>
      <w:r>
        <w:rPr>
          <w:rStyle w:val="CodeChar"/>
        </w:rPr>
        <w:t xml:space="preserve">/health</w:t>
      </w:r>
      <w:r>
        <w:t xml:space="preserve">) deben confirmarlos o corregirlos. Cada punto sale de los criterios de aceptación del Capítulo 3 salvo los marcados como supuesto.</w:t>
      </w:r>
    </w:p>
    <w:p>
      <w:pPr>
        <w:pStyle w:val="Heading3"/>
      </w:pPr>
      <w:r>
        <w:t xml:space="preserve">POST /api/auth/register (US13, TS07)</w:t>
      </w:r>
    </w:p>
    <w:p>
      <w:pPr/>
      <w:r>
        <w:t xml:space="preserve">Crea la cuenta de un comprador y abre su sesión en el mismo paso.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Regla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fullName</w:t>
            </w:r>
          </w:p>
        </w:tc>
        <w:tc>
          <w:tcPr>
            <w:tcW w:w="3120" w:type="dxa"/>
          </w:tcPr>
          <w:p>
            <w:pPr/>
            <w:r>
              <w:t xml:space="preserve">texto</w:t>
            </w:r>
          </w:p>
        </w:tc>
        <w:tc>
          <w:tcPr>
            <w:tcW w:w="3120" w:type="dxa"/>
          </w:tcPr>
          <w:p>
            <w:pPr/>
            <w:r>
              <w:t xml:space="preserve">Obligatorio, de 1 a 150 caracteres (supuesto de longitud)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correo</w:t>
            </w:r>
          </w:p>
        </w:tc>
        <w:tc>
          <w:tcPr>
            <w:tcW w:w="3120" w:type="dxa"/>
          </w:tcPr>
          <w:p>
            <w:pPr/>
            <w:r>
              <w:t xml:space="preserve">Obligatorio y único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phone</w:t>
            </w:r>
          </w:p>
        </w:tc>
        <w:tc>
          <w:tcPr>
            <w:tcW w:w="3120" w:type="dxa"/>
          </w:tcPr>
          <w:p>
            <w:pPr/>
            <w:r>
              <w:t xml:space="preserve">texto</w:t>
            </w:r>
          </w:p>
        </w:tc>
        <w:tc>
          <w:tcPr>
            <w:tcW w:w="3120" w:type="dxa"/>
          </w:tcPr>
          <w:p>
            <w:pPr/>
            <w:r>
              <w:t xml:space="preserve">Obligatorio, de 1 a 20 caracteres (US13: celular)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password</w:t>
            </w:r>
          </w:p>
        </w:tc>
        <w:tc>
          <w:tcPr>
            <w:tcW w:w="3120" w:type="dxa"/>
          </w:tcPr>
          <w:p>
            <w:pPr/>
            <w:r>
              <w:t xml:space="preserve">texto</w:t>
            </w:r>
          </w:p>
        </w:tc>
        <w:tc>
          <w:tcPr>
            <w:tcW w:w="3120" w:type="dxa"/>
          </w:tcPr>
          <w:p>
            <w:pPr/>
            <w:r>
              <w:t xml:space="preserve">Obligatorio, mínimo 8 caracteres (supuesto, copiado de AutoFinance Pro)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acceptedTerms</w:t>
            </w:r>
          </w:p>
        </w:tc>
        <w:tc>
          <w:tcPr>
            <w:tcW w:w="3120" w:type="dxa"/>
          </w:tcPr>
          <w:p>
            <w:pPr/>
            <w:r>
              <w:t xml:space="preserve">booleano</w:t>
            </w:r>
          </w:p>
        </w:tc>
        <w:tc>
          <w:tcPr>
            <w:tcW w:w="3120" w:type="dxa"/>
          </w:tcPr>
          <w:p>
            <w:pPr/>
            <w:r>
              <w:t xml:space="preserve">Debe ser </w:t>
            </w:r>
            <w:r>
              <w:rPr>
                <w:rStyle w:val="CodeChar"/>
              </w:rPr>
              <w:t xml:space="preserve">true</w:t>
            </w:r>
            <w:r>
              <w:t xml:space="preserve">: términos y condiciones (US13, escenario 3)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acceptedDataProcessing</w:t>
            </w:r>
          </w:p>
        </w:tc>
        <w:tc>
          <w:tcPr>
            <w:tcW w:w="3120" w:type="dxa"/>
          </w:tcPr>
          <w:p>
            <w:pPr/>
            <w:r>
              <w:t xml:space="preserve">booleano</w:t>
            </w:r>
          </w:p>
        </w:tc>
        <w:tc>
          <w:tcPr>
            <w:tcW w:w="3120" w:type="dxa"/>
          </w:tcPr>
          <w:p>
            <w:pPr/>
            <w:r>
              <w:t xml:space="preserve">Debe ser </w:t>
            </w:r>
            <w:r>
              <w:rPr>
                <w:rStyle w:val="CodeChar"/>
              </w:rPr>
              <w:t xml:space="preserve">true</w:t>
            </w:r>
            <w:r>
              <w:t xml:space="preserve">: autorización de datos personales, Ley 29733 (US13)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Cuándo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Cuerpo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</w:t>
            </w:r>
          </w:p>
        </w:tc>
        <w:tc>
          <w:tcPr>
            <w:tcW w:w="3120" w:type="dxa"/>
          </w:tcPr>
          <w:p>
            <w:pPr/>
            <w:r>
              <w:t xml:space="preserve">Cuenta creada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accessToken</w:t>
            </w:r>
            <w:r>
              <w:t xml:space="preserve">, </w:t>
            </w:r>
            <w:r>
              <w:rPr>
                <w:rStyle w:val="CodeChar"/>
              </w:rPr>
              <w:t xml:space="preserve">tokenType</w:t>
            </w:r>
            <w:r>
              <w:t xml:space="preserve"> (</w:t>
            </w:r>
            <w:r>
              <w:rPr>
                <w:rStyle w:val="CodeChar"/>
              </w:rPr>
              <w:t xml:space="preserve">Bearer</w:t>
            </w:r>
            <w:r>
              <w:t xml:space="preserve">), </w:t>
            </w:r>
            <w:r>
              <w:rPr>
                <w:rStyle w:val="CodeChar"/>
              </w:rPr>
              <w:t xml:space="preserve">expiresIn</w:t>
            </w:r>
            <w:r>
              <w:t xml:space="preserve"> (segundos) y </w:t>
            </w:r>
            <w:r>
              <w:rPr>
                <w:rStyle w:val="CodeChar"/>
              </w:rPr>
              <w:t xml:space="preserve">user</w:t>
            </w:r>
            <w:r>
              <w:t xml:space="preserve"> (</w:t>
            </w:r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fullName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role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400</w:t>
            </w:r>
          </w:p>
        </w:tc>
        <w:tc>
          <w:tcPr>
            <w:tcW w:w="3120" w:type="dxa"/>
          </w:tcPr>
          <w:p>
            <w:pPr/>
            <w:r>
              <w:t xml:space="preserve">Datos inválidos, o alguna aceptación en </w:t>
            </w:r>
            <w:r>
              <w:rPr>
                <w:rStyle w:val="CodeChar"/>
              </w:rPr>
              <w:t xml:space="preserve">false</w:t>
            </w:r>
            <w:r>
              <w:t xml:space="preserve"> (la cuenta no se crea)</w:t>
            </w:r>
          </w:p>
        </w:tc>
        <w:tc>
          <w:tcPr>
            <w:tcW w:w="3120" w:type="dxa"/>
          </w:tcPr>
          <w:p>
            <w:pPr/>
            <w:r>
              <w:t xml:space="preserve">Problema de validación con </w:t>
            </w:r>
            <w:r>
              <w:rPr>
                <w:rStyle w:val="CodeChar"/>
              </w:rPr>
              <w:t xml:space="preserve">errors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t xml:space="preserve">El correo ya tiene una cuenta (TS07, escenario 2)</w:t>
            </w:r>
          </w:p>
        </w:tc>
        <w:tc>
          <w:tcPr>
            <w:tcW w:w="3120" w:type="dxa"/>
          </w:tcPr>
          <w:p>
            <w:pPr/>
            <w:r>
              <w:t xml:space="preserve">Problema con </w:t>
            </w:r>
            <w:r>
              <w:rPr>
                <w:rStyle w:val="CodeChar"/>
              </w:rPr>
              <w:t xml:space="preserve">title: Email already registered.</w:t>
            </w:r>
          </w:p>
        </w:tc>
      </w:tr>
    </w:tbl>
    <w:p>
      <w:pPr>
        <w:pStyle w:val="Heading3"/>
      </w:pPr>
      <w:r>
        <w:t xml:space="preserve">POST /api/auth/login (US26, US22, TS07)</w:t>
      </w:r>
    </w:p>
    <w:p>
      <w:pPr/>
      <w:r>
        <w:t xml:space="preserve">Funciona para compradores y asesores; el rol viaja en el token y en </w:t>
      </w:r>
      <w:r>
        <w:rPr>
          <w:rStyle w:val="CodeChar"/>
        </w:rPr>
        <w:t xml:space="preserve">user.role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Cuándo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Cuerpo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</w:t>
            </w:r>
          </w:p>
        </w:tc>
        <w:tc>
          <w:tcPr>
            <w:tcW w:w="3120" w:type="dxa"/>
          </w:tcPr>
          <w:p>
            <w:pPr/>
            <w:r>
              <w:t xml:space="preserve">Credenciales válidas</w:t>
            </w:r>
          </w:p>
        </w:tc>
        <w:tc>
          <w:tcPr>
            <w:tcW w:w="3120" w:type="dxa"/>
          </w:tcPr>
          <w:p>
            <w:pPr/>
            <w:r>
              <w:t xml:space="preserve">Igual que el 201 del registro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400</w:t>
            </w:r>
          </w:p>
        </w:tc>
        <w:tc>
          <w:tcPr>
            <w:tcW w:w="3120" w:type="dxa"/>
          </w:tcPr>
          <w:p>
            <w:pPr/>
            <w:r>
              <w:t xml:space="preserve">Falta </w:t>
            </w:r>
            <w:r>
              <w:rPr>
                <w:rStyle w:val="CodeChar"/>
              </w:rPr>
              <w:t xml:space="preserve">email</w:t>
            </w:r>
            <w:r>
              <w:t xml:space="preserve"> o </w:t>
            </w:r>
            <w:r>
              <w:rPr>
                <w:rStyle w:val="CodeChar"/>
              </w:rPr>
              <w:t xml:space="preserve">password</w:t>
            </w:r>
            <w:r>
              <w:t xml:space="preserve">, o tienen formato inválido</w:t>
            </w:r>
          </w:p>
        </w:tc>
        <w:tc>
          <w:tcPr>
            <w:tcW w:w="3120" w:type="dxa"/>
          </w:tcPr>
          <w:p>
            <w:pPr/>
            <w:r>
              <w:t xml:space="preserve">Problema de validación con </w:t>
            </w:r>
            <w:r>
              <w:rPr>
                <w:rStyle w:val="CodeChar"/>
              </w:rPr>
              <w:t xml:space="preserve">errors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401</w:t>
            </w:r>
          </w:p>
        </w:tc>
        <w:tc>
          <w:tcPr>
            <w:tcW w:w="3120" w:type="dxa"/>
          </w:tcPr>
          <w:p>
            <w:pPr/>
            <w:r>
              <w:t xml:space="preserve">Credenciales inválidas</w:t>
            </w:r>
          </w:p>
        </w:tc>
        <w:tc>
          <w:tcPr>
            <w:tcW w:w="3120" w:type="dxa"/>
          </w:tcPr>
          <w:p>
            <w:pPr/>
            <w:r>
              <w:t xml:space="preserve">Problema con </w:t>
            </w:r>
            <w:r>
              <w:rPr>
                <w:rStyle w:val="CodeChar"/>
              </w:rPr>
              <w:t xml:space="preserve">title: Invalid credentials.</w:t>
            </w:r>
            <w:r>
              <w:t xml:space="preserve">; nunca indica cuál de los dos datos es incorrecto (US26 y US22, escenario 2)</w:t>
            </w:r>
          </w:p>
        </w:tc>
      </w:tr>
    </w:tbl>
    <w:p>
      <w:pPr>
        <w:pStyle w:val="Heading3"/>
      </w:pPr>
      <w:r>
        <w:t xml:space="preserve">GET /health</w:t>
      </w:r>
    </w:p>
    <w:p>
      <w:pPr/>
      <w:r>
        <w:t xml:space="preserve">Responde 200 con </w:t>
      </w:r>
      <w:r>
        <w:rPr>
          <w:rStyle w:val="CodeChar"/>
        </w:rPr>
        <w:t xml:space="preserve">{ "status": "Healthy" }</w:t>
      </w:r>
      <w:r>
        <w:t xml:space="preserve">. El formato lo debe confirmar Gustavo: por defecto, las comprobaciones de salud de ASP.NET Core devuelven texto plano </w:t>
      </w:r>
      <w:r>
        <w:rPr>
          <w:rStyle w:val="CodeChar"/>
        </w:rPr>
        <w:t xml:space="preserve">Healthy</w:t>
      </w:r>
      <w:r>
        <w:t xml:space="preserve">, no JSON.</w:t>
      </w:r>
    </w:p>
    <w:p>
      <w:pPr>
        <w:pStyle w:val="Heading3"/>
      </w:pPr>
      <w:r>
        <w:t xml:space="preserve">Lo que Carlos debe confirmar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Claims del token.</w:t>
      </w:r>
      <w:r>
        <w:t xml:space="preserve"> Identificador del usuario (</w:t>
      </w:r>
      <w:r>
        <w:rPr>
          <w:rStyle w:val="CodeChar"/>
        </w:rPr>
        <w:t xml:space="preserve">sub</w:t>
      </w:r>
      <w:r>
        <w:t xml:space="preserve">), rol y, para el asesor, el identificador de su inmobiliaria. Sin ese último dato no se puede cumplir que el asesor vea solo los leads de su inmobiliaria (US22, TS08).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Duración del token.</w:t>
      </w:r>
      <w:r>
        <w:t xml:space="preserve"> El ejemplo usa 28,800 segundos (8 horas), valor copiado de AutoFinance Pro; no figura en el informe.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Roles.</w:t>
      </w:r>
      <w:r>
        <w:t xml:space="preserve"> El contrato solo conoce </w:t>
      </w:r>
      <w:r>
        <w:rPr>
          <w:rStyle w:val="CodeChar"/>
        </w:rPr>
        <w:t xml:space="preserve">buyer</w:t>
      </w:r>
      <w:r>
        <w:t xml:space="preserve"> y </w:t>
      </w:r>
      <w:r>
        <w:rPr>
          <w:rStyle w:val="CodeChar"/>
        </w:rPr>
        <w:t xml:space="preserve">advisor</w:t>
      </w:r>
      <w:r>
        <w:t xml:space="preserve">. La tabla de la sección 5.2.6 dice que el login también autentica al Administrador; esa función queda fuera de la entrega actual (US09 a US12).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Registro de asesores e inmobiliarias.</w:t>
      </w:r>
      <w:r>
        <w:t xml:space="preserve"> No está en el contrato: el informe no tiene historia formal para ello en esta entrega (sección 5.2.3).</w:t>
      </w:r>
    </w:p>
    <w:p>
      <w:pPr>
        <w:pStyle w:val="Heading2"/>
      </w:pPr>
      <w:r>
        <w:t xml:space="preserve">Trazabilidad: requisitos contra el contrato</w:t>
      </w:r>
    </w:p>
    <w:p>
      <w:pPr/>
      <w:r>
        <w:t xml:space="preserve">El contrato cubre los criterios de aceptación de TS06, US01, US02 y US05 en el endpoint de simulación; las brechas que quedan son los seguros por defecto, el idioma de los mensajes y la identificación de la inmobiliaria en el token. La columna de cobertura es un dropdown: Carlos puede cambiarla al revisar. En la tabla, "e1" significa escenario 1 del criterio de aceptación del Capítulo 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exige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Cómo lo cubre el contrato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Cobertura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TS06 e1</w:t>
            </w:r>
          </w:p>
        </w:tc>
        <w:tc>
          <w:tcPr>
            <w:tcW w:w="2340" w:type="dxa"/>
          </w:tcPr>
          <w:p>
            <w:pPr/>
            <w:r>
              <w:t xml:space="preserve">200 con cuota, TCEA, VAN, TIR y cronograma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monthlyInstallment</w:t>
            </w:r>
            <w:r>
              <w:t xml:space="preserve">, </w:t>
            </w:r>
            <w:r>
              <w:rPr>
                <w:rStyle w:val="CodeChar"/>
              </w:rPr>
              <w:t xml:space="preserve">tcea</w:t>
            </w:r>
            <w:r>
              <w:t xml:space="preserve">, </w:t>
            </w:r>
            <w:r>
              <w:rPr>
                <w:rStyle w:val="CodeChar"/>
              </w:rPr>
              <w:t xml:space="preserve">npv</w:t>
            </w:r>
            <w:r>
              <w:t xml:space="preserve">, </w:t>
            </w:r>
            <w:r>
              <w:rPr>
                <w:rStyle w:val="CodeChar"/>
              </w:rPr>
              <w:t xml:space="preserve">irr</w:t>
            </w:r>
            <w:r>
              <w:t xml:space="preserve">, </w:t>
            </w:r>
            <w:r>
              <w:rPr>
                <w:rStyle w:val="CodeChar"/>
              </w:rPr>
              <w:t xml:space="preserve">amortizationSchedule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TS06 e2, US01 e2</w:t>
            </w:r>
          </w:p>
        </w:tc>
        <w:tc>
          <w:tcPr>
            <w:tcW w:w="2340" w:type="dxa"/>
          </w:tcPr>
          <w:p>
            <w:pPr/>
            <w:r>
              <w:t xml:space="preserve">Cuota inicial menor al 10%: 400 con mensaje, informando el mínimo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errors.downPayment</w:t>
            </w:r>
            <w:r>
              <w:t xml:space="preserve"> con el mínimo del 10%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TS06 e3</w:t>
            </w:r>
          </w:p>
        </w:tc>
        <w:tc>
          <w:tcPr>
            <w:tcW w:w="2340" w:type="dxa"/>
          </w:tcPr>
          <w:p>
            <w:pPr/>
            <w:r>
              <w:t xml:space="preserve">Campos obligatorios faltantes: 400 con la lista de campos</w:t>
            </w:r>
          </w:p>
        </w:tc>
        <w:tc>
          <w:tcPr>
            <w:tcW w:w="2340" w:type="dxa"/>
          </w:tcPr>
          <w:p>
            <w:pPr/>
            <w:r>
              <w:t xml:space="preserve">Una clave por campo en </w:t>
            </w:r>
            <w:r>
              <w:rPr>
                <w:rStyle w:val="CodeChar"/>
              </w:rPr>
              <w:t xml:space="preserve">errors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US01 e1</w:t>
            </w:r>
          </w:p>
        </w:tc>
        <w:tc>
          <w:tcPr>
            <w:tcW w:w="2340" w:type="dxa"/>
          </w:tcPr>
          <w:p>
            <w:pPr/>
            <w:r>
              <w:t xml:space="preserve">Cronograma por el método francés y cuota mensual</w:t>
            </w:r>
          </w:p>
        </w:tc>
        <w:tc>
          <w:tcPr>
            <w:tcW w:w="2340" w:type="dxa"/>
          </w:tcPr>
          <w:p>
            <w:pPr/>
            <w:r>
              <w:t xml:space="preserve">Igual que TS06 e1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US01 e3</w:t>
            </w:r>
          </w:p>
        </w:tc>
        <w:tc>
          <w:tcPr>
            <w:tcW w:w="2340" w:type="dxa"/>
          </w:tcPr>
          <w:p>
            <w:pPr/>
            <w:r>
              <w:t xml:space="preserve">Simular sin cuenta y sin pedir datos personales</w:t>
            </w:r>
          </w:p>
        </w:tc>
        <w:tc>
          <w:tcPr>
            <w:tcW w:w="2340" w:type="dxa"/>
          </w:tcPr>
          <w:p>
            <w:pPr/>
            <w:r>
              <w:t xml:space="preserve">Endpoint público; ningún campo personal en la solicitud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US02 e1</w:t>
            </w:r>
          </w:p>
        </w:tc>
        <w:tc>
          <w:tcPr>
            <w:tcW w:w="2340" w:type="dxa"/>
          </w:tcPr>
          <w:p>
            <w:pPr/>
            <w:r>
              <w:t xml:space="preserve">Por cada mes: saldo inicial, amortización, interés y saldo final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openingBalance</w:t>
            </w:r>
            <w:r>
              <w:t xml:space="preserve">, </w:t>
            </w:r>
            <w:r>
              <w:rPr>
                <w:rStyle w:val="CodeChar"/>
              </w:rPr>
              <w:t xml:space="preserve">amortization</w:t>
            </w:r>
            <w:r>
              <w:t xml:space="preserve">, </w:t>
            </w:r>
            <w:r>
              <w:rPr>
                <w:rStyle w:val="CodeChar"/>
              </w:rPr>
              <w:t xml:space="preserve">interest</w:t>
            </w:r>
            <w:r>
              <w:t xml:space="preserve">, </w:t>
            </w:r>
            <w:r>
              <w:rPr>
                <w:rStyle w:val="CodeChar"/>
              </w:rPr>
              <w:t xml:space="preserve">remainingBalance</w:t>
            </w:r>
            <w:r>
              <w:t xml:space="preserve">. El saldo inicial se añadió en esta revisión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US04 e1</w:t>
            </w:r>
          </w:p>
        </w:tc>
        <w:tc>
          <w:tcPr>
            <w:tcW w:w="2340" w:type="dxa"/>
          </w:tcPr>
          <w:p>
            <w:pPr/>
            <w:r>
              <w:t xml:space="preserve">TCEA con desgravamen y seguros estimados, más VAN y TIR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tcea</w:t>
            </w:r>
            <w:r>
              <w:t xml:space="preserve"> incluye los seguros del servidor, que hoy valen 0 hasta definirlos (pregunta 3)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US05 e1</w:t>
            </w:r>
          </w:p>
        </w:tc>
        <w:tc>
          <w:tcPr>
            <w:tcW w:w="2340" w:type="dxa"/>
          </w:tcPr>
          <w:p>
            <w:pPr/>
            <w:r>
              <w:t xml:space="preserve">El bono se descuenta del monto a financiar y se recalcula la cuota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benefit.appliedAmount</w:t>
            </w:r>
            <w:r>
              <w:t xml:space="preserve">, </w:t>
            </w:r>
            <w:r>
              <w:rPr>
                <w:rStyle w:val="CodeChar"/>
              </w:rPr>
              <w:t xml:space="preserve">financedAmount</w:t>
            </w:r>
            <w:r>
              <w:t xml:space="preserve">, </w:t>
            </w:r>
            <w:r>
              <w:rPr>
                <w:rStyle w:val="CodeChar"/>
              </w:rPr>
              <w:t xml:space="preserve">monthlyInstallment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US05 e2</w:t>
            </w:r>
          </w:p>
        </w:tc>
        <w:tc>
          <w:tcPr>
            <w:tcW w:w="2340" w:type="dxa"/>
          </w:tcPr>
          <w:p>
            <w:pPr/>
            <w:r>
              <w:t xml:space="preserve">Vivienda fuera de rango: avisa que no califica y no cambia el monto</w:t>
            </w:r>
          </w:p>
        </w:tc>
        <w:tc>
          <w:tcPr>
            <w:tcW w:w="2340" w:type="dxa"/>
          </w:tcPr>
          <w:p>
            <w:pPr/>
            <w:r>
              <w:t xml:space="preserve">200 con </w:t>
            </w:r>
            <w:r>
              <w:rPr>
                <w:rStyle w:val="CodeChar"/>
              </w:rPr>
              <w:t xml:space="preserve">benefit.eligible: false</w:t>
            </w:r>
            <w:r>
              <w:t xml:space="preserve"> y </w:t>
            </w:r>
            <w:r>
              <w:rPr>
                <w:rStyle w:val="CodeChar"/>
              </w:rPr>
              <w:t xml:space="preserve">appliedAmount: 0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US13 e1 a e3, TS07 e1 y e2</w:t>
            </w:r>
          </w:p>
        </w:tc>
        <w:tc>
          <w:tcPr>
            <w:tcW w:w="2340" w:type="dxa"/>
          </w:tcPr>
          <w:p>
            <w:pPr/>
            <w:r>
              <w:t xml:space="preserve">Registro con nombre, correo, celular, contraseña y aceptaciones; emite JWT; correo duplicado se rechaza; sin términos no se crea la cuenta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/api/auth/register</w:t>
            </w:r>
            <w:r>
              <w:t xml:space="preserve">: 201 con token y usuario, 409, 400</w:t>
            </w:r>
          </w:p>
        </w:tc>
        <w:tc>
          <w:tcPr>
            <w:tcW w:w="2340" w:type="dxa"/>
          </w:tcPr>
          <w:p>
            <w:pPr/>
            <w:r>
              <w:t xml:space="preserve">Cubierto en el borrador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TS07 e3 y e4, US26 e1 y e2</w:t>
            </w:r>
          </w:p>
        </w:tc>
        <w:tc>
          <w:tcPr>
            <w:tcW w:w="2340" w:type="dxa"/>
          </w:tcPr>
          <w:p>
            <w:pPr/>
            <w:r>
              <w:t xml:space="preserve">Login con JWT; credenciales inválidas se rechazan sin indicar cuál dato falla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/api/auth/login</w:t>
            </w:r>
            <w:r>
              <w:t xml:space="preserve">: 200 y 401 genérico</w:t>
            </w:r>
          </w:p>
        </w:tc>
        <w:tc>
          <w:tcPr>
            <w:tcW w:w="2340" w:type="dxa"/>
          </w:tcPr>
          <w:p>
            <w:pPr/>
            <w:r>
              <w:t xml:space="preserve">Cubierto en el borrador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US22 e1</w:t>
            </w:r>
          </w:p>
        </w:tc>
        <w:tc>
          <w:tcPr>
            <w:tcW w:w="2340" w:type="dxa"/>
          </w:tcPr>
          <w:p>
            <w:pPr/>
            <w:r>
              <w:t xml:space="preserve">El asesor accede solo a los leads de su inmobiliaria</w:t>
            </w:r>
          </w:p>
        </w:tc>
        <w:tc>
          <w:tcPr>
            <w:tcW w:w="2340" w:type="dxa"/>
          </w:tcPr>
          <w:p>
            <w:pPr/>
            <w:r>
              <w:t xml:space="preserve">El token debe llevar la inmobiliaria; no es un campo del contrato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Cap. 4.4.1</w:t>
            </w:r>
          </w:p>
        </w:tc>
        <w:tc>
          <w:tcPr>
            <w:tcW w:w="2340" w:type="dxa"/>
          </w:tcPr>
          <w:p>
            <w:pPr/>
            <w:r>
              <w:t xml:space="preserve">Pantalla de resultados: cuota, TCEA, subsidio, desglose en capital, interés y seguros, y cronograma inicial</w:t>
            </w:r>
          </w:p>
        </w:tc>
        <w:tc>
          <w:tcPr>
            <w:tcW w:w="2340" w:type="dxa"/>
          </w:tcPr>
          <w:p>
            <w:pPr/>
            <w:r>
              <w:t xml:space="preserve">Primera fila del cronograma y </w:t>
            </w:r>
            <w:r>
              <w:rPr>
                <w:rStyle w:val="CodeChar"/>
              </w:rPr>
              <w:t xml:space="preserve">benefit</w:t>
            </w:r>
          </w:p>
        </w:tc>
        <w:tc>
          <w:tcPr>
            <w:tcW w:w="2340" w:type="dxa"/>
          </w:tcPr>
          <w:p>
            <w:pPr/>
            <w:r>
              <w:t xml:space="preserve">Cubierto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Cap. 4.8.3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SimulationService</w:t>
            </w:r>
            <w:r>
              <w:t xml:space="preserve"> valida, calcula con los motores y persiste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simulationId</w:t>
            </w:r>
            <w:r>
              <w:t xml:space="preserve"> y la interfaz </w:t>
            </w:r>
            <w:r>
              <w:rPr>
                <w:rStyle w:val="CodeChar"/>
              </w:rPr>
              <w:t xml:space="preserve">ISimulationRepository</w:t>
            </w:r>
            <w:r>
              <w:t xml:space="preserve">; la persistencia real es de Carlos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Cap. 4.2.1 y 4.9</w:t>
            </w:r>
          </w:p>
        </w:tc>
        <w:tc>
          <w:tcPr>
            <w:tcW w:w="2340" w:type="dxa"/>
          </w:tcPr>
          <w:p>
            <w:pPr/>
            <w:r>
              <w:t xml:space="preserve">Tasa TEA o TNA y tipo de tasa</w:t>
            </w:r>
          </w:p>
        </w:tc>
        <w:tc>
          <w:tcPr>
            <w:tcW w:w="2340" w:type="dxa"/>
          </w:tcPr>
          <w:p>
            <w:pPr/>
            <w:r>
              <w:t xml:space="preserve">Solo TEA (pregunta 9)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Cap. 5 (i18n)</w:t>
            </w:r>
          </w:p>
        </w:tc>
        <w:tc>
          <w:tcPr>
            <w:tcW w:w="2340" w:type="dxa"/>
          </w:tcPr>
          <w:p>
            <w:pPr/>
            <w:r>
              <w:t xml:space="preserve">API con i18n en es_419 y en_US</w:t>
            </w:r>
          </w:p>
        </w:tc>
        <w:tc>
          <w:tcPr>
            <w:tcW w:w="2340" w:type="dxa"/>
          </w:tcPr>
          <w:p>
            <w:pPr/>
            <w:r>
              <w:t xml:space="preserve">Mensajes solo en inglés (pregunta 10)</w:t>
            </w:r>
          </w:p>
        </w:tc>
        <w:tc>
          <w:tcPr>
            <w:tcW w:w="2340" w:type="dxa"/>
          </w:tcPr>
          <w:p>
            <w:pPr/>
            <w:r>
              <w:t xml:space="preserve">Brecha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TS08, US21, US23 a US25</w:t>
            </w:r>
          </w:p>
        </w:tc>
        <w:tc>
          <w:tcPr>
            <w:tcW w:w="2340" w:type="dxa"/>
          </w:tcPr>
          <w:p>
            <w:pPr/>
            <w:r>
              <w:t xml:space="preserve">Leads: crear con consentimiento, bandeja, ficha, estado y notas</w:t>
            </w:r>
          </w:p>
        </w:tc>
        <w:tc>
          <w:tcPr>
            <w:tcW w:w="2340" w:type="dxa"/>
          </w:tcPr>
          <w:p>
            <w:pPr/>
            <w:r>
              <w:t xml:space="preserve">No incluidos; los definen Joaquín y Gustavo</w:t>
            </w:r>
          </w:p>
        </w:tc>
        <w:tc>
          <w:tcPr>
            <w:tcW w:w="2340" w:type="dxa"/>
          </w:tcPr>
          <w:p>
            <w:pPr/>
            <w:r>
              <w:t xml:space="preserve">Fuera de v0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US06 a US08, </w:t>
            </w:r>
            <w:r>
              <w:rPr>
                <w:rStyle w:val="CodeChar"/>
              </w:rPr>
              <w:t xml:space="preserve">GET /api/simulations</w:t>
            </w:r>
            <w:r>
              <w:t xml:space="preserve">, comparaciones, PDF</w:t>
            </w:r>
          </w:p>
        </w:tc>
        <w:tc>
          <w:tcPr>
            <w:tcW w:w="2340" w:type="dxa"/>
          </w:tcPr>
          <w:p>
            <w:pPr/>
            <w:r>
              <w:t xml:space="preserve">Guardar, comparar y exportar simulaciones</w:t>
            </w:r>
          </w:p>
        </w:tc>
        <w:tc>
          <w:tcPr>
            <w:tcW w:w="2340" w:type="dxa"/>
          </w:tcPr>
          <w:p>
            <w:pPr/>
            <w:r>
              <w:t xml:space="preserve">No incluidos; están fuera de esta entrega</w:t>
            </w:r>
          </w:p>
        </w:tc>
        <w:tc>
          <w:tcPr>
            <w:tcW w:w="2340" w:type="dxa"/>
          </w:tcPr>
          <w:p>
            <w:pPr/>
            <w:r>
              <w:t xml:space="preserve">Fuera de v0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TS05</w:t>
            </w:r>
          </w:p>
        </w:tc>
        <w:tc>
          <w:tcPr>
            <w:tcW w:w="2340" w:type="dxa"/>
          </w:tcPr>
          <w:p>
            <w:pPr/>
            <w:r>
              <w:t xml:space="preserve">Documentación Swagger de la API</w:t>
            </w:r>
          </w:p>
        </w:tc>
        <w:tc>
          <w:tcPr>
            <w:tcW w:w="2340" w:type="dxa"/>
          </w:tcPr>
          <w:p>
            <w:pPr/>
            <w:r>
              <w:t xml:space="preserve">El YAML es un insumo, pero el Swagger generado por el código no coincidirá solo (ver riesgos)</w:t>
            </w:r>
          </w:p>
        </w:tc>
        <w:tc>
          <w:tcPr>
            <w:tcW w:w="2340" w:type="dxa"/>
          </w:tcPr>
          <w:p>
            <w:pPr/>
            <w:r>
              <w:t xml:space="preserve">Parcial</w:t>
            </w:r>
          </w:p>
        </w:tc>
      </w:tr>
    </w:tbl>
    <w:p>
      <w:pPr>
        <w:pStyle w:val="Heading2"/>
      </w:pPr>
      <w:r>
        <w:t xml:space="preserve">Diferencias con el Capítulo 5.2.6</w:t>
      </w:r>
    </w:p>
    <w:p>
      <w:pPr/>
      <w:r>
        <w:t xml:space="preserve">El contrato v0 coincide con la tabla de la sección 5.2.6 en rutas, métodos y nombres de campo, y difiere en seis puntos que conviene corregir en el informe cuando se cierre el contrato.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Lo que dice la sección 5.2.6 o el Capítulo 4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Lo que hace el contrato v0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Números del ejemplo de respuesta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monthlyInstallment</w:t>
            </w:r>
            <w:r>
              <w:t xml:space="preserve"> 1909.00 y </w:t>
            </w:r>
            <w:r>
              <w:rPr>
                <w:rStyle w:val="CodeChar"/>
              </w:rPr>
              <w:t xml:space="preserve">tcea</w:t>
            </w:r>
            <w:r>
              <w:t xml:space="preserve"> 0.0885 para S/ 280,000 con bono</w:t>
            </w:r>
          </w:p>
        </w:tc>
        <w:tc>
          <w:tcPr>
            <w:tcW w:w="2340" w:type="dxa"/>
          </w:tcPr>
          <w:p>
            <w:pPr/>
            <w:r>
              <w:t xml:space="preserve">El motor da 1863.99 y 0.085. El 8.85% es la tasa fija del simulador del Landing, no un cálculo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Solicitud</w:t>
            </w:r>
          </w:p>
        </w:tc>
        <w:tc>
          <w:tcPr>
            <w:tcW w:w="2340" w:type="dxa"/>
          </w:tcPr>
          <w:p>
            <w:pPr/>
            <w:r>
              <w:t xml:space="preserve">Sin </w:t>
            </w:r>
            <w:r>
              <w:rPr>
                <w:rStyle w:val="CodeChar"/>
              </w:rPr>
              <w:t xml:space="preserve">startDate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startDate</w:t>
            </w:r>
            <w:r>
              <w:t xml:space="preserve"> opcional (por defecto, hoy en Lima)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Respuesta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simulationId</w:t>
            </w:r>
            <w:r>
              <w:t xml:space="preserve">, </w:t>
            </w:r>
            <w:r>
              <w:rPr>
                <w:rStyle w:val="CodeChar"/>
              </w:rPr>
              <w:t xml:space="preserve">financedAmount</w:t>
            </w:r>
            <w:r>
              <w:t xml:space="preserve">, </w:t>
            </w:r>
            <w:r>
              <w:rPr>
                <w:rStyle w:val="CodeChar"/>
              </w:rPr>
              <w:t xml:space="preserve">monthlyInstallment</w:t>
            </w:r>
            <w:r>
              <w:t xml:space="preserve">, </w:t>
            </w:r>
            <w:r>
              <w:rPr>
                <w:rStyle w:val="CodeChar"/>
              </w:rPr>
              <w:t xml:space="preserve">tcea</w:t>
            </w:r>
            <w:r>
              <w:t xml:space="preserve">, </w:t>
            </w:r>
            <w:r>
              <w:rPr>
                <w:rStyle w:val="CodeChar"/>
              </w:rPr>
              <w:t xml:space="preserve">benefit</w:t>
            </w:r>
            <w:r>
              <w:t xml:space="preserve"> y cronograma</w:t>
            </w:r>
          </w:p>
        </w:tc>
        <w:tc>
          <w:tcPr>
            <w:tcW w:w="2340" w:type="dxa"/>
          </w:tcPr>
          <w:p>
            <w:pPr/>
            <w:r>
              <w:t xml:space="preserve">Añade </w:t>
            </w:r>
            <w:r>
              <w:rPr>
                <w:rStyle w:val="CodeChar"/>
              </w:rPr>
              <w:t xml:space="preserve">totalPaid</w:t>
            </w:r>
            <w:r>
              <w:t xml:space="preserve">, </w:t>
            </w:r>
            <w:r>
              <w:rPr>
                <w:rStyle w:val="CodeChar"/>
              </w:rPr>
              <w:t xml:space="preserve">totalInterest</w:t>
            </w:r>
            <w:r>
              <w:t xml:space="preserve">, </w:t>
            </w:r>
            <w:r>
              <w:rPr>
                <w:rStyle w:val="CodeChar"/>
              </w:rPr>
              <w:t xml:space="preserve">additionalCosts</w:t>
            </w:r>
            <w:r>
              <w:t xml:space="preserve">, </w:t>
            </w:r>
            <w:r>
              <w:rPr>
                <w:rStyle w:val="CodeChar"/>
              </w:rPr>
              <w:t xml:space="preserve">irr</w:t>
            </w:r>
            <w:r>
              <w:t xml:space="preserve">, </w:t>
            </w:r>
            <w:r>
              <w:rPr>
                <w:rStyle w:val="CodeChar"/>
              </w:rPr>
              <w:t xml:space="preserve">npv</w:t>
            </w:r>
            <w:r>
              <w:t xml:space="preserve"> (TS06 exige VAN y TIR) y </w:t>
            </w:r>
            <w:r>
              <w:rPr>
                <w:rStyle w:val="CodeChar"/>
              </w:rPr>
              <w:t xml:space="preserve">assumptions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Registro</w:t>
            </w:r>
          </w:p>
        </w:tc>
        <w:tc>
          <w:tcPr>
            <w:tcW w:w="2340" w:type="dxa"/>
          </w:tcPr>
          <w:p>
            <w:pPr/>
            <w:r>
              <w:t xml:space="preserve">"Registrar una cuenta de Comprador"</w:t>
            </w:r>
          </w:p>
        </w:tc>
        <w:tc>
          <w:tcPr>
            <w:tcW w:w="2340" w:type="dxa"/>
          </w:tcPr>
          <w:p>
            <w:pPr/>
            <w:r>
              <w:t xml:space="preserve">Pide teléfono y dos aceptaciones, y devuelve el token (US13)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Login</w:t>
            </w:r>
          </w:p>
        </w:tc>
        <w:tc>
          <w:tcPr>
            <w:tcW w:w="2340" w:type="dxa"/>
          </w:tcPr>
          <w:p>
            <w:pPr/>
            <w:r>
              <w:t xml:space="preserve">Autentica a Comprador, Asesor o Administrador</w:t>
            </w:r>
          </w:p>
        </w:tc>
        <w:tc>
          <w:tcPr>
            <w:tcW w:w="2340" w:type="dxa"/>
          </w:tcPr>
          <w:p>
            <w:pPr/>
            <w:r>
              <w:t xml:space="preserve">Solo </w:t>
            </w:r>
            <w:r>
              <w:rPr>
                <w:rStyle w:val="CodeChar"/>
              </w:rPr>
              <w:t xml:space="preserve">buyer</w:t>
            </w:r>
            <w:r>
              <w:t xml:space="preserve"> y </w:t>
            </w:r>
            <w:r>
              <w:rPr>
                <w:rStyle w:val="CodeChar"/>
              </w:rPr>
              <w:t xml:space="preserve">advisor</w:t>
            </w:r>
            <w:r>
              <w:t xml:space="preserve">; el Administrador queda fuera de esta entrega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Diccionario de clases (4.9)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StateBenefit.DiscountPercentage</w:t>
            </w:r>
            <w:r>
              <w:t xml:space="preserve">, un porcentaje</w:t>
            </w:r>
          </w:p>
        </w:tc>
        <w:tc>
          <w:tcPr>
            <w:tcW w:w="2340" w:type="dxa"/>
          </w:tcPr>
          <w:p>
            <w:pPr/>
            <w:r>
              <w:t xml:space="preserve">El Bono del Buen Pagador es un monto fijo por rango de precio, no un porcentaje</w:t>
            </w:r>
          </w:p>
        </w:tc>
      </w:tr>
    </w:tbl>
    <w:p>
      <w:pPr/>
      <w:r>
        <w:t xml:space="preserve">Los demás endpoints de la sección 5.2.6 (</w:t>
      </w:r>
      <w:r>
        <w:rPr>
          <w:rStyle w:val="CodeChar"/>
        </w:rPr>
        <w:t xml:space="preserve">GET /api/simulations/{id}</w:t>
      </w:r>
      <w:r>
        <w:t xml:space="preserve">, la lista de simulaciones, comparaciones, reporte PDF, leads y administración) no están en el contrato v0: pertenecen a otras historias o a una entrega posterior. US02 no necesita </w:t>
      </w:r>
      <w:r>
        <w:rPr>
          <w:rStyle w:val="CodeChar"/>
        </w:rPr>
        <w:t xml:space="preserve">GET /api/simulations/{id}</w:t>
      </w:r>
      <w:r>
        <w:t xml:space="preserve"> porque el cronograma ya viene en la respuesta del POST.</w:t>
      </w:r>
    </w:p>
    <w:p>
      <w:pPr>
        <w:pStyle w:val="Heading2"/>
      </w:pPr>
      <w:r>
        <w:t xml:space="preserve">Preguntas abiertas y propuesta</w:t>
      </w:r>
    </w:p>
    <w:p>
      <w:pPr/>
      <w:r>
        <w:t xml:space="preserve">Diez decisiones del equipo condicionan el contrato; cada una trae una propuesta y Carlos puede marcar su respuesta en la última columna. Las propuestas son de Franco, no acuerdos del equipo.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Propuesta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Quién debería decidir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Si se decide otra cosa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Decisión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¿</w:t>
            </w:r>
            <w:r>
              <w:rPr>
                <w:rStyle w:val="CodeChar"/>
              </w:rPr>
              <w:t xml:space="preserve">POST /api/simulations</w:t>
            </w:r>
            <w:r>
              <w:t xml:space="preserve"> es público?</w:t>
            </w:r>
          </w:p>
        </w:tc>
        <w:tc>
          <w:tcPr>
            <w:tcW w:w="1560" w:type="dxa"/>
          </w:tcPr>
          <w:p>
            <w:pPr/>
            <w:r>
              <w:t xml:space="preserve">Sí, con token opcional. El Capítulo 4.4.4 dice que el simulador es libre y el login se pide solo al enviar una cotización</w:t>
            </w:r>
          </w:p>
        </w:tc>
        <w:tc>
          <w:tcPr>
            <w:tcW w:w="1560" w:type="dxa"/>
          </w:tcPr>
          <w:p>
            <w:pPr/>
            <w:r>
              <w:t xml:space="preserve">Carlos y Diego</w:t>
            </w:r>
          </w:p>
        </w:tc>
        <w:tc>
          <w:tcPr>
            <w:tcW w:w="1560" w:type="dxa"/>
          </w:tcPr>
          <w:p>
            <w:pPr/>
            <w:r>
              <w:t xml:space="preserve">Si exige token, el móvil no podría simular antes de registrarse, lo que contradice US01 escenario 3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¿Se guarda cada cálculo?</w:t>
            </w:r>
          </w:p>
        </w:tc>
        <w:tc>
          <w:tcPr>
            <w:tcW w:w="1560" w:type="dxa"/>
          </w:tcPr>
          <w:p>
            <w:pPr/>
            <w:r>
              <w:t xml:space="preserve">Sí, y se devuelve </w:t>
            </w:r>
            <w:r>
              <w:rPr>
                <w:rStyle w:val="CodeChar"/>
              </w:rPr>
              <w:t xml:space="preserve">simulationId</w:t>
            </w:r>
            <w:r>
              <w:t xml:space="preserve"> para que un lead lo referencie (Capítulo 4.8.3)</w:t>
            </w:r>
          </w:p>
        </w:tc>
        <w:tc>
          <w:tcPr>
            <w:tcW w:w="1560" w:type="dxa"/>
          </w:tcPr>
          <w:p>
            <w:pPr/>
            <w:r>
              <w:t xml:space="preserve">Carlos y Joaquín</w:t>
            </w:r>
          </w:p>
        </w:tc>
        <w:tc>
          <w:tcPr>
            <w:tcW w:w="1560" w:type="dxa"/>
          </w:tcPr>
          <w:p>
            <w:pPr/>
            <w:r>
              <w:t xml:space="preserve">Si no se guarda, el lead debe llevar los datos completos de la simulación y desaparece </w:t>
            </w:r>
            <w:r>
              <w:rPr>
                <w:rStyle w:val="CodeChar"/>
              </w:rPr>
              <w:t xml:space="preserve">simulationId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¿Qué valores por defecto tienen el seguro del inmueble, el desgravamen, los gastos administrativos y la tasa de descuento?</w:t>
            </w:r>
          </w:p>
        </w:tc>
        <w:tc>
          <w:tcPr>
            <w:tcW w:w="1560" w:type="dxa"/>
          </w:tcPr>
          <w:p>
            <w:pPr/>
            <w:r>
              <w:t xml:space="preserve">Configuración del servidor (sección </w:t>
            </w:r>
            <w:r>
              <w:rPr>
                <w:rStyle w:val="CodeChar"/>
              </w:rPr>
              <w:t xml:space="preserve">Simulation</w:t>
            </w:r>
            <w:r>
              <w:t xml:space="preserve">), devuelta en </w:t>
            </w:r>
            <w:r>
              <w:rPr>
                <w:rStyle w:val="CodeChar"/>
              </w:rPr>
              <w:t xml:space="preserve">assumptions</w:t>
            </w:r>
            <w:r>
              <w:t xml:space="preserve">. Hoy valen 0 y 10%</w:t>
            </w:r>
          </w:p>
        </w:tc>
        <w:tc>
          <w:tcPr>
            <w:tcW w:w="1560" w:type="dxa"/>
          </w:tcPr>
          <w:p>
            <w:pPr/>
            <w:r>
              <w:t xml:space="preserve">El equipo y Carlos</w:t>
            </w:r>
          </w:p>
        </w:tc>
        <w:tc>
          <w:tcPr>
            <w:tcW w:w="1560" w:type="dxa"/>
          </w:tcPr>
          <w:p>
            <w:pPr/>
            <w:r>
              <w:t xml:space="preserve">Mientras valgan 0, el TCEA resulta igual a la tasa y US04 no se cumple del todo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¿Qué cifra muestra la app como cuota mensual?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monthlyInstallment</w:t>
            </w:r>
            <w:r>
              <w:t xml:space="preserve">, sin seguros; cada fila trae </w:t>
            </w:r>
            <w:r>
              <w:rPr>
                <w:rStyle w:val="CodeChar"/>
              </w:rPr>
              <w:t xml:space="preserve">totalPayment</w:t>
            </w:r>
            <w:r>
              <w:t xml:space="preserve"> con seguros</w:t>
            </w:r>
          </w:p>
        </w:tc>
        <w:tc>
          <w:tcPr>
            <w:tcW w:w="1560" w:type="dxa"/>
          </w:tcPr>
          <w:p>
            <w:pPr/>
            <w:r>
              <w:t xml:space="preserve">Diego y el equipo</w:t>
            </w:r>
          </w:p>
        </w:tc>
        <w:tc>
          <w:tcPr>
            <w:tcW w:w="1560" w:type="dxa"/>
          </w:tcPr>
          <w:p>
            <w:pPr/>
            <w:r>
              <w:t xml:space="preserve">Solo cambia la presentación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¿Qué rangos se aceptan?</w:t>
            </w:r>
          </w:p>
        </w:tc>
        <w:tc>
          <w:tcPr>
            <w:tcW w:w="1560" w:type="dxa"/>
          </w:tcPr>
          <w:p>
            <w:pPr/>
            <w:r>
              <w:t xml:space="preserve">Plazo de 60 a 360 meses (sliders del Landing). El máximo de meses de gracia queda sin definir hasta US03</w:t>
            </w:r>
          </w:p>
        </w:tc>
        <w:tc>
          <w:tcPr>
            <w:tcW w:w="1560" w:type="dxa"/>
          </w:tcPr>
          <w:p>
            <w:pPr/>
            <w:r>
              <w:t xml:space="preserve">El equipo</w:t>
            </w:r>
          </w:p>
        </w:tc>
        <w:tc>
          <w:tcPr>
            <w:tcW w:w="1560" w:type="dxa"/>
          </w:tcPr>
          <w:p>
            <w:pPr/>
            <w:r>
              <w:t xml:space="preserve">Cambiar un rango exige tocar el validador y el contrato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El VAN sale negativo para el comprador porque se calcula del lado del prestamista con 10% de descuento. ¿Cómo se explica?</w:t>
            </w:r>
          </w:p>
        </w:tc>
        <w:tc>
          <w:tcPr>
            <w:tcW w:w="1560" w:type="dxa"/>
          </w:tcPr>
          <w:p>
            <w:pPr/>
            <w:r>
              <w:t xml:space="preserve">Etiquetarlo con claridad o no mostrarlo en la pantalla del comprador</w:t>
            </w:r>
          </w:p>
        </w:tc>
        <w:tc>
          <w:tcPr>
            <w:tcW w:w="1560" w:type="dxa"/>
          </w:tcPr>
          <w:p>
            <w:pPr/>
            <w:r>
              <w:t xml:space="preserve">El equipo</w:t>
            </w:r>
          </w:p>
        </w:tc>
        <w:tc>
          <w:tcPr>
            <w:tcW w:w="1560" w:type="dxa"/>
          </w:tcPr>
          <w:p>
            <w:pPr/>
            <w:r>
              <w:t xml:space="preserve">Solo cambia la interfaz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¿Los gastos administrativos entran en el TCEA?</w:t>
            </w:r>
          </w:p>
        </w:tc>
        <w:tc>
          <w:tcPr>
            <w:tcW w:w="1560" w:type="dxa"/>
          </w:tcPr>
          <w:p>
            <w:pPr/>
            <w:r>
              <w:t xml:space="preserve">Decidirlo antes de la entrega; hoy no entran, igual que en AutoFinance Pro</w:t>
            </w:r>
          </w:p>
        </w:tc>
        <w:tc>
          <w:tcPr>
            <w:tcW w:w="1560" w:type="dxa"/>
          </w:tcPr>
          <w:p>
            <w:pPr/>
            <w:r>
              <w:t xml:space="preserve">El equipo</w:t>
            </w:r>
          </w:p>
        </w:tc>
        <w:tc>
          <w:tcPr>
            <w:tcW w:w="1560" w:type="dxa"/>
          </w:tcPr>
          <w:p>
            <w:pPr/>
            <w:r>
              <w:t xml:space="preserve">Cambia el motor y hay que repetir la validación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¿Qué campos pide el registro?</w:t>
            </w:r>
          </w:p>
        </w:tc>
        <w:tc>
          <w:tcPr>
            <w:tcW w:w="1560" w:type="dxa"/>
          </w:tcPr>
          <w:p>
            <w:pPr/>
            <w:r>
              <w:t xml:space="preserve">Los de US13: nombre, correo, celular, contraseña y las dos aceptaciones</w:t>
            </w:r>
          </w:p>
        </w:tc>
        <w:tc>
          <w:tcPr>
            <w:tcW w:w="1560" w:type="dxa"/>
          </w:tcPr>
          <w:p>
            <w:pPr/>
            <w:r>
              <w:t xml:space="preserve">Carlos y Diego</w:t>
            </w:r>
          </w:p>
        </w:tc>
        <w:tc>
          <w:tcPr>
            <w:tcW w:w="1560" w:type="dxa"/>
          </w:tcPr>
          <w:p>
            <w:pPr/>
            <w:r>
              <w:t xml:space="preserve">Hay que alinearlo con el formulario existente del móvil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¿Se expone la tasa nominal (TNA)?</w:t>
            </w:r>
          </w:p>
        </w:tc>
        <w:tc>
          <w:tcPr>
            <w:tcW w:w="1560" w:type="dxa"/>
          </w:tcPr>
          <w:p>
            <w:pPr/>
            <w:r>
              <w:t xml:space="preserve">No en v0; solo TEA, como en el ejemplo de 5.2.6</w:t>
            </w:r>
          </w:p>
        </w:tc>
        <w:tc>
          <w:tcPr>
            <w:tcW w:w="1560" w:type="dxa"/>
          </w:tcPr>
          <w:p>
            <w:pPr/>
            <w:r>
              <w:t xml:space="preserve">El equipo</w:t>
            </w:r>
          </w:p>
        </w:tc>
        <w:tc>
          <w:tcPr>
            <w:tcW w:w="1560" w:type="dxa"/>
          </w:tcPr>
          <w:p>
            <w:pPr/>
            <w:r>
              <w:t xml:space="preserve">Se añaden </w:t>
            </w:r>
            <w:r>
              <w:rPr>
                <w:rStyle w:val="CodeChar"/>
              </w:rPr>
              <w:t xml:space="preserve">rateType</w:t>
            </w:r>
            <w:r>
              <w:t xml:space="preserve"> y </w:t>
            </w:r>
            <w:r>
              <w:rPr>
                <w:rStyle w:val="CodeChar"/>
              </w:rPr>
              <w:t xml:space="preserve">capitalizationFrequency</w:t>
            </w:r>
            <w:r>
              <w:t xml:space="preserve">; el motor ya los soporta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¿En qué idioma van los mensajes de la API?</w:t>
            </w:r>
          </w:p>
        </w:tc>
        <w:tc>
          <w:tcPr>
            <w:tcW w:w="1560" w:type="dxa"/>
          </w:tcPr>
          <w:p>
            <w:pPr/>
            <w:r>
              <w:t xml:space="preserve">v0 en inglés; los clientes traducen por campo, o la API usa el encabezado </w:t>
            </w:r>
            <w:r>
              <w:rPr>
                <w:rStyle w:val="CodeChar"/>
              </w:rPr>
              <w:t xml:space="preserve">Accept-Language</w:t>
            </w:r>
          </w:p>
        </w:tc>
        <w:tc>
          <w:tcPr>
            <w:tcW w:w="1560" w:type="dxa"/>
          </w:tcPr>
          <w:p>
            <w:pPr/>
            <w:r>
              <w:t xml:space="preserve">Carlos y el equipo</w:t>
            </w:r>
          </w:p>
        </w:tc>
        <w:tc>
          <w:tcPr>
            <w:tcW w:w="1560" w:type="dxa"/>
          </w:tcPr>
          <w:p>
            <w:pPr/>
            <w:r>
              <w:t xml:space="preserve">Con </w:t>
            </w:r>
            <w:r>
              <w:rPr>
                <w:rStyle w:val="CodeChar"/>
              </w:rPr>
              <w:t xml:space="preserve">Accept-Language</w:t>
            </w:r>
            <w:r>
              <w:t xml:space="preserve"> el servidor necesita recursos de traducción en es_419 y en_US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</w:tbl>
    <w:p>
      <w:pPr>
        <w:pStyle w:val="Heading2"/>
      </w:pPr>
      <w:r>
        <w:t xml:space="preserve">Lista de verificación para Carlos</w:t>
      </w:r>
    </w:p>
    <w:p>
      <w:pPr/>
      <w:r>
        <w:t xml:space="preserve">La revisión consiste en marcar estas 15 casillas; donde algo no se cumpla, basta un comentario en esa línea.</w:t>
      </w:r>
    </w:p>
    <w:p>
      <w:pPr>
        <w:pStyle w:val="Heading3"/>
      </w:pPr>
      <w:r>
        <w:t xml:space="preserve">Convenciones</w:t>
      </w:r>
    </w:p>
    <w:p>
      <w:pPr>
        <w:pStyle w:val="ListParagraph"/>
        <w:numPr>
          <w:ilvl w:val="0"/>
          <w:numId w:val="9"/>
        </w:numPr>
      </w:pPr>
      <w:r>
        <w:t xml:space="preserve">☐ JSON en </w:t>
      </w:r>
      <w:r>
        <w:rPr>
          <w:rStyle w:val="CodeChar"/>
        </w:rPr>
        <w:t xml:space="preserve">camelCase</w:t>
      </w:r>
      <w:r>
        <w:t xml:space="preserve">, tasas como fracciones y fechas ISO 8601 encajan con la configuración JSON de la API.</w:t>
      </w:r>
    </w:p>
    <w:p>
      <w:pPr>
        <w:pStyle w:val="ListParagraph"/>
        <w:numPr>
          <w:ilvl w:val="0"/>
          <w:numId w:val="9"/>
        </w:numPr>
      </w:pPr>
      <w:r>
        <w:t xml:space="preserve">☐ Los errores pueden salir como </w:t>
      </w:r>
      <w:r>
        <w:rPr>
          <w:rStyle w:val="CodeChar"/>
        </w:rPr>
        <w:t xml:space="preserve">application/problem+json</w:t>
      </w:r>
      <w:r>
        <w:t xml:space="preserve"> con las claves de </w:t>
      </w:r>
      <w:r>
        <w:rPr>
          <w:rStyle w:val="CodeChar"/>
        </w:rPr>
        <w:t xml:space="preserve">errors</w:t>
      </w:r>
      <w:r>
        <w:t xml:space="preserve"> en </w:t>
      </w:r>
      <w:r>
        <w:rPr>
          <w:rStyle w:val="CodeChar"/>
        </w:rPr>
        <w:t xml:space="preserve">camelCase</w:t>
      </w:r>
      <w:r>
        <w:t xml:space="preserve">. El controlador de simulación ya lo hace por sí mismo; queda alinear el resto de la API.</w:t>
      </w:r>
    </w:p>
    <w:p>
      <w:pPr>
        <w:pStyle w:val="ListParagraph"/>
        <w:numPr>
          <w:ilvl w:val="0"/>
          <w:numId w:val="9"/>
        </w:numPr>
      </w:pPr>
      <w:r>
        <w:t xml:space="preserve">☐ Las rutas sin versión (</w:t>
      </w:r>
      <w:r>
        <w:rPr>
          <w:rStyle w:val="CodeChar"/>
        </w:rPr>
        <w:t xml:space="preserve">/api/...</w:t>
      </w:r>
      <w:r>
        <w:t xml:space="preserve">) son aceptables.</w:t>
      </w:r>
    </w:p>
    <w:p>
      <w:pPr>
        <w:pStyle w:val="Heading3"/>
      </w:pPr>
      <w:r>
        <w:t xml:space="preserve">Simulación</w:t>
      </w:r>
    </w:p>
    <w:p>
      <w:pPr>
        <w:pStyle w:val="ListParagraph"/>
        <w:numPr>
          <w:ilvl w:val="0"/>
          <w:numId w:val="10"/>
        </w:numPr>
      </w:pPr>
      <w:r>
        <w:t xml:space="preserve">☐ La tabla de solicitud y sus reglas de validación son correctas y suficientes.</w:t>
      </w:r>
    </w:p>
    <w:p>
      <w:pPr>
        <w:pStyle w:val="ListParagraph"/>
        <w:numPr>
          <w:ilvl w:val="0"/>
          <w:numId w:val="10"/>
        </w:numPr>
      </w:pPr>
      <w:r>
        <w:t xml:space="preserve">☐ La respuesta trae lo que necesitan la pantalla de resultados, el cronograma (US02) y los leads.</w:t>
      </w:r>
    </w:p>
    <w:p>
      <w:pPr>
        <w:pStyle w:val="ListParagraph"/>
        <w:numPr>
          <w:ilvl w:val="0"/>
          <w:numId w:val="10"/>
        </w:numPr>
      </w:pPr>
      <w:r>
        <w:t xml:space="preserve">☐ Guardar cada cálculo con su </w:t>
      </w:r>
      <w:r>
        <w:rPr>
          <w:rStyle w:val="CodeChar"/>
        </w:rPr>
        <w:t xml:space="preserve">simulationId</w:t>
      </w:r>
      <w:r>
        <w:t xml:space="preserve"> cabe en el modelo de datos: la entidad </w:t>
      </w:r>
      <w:r>
        <w:rPr>
          <w:rStyle w:val="CodeChar"/>
        </w:rPr>
        <w:t xml:space="preserve">Simulation</w:t>
      </w:r>
      <w:r>
        <w:t xml:space="preserve"> puede almacenar la entrada y el cronograma completo.</w:t>
      </w:r>
    </w:p>
    <w:p>
      <w:pPr>
        <w:pStyle w:val="ListParagraph"/>
        <w:numPr>
          <w:ilvl w:val="0"/>
          <w:numId w:val="10"/>
        </w:numPr>
      </w:pPr>
      <w:r>
        <w:t xml:space="preserve">☐ Un endpoint con token opcional (sin </w:t>
      </w:r>
      <w:r>
        <w:rPr>
          <w:rStyle w:val="CodeChar"/>
        </w:rPr>
        <w:t xml:space="preserve">[Authorize]</w:t>
      </w:r>
      <w:r>
        <w:t xml:space="preserve">) es compatible con el middleware de JWT de la API.</w:t>
      </w:r>
    </w:p>
    <w:p>
      <w:pPr>
        <w:pStyle w:val="Heading3"/>
      </w:pPr>
      <w:r>
        <w:t xml:space="preserve">Autenticación</w:t>
      </w:r>
    </w:p>
    <w:p>
      <w:pPr>
        <w:pStyle w:val="ListParagraph"/>
        <w:numPr>
          <w:ilvl w:val="0"/>
          <w:numId w:val="11"/>
        </w:numPr>
      </w:pPr>
      <w:r>
        <w:t xml:space="preserve">☐ Los campos del registro y las dos aceptaciones corresponden al formulario real del móvil.</w:t>
      </w:r>
    </w:p>
    <w:p>
      <w:pPr>
        <w:pStyle w:val="ListParagraph"/>
        <w:numPr>
          <w:ilvl w:val="0"/>
          <w:numId w:val="11"/>
        </w:numPr>
      </w:pPr>
      <w:r>
        <w:t xml:space="preserve">☐ El registro devuelve el token y el usuario con código 201.</w:t>
      </w:r>
    </w:p>
    <w:p>
      <w:pPr>
        <w:pStyle w:val="ListParagraph"/>
        <w:numPr>
          <w:ilvl w:val="0"/>
          <w:numId w:val="11"/>
        </w:numPr>
      </w:pPr>
      <w:r>
        <w:t xml:space="preserve">☐ El token lleva el identificador del usuario, su rol y, para el asesor, su inmobiliaria.</w:t>
      </w:r>
    </w:p>
    <w:p>
      <w:pPr>
        <w:pStyle w:val="ListParagraph"/>
        <w:numPr>
          <w:ilvl w:val="0"/>
          <w:numId w:val="11"/>
        </w:numPr>
      </w:pPr>
      <w:r>
        <w:t xml:space="preserve">☐ La duración del token (ejemplo: 8 horas) y el mínimo de 8 caracteres de contraseña son aceptables.</w:t>
      </w:r>
    </w:p>
    <w:p>
      <w:pPr>
        <w:pStyle w:val="ListParagraph"/>
        <w:numPr>
          <w:ilvl w:val="0"/>
          <w:numId w:val="11"/>
        </w:numPr>
      </w:pPr>
      <w:r>
        <w:t xml:space="preserve">☐ El 409 por correo duplicado y el 401 genérico en el login están bien.</w:t>
      </w:r>
    </w:p>
    <w:p>
      <w:pPr>
        <w:pStyle w:val="Heading3"/>
      </w:pPr>
      <w:r>
        <w:t xml:space="preserve">Entrega</w:t>
      </w:r>
    </w:p>
    <w:p>
      <w:pPr>
        <w:pStyle w:val="ListParagraph"/>
        <w:numPr>
          <w:ilvl w:val="0"/>
          <w:numId w:val="12"/>
        </w:numPr>
      </w:pPr>
      <w:r>
        <w:t xml:space="preserve">☐ Las diez preguntas abiertas tienen respuesta.</w:t>
      </w:r>
    </w:p>
    <w:p>
      <w:pPr>
        <w:pStyle w:val="ListParagraph"/>
        <w:numPr>
          <w:ilvl w:val="0"/>
          <w:numId w:val="12"/>
        </w:numPr>
      </w:pPr>
      <w:r>
        <w:t xml:space="preserve">☐ Está claro quién publica el YAML como contrato oficial y quién arma el Swagger (Gustavo, TS05).</w:t>
      </w:r>
    </w:p>
    <w:p>
      <w:pPr>
        <w:pStyle w:val="ListParagraph"/>
        <w:numPr>
          <w:ilvl w:val="0"/>
          <w:numId w:val="12"/>
        </w:numPr>
      </w:pPr>
      <w:r>
        <w:t xml:space="preserve">☐ Carlos, Diego, Joaquín, Gustavo y Franco acuerdan cuándo se congela el contrato v0.</w:t>
      </w:r>
    </w:p>
    <w:p>
      <w:pPr>
        <w:pStyle w:val="Heading2"/>
      </w:pPr>
      <w:r>
        <w:t xml:space="preserve">Integración en hiposim-platform</w:t>
      </w:r>
    </w:p>
    <w:p>
      <w:pPr/>
      <w:r>
        <w:t xml:space="preserve">La biblioteca de Franco se conecta a la API de Carlos en dos puntos: una llamada de registro en </w:t>
      </w:r>
      <w:r>
        <w:rPr>
          <w:rStyle w:val="CodeChar"/>
        </w:rPr>
        <w:t xml:space="preserve">Program.cs</w:t>
      </w:r>
      <w:r>
        <w:t xml:space="preserve"> y la implementación de </w:t>
      </w:r>
      <w:r>
        <w:rPr>
          <w:rStyle w:val="CodeChar"/>
        </w:rPr>
        <w:t xml:space="preserve">ISimulationRepository</w:t>
      </w:r>
      <w:r>
        <w:t xml:space="preserve">; todo lo demás ya está escrito y probado.</w:t>
      </w:r>
    </w:p>
    <w:p>
      <w:pPr/>
      <w:r>
        <w:drawing>
          <wp:inline distT="0" distB="0" distL="0" distR="0">
            <wp:extent cx="5486400" cy="3633107"/>
            <wp:docPr id="1" name="image1" descr="arquitectura de la integración · 2 puntos de conex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 la integración · 2 puntos de conexió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 la integración · 2 puntos de conexión</w:t>
      </w:r>
    </w:p>
    <w:p>
      <w:pPr/>
      <w:r>
        <w:t xml:space="preserve">El punto 1 es una línea de configuración. El punto 2 es el único código nuevo que Carlos debe escribir, porque el modelo de datos y Entity Framework Core son suyos.</w:t>
      </w:r>
    </w:p>
    <w:p>
      <w:pPr>
        <w:pStyle w:val="Heading3"/>
      </w:pPr>
      <w:r>
        <w:t xml:space="preserve">Pasos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Traer el código.</w:t>
      </w:r>
      <w:r>
        <w:t xml:space="preserve"> Copiar </w:t>
      </w:r>
      <w:r>
        <w:rPr>
          <w:rStyle w:val="CodeChar"/>
        </w:rPr>
        <w:t xml:space="preserve">src/HipoSim.FinancialEngine</w:t>
      </w:r>
      <w:r>
        <w:t xml:space="preserve"> y </w:t>
      </w:r>
      <w:r>
        <w:rPr>
          <w:rStyle w:val="CodeChar"/>
        </w:rPr>
        <w:t xml:space="preserve">src/HipoSim.Simulations</w:t>
      </w:r>
      <w:r>
        <w:t xml:space="preserve"> a </w:t>
      </w:r>
      <w:r>
        <w:rPr>
          <w:rStyle w:val="CodeChar"/>
        </w:rPr>
        <w:t xml:space="preserve">hiposim-platform/src/</w:t>
      </w:r>
      <w:r>
        <w:t xml:space="preserve">, añadirlos a la solución y referenciar </w:t>
      </w:r>
      <w:r>
        <w:rPr>
          <w:rStyle w:val="CodeChar"/>
        </w:rPr>
        <w:t xml:space="preserve">HipoSim.Simulations</w:t>
      </w:r>
      <w:r>
        <w:t xml:space="preserve"> desde el proyecto de la API. Ambos apuntan a </w:t>
      </w:r>
      <w:r>
        <w:rPr>
          <w:rStyle w:val="CodeChar"/>
        </w:rPr>
        <w:t xml:space="preserve">net8.0</w:t>
      </w:r>
      <w:r>
        <w:t xml:space="preserve">; si la API usa otra versión, se cambia </w:t>
      </w:r>
      <w:r>
        <w:rPr>
          <w:rStyle w:val="CodeChar"/>
        </w:rPr>
        <w:t xml:space="preserve">TargetFramework</w:t>
      </w:r>
      <w:r>
        <w:t xml:space="preserve"> en el </w:t>
      </w:r>
      <w:r>
        <w:rPr>
          <w:rStyle w:val="CodeChar"/>
        </w:rPr>
        <w:t xml:space="preserve">.csproj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Registrar los servicios (punto 1).</w:t>
      </w:r>
      <w:r>
        <w:t xml:space="preserve"> Una línea en </w:t>
      </w:r>
      <w:r>
        <w:rPr>
          <w:rStyle w:val="CodeChar"/>
        </w:rPr>
        <w:t xml:space="preserve">Program.cs</w:t>
      </w:r>
      <w:r>
        <w:t xml:space="preserve">, que además descubre el controlador.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Implementar el repositorio (punto 2).</w:t>
      </w:r>
      <w:r>
        <w:t xml:space="preserve"> Convertir cada </w:t>
      </w:r>
      <w:r>
        <w:rPr>
          <w:rStyle w:val="CodeChar"/>
        </w:rPr>
        <w:t xml:space="preserve">SimulationRecord</w:t>
      </w:r>
      <w:r>
        <w:t xml:space="preserve"> (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BuyerId</w:t>
      </w:r>
      <w:r>
        <w:t xml:space="preserve">, </w:t>
      </w:r>
      <w:r>
        <w:rPr>
          <w:rStyle w:val="CodeChar"/>
        </w:rPr>
        <w:t xml:space="preserve">CreatedAt</w:t>
      </w:r>
      <w:r>
        <w:t xml:space="preserve">, </w:t>
      </w:r>
      <w:r>
        <w:rPr>
          <w:rStyle w:val="CodeChar"/>
        </w:rPr>
        <w:t xml:space="preserve">Input</w:t>
      </w:r>
      <w:r>
        <w:t xml:space="preserve"> y </w:t>
      </w:r>
      <w:r>
        <w:rPr>
          <w:rStyle w:val="CodeChar"/>
        </w:rPr>
        <w:t xml:space="preserve">Response</w:t>
      </w:r>
      <w:r>
        <w:t xml:space="preserve">) en la entidad </w:t>
      </w:r>
      <w:r>
        <w:rPr>
          <w:rStyle w:val="CodeChar"/>
        </w:rPr>
        <w:t xml:space="preserve">Simulation</w:t>
      </w:r>
      <w:r>
        <w:t xml:space="preserve"> y guardarla; registrarlo como servicio </w:t>
      </w:r>
      <w:r>
        <w:rPr>
          <w:rStyle w:val="CodeChar"/>
        </w:rPr>
        <w:t xml:space="preserve">scoped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Revisar el pipeline.</w:t>
      </w:r>
      <w:r>
        <w:t xml:space="preserve"> Si la API ya usa JWT, </w:t>
      </w:r>
      <w:r>
        <w:rPr>
          <w:rStyle w:val="CodeChar"/>
        </w:rPr>
        <w:t xml:space="preserve">UseAuthentication</w:t>
      </w:r>
      <w:r>
        <w:t xml:space="preserve">, </w:t>
      </w:r>
      <w:r>
        <w:rPr>
          <w:rStyle w:val="CodeChar"/>
        </w:rPr>
        <w:t xml:space="preserve">UseAuthorization</w:t>
      </w:r>
      <w:r>
        <w:t xml:space="preserve"> y </w:t>
      </w:r>
      <w:r>
        <w:rPr>
          <w:rStyle w:val="CodeChar"/>
        </w:rPr>
        <w:t xml:space="preserve">MapControllers</w:t>
      </w:r>
      <w:r>
        <w:t xml:space="preserve">. El endpoint no lleva </w:t>
      </w:r>
      <w:r>
        <w:rPr>
          <w:rStyle w:val="CodeChar"/>
        </w:rPr>
        <w:t xml:space="preserve">[Authorize]</w:t>
      </w:r>
      <w:r>
        <w:t xml:space="preserve">, así que un token ausente o inválido simplemente deja la simulación anónima.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Definir los supuestos</w:t>
      </w:r>
      <w:r>
        <w:t xml:space="preserve"> en la sección </w:t>
      </w:r>
      <w:r>
        <w:rPr>
          <w:rStyle w:val="CodeChar"/>
        </w:rPr>
        <w:t xml:space="preserve">Simulation</w:t>
      </w:r>
      <w:r>
        <w:t xml:space="preserve"> de </w:t>
      </w:r>
      <w:r>
        <w:rPr>
          <w:rStyle w:val="CodeChar"/>
        </w:rPr>
        <w:t xml:space="preserve">appsettings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Mover las pruebas</w:t>
      </w:r>
      <w:r>
        <w:t xml:space="preserve"> de la carpeta </w:t>
      </w:r>
      <w:r>
        <w:rPr>
          <w:rStyle w:val="CodeChar"/>
        </w:rPr>
        <w:t xml:space="preserve">tests/</w:t>
      </w:r>
      <w:r>
        <w:t xml:space="preserve"> y ejecutar </w:t>
      </w:r>
      <w:r>
        <w:rPr>
          <w:rStyle w:val="CodeChar"/>
        </w:rPr>
        <w:t xml:space="preserve">dotnet test</w:t>
      </w:r>
      <w:r>
        <w:t xml:space="preserve">.</w:t>
      </w:r>
    </w:p>
    <w:p>
      <w:pPr/>
      <w:r>
        <w:t xml:space="preserve">Ejemplo ilustrativo de los pasos 2, 3 y 5. La composición es la misma que usan las pruebas de integración, pero no se probó con el repositorio ni la base de datos de Carlos; los valores de </w:t>
      </w:r>
      <w:r>
        <w:rPr>
          <w:rStyle w:val="CodeChar"/>
        </w:rPr>
        <w:t xml:space="preserve">appsettings</w:t>
      </w:r>
      <w:r>
        <w:t xml:space="preserve"> son los de hoy, no una recomendación.</w:t>
      </w:r>
    </w:p>
    <w:p>
      <w:pPr>
        <w:pStyle w:val="Code"/>
      </w:pPr>
      <w:bookmarkStart w:id="4" w:name="bongo_lang_csharp_4"/>
      <w:bookmarkEnd w:id="4"/>
      <w:r>
        <w:t xml:space="preserve">// Program.cs</w:t>
        <w:br/>
        <w:t xml:space="preserve">builder.Services.AddSimulations(builder.Configuration);</w:t>
        <w:br/>
        <w:t xml:space="preserve">builder.Services.AddScoped&lt;ISimulationRepository, EfSimulationRepository&gt;();</w:t>
        <w:br/>
        <w:br/>
        <w:t xml:space="preserve">// EfSimulationRepository.cs</w:t>
        <w:br/>
        <w:t xml:space="preserve">public sealed class EfSimulationRepository(AppDbContext db) : ISimulationRepository</w:t>
        <w:br/>
        <w:t xml:space="preserve">{</w:t>
        <w:br/>
        <w:t xml:space="preserve">    public async Task AddAsync(SimulationRecord record, CancellationToken cancellationToken = default)</w:t>
        <w:br/>
        <w:t xml:space="preserve">    {</w:t>
        <w:br/>
        <w:t xml:space="preserve">        // Convertir record en la entidad Simulation, db.Simulations.Add(...) y SaveChangesAsync.</w:t>
        <w:br/>
        <w:t xml:space="preserve">    }</w:t>
        <w:br/>
        <w:t xml:space="preserve">}</w:t>
      </w:r>
    </w:p>
    <w:p/>
    <w:p>
      <w:pPr>
        <w:pStyle w:val="Code"/>
      </w:pPr>
      <w:bookmarkStart w:id="5" w:name="bongo_lang_json_5"/>
      <w:bookmarkEnd w:id="5"/>
      <w:r>
        <w:t xml:space="preserve">{</w:t>
        <w:br/>
        <w:t xml:space="preserve">  "Simulation": {</w:t>
        <w:br/>
        <w:t xml:space="preserve">    "MonthlyPropertyInsurance": 0,</w:t>
        <w:br/>
        <w:t xml:space="preserve">    "MonthlyCreditLifeInsurance": 0,</w:t>
        <w:br/>
        <w:t xml:space="preserve">    "AdministrativeExpenses": 0,</w:t>
        <w:br/>
        <w:t xml:space="preserve">    "AnnualDiscountRate": 0.1</w:t>
        <w:br/>
        <w:t xml:space="preserve">  }</w:t>
        <w:br/>
        <w:t xml:space="preserve">}</w:t>
      </w:r>
    </w:p>
    <w:p>
      <w:pPr>
        <w:pStyle w:val="Heading2"/>
      </w:pPr>
      <w:r>
        <w:t xml:space="preserve">Riesgos y hallazgos</w:t>
      </w:r>
    </w:p>
    <w:p>
      <w:pPr/>
      <w:r>
        <w:t xml:space="preserve">Siete riesgos pueden afectar la integración o la entrega; ninguno impide revisar el contrato, pero varios necesitan una decisión de Carlos antes de integrar. Los de mayor impacto van primero.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Por qué importa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Propuesta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Responsable sugerido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Un endpoint público que guarda cada cálculo</w:t>
            </w:r>
            <w:r>
              <w:t xml:space="preserve"> puede llenar la base de datos con peticiones anónimas</w:t>
            </w:r>
          </w:p>
        </w:tc>
        <w:tc>
          <w:tcPr>
            <w:tcW w:w="1872" w:type="dxa"/>
          </w:tcPr>
          <w:p>
            <w:pPr/>
            <w:r>
              <w:t xml:space="preserve">Cada llamada guarda una simulación de hasta 360 filas sin que nadie haya iniciado sesión</w:t>
            </w:r>
          </w:p>
        </w:tc>
        <w:tc>
          <w:tcPr>
            <w:tcW w:w="1872" w:type="dxa"/>
          </w:tcPr>
          <w:p>
            <w:pPr/>
            <w:r>
              <w:t xml:space="preserve">Limitar la tasa de peticiones (el limitador de ASP.NET Core) o guardar solo las simulaciones con token</w:t>
            </w:r>
          </w:p>
        </w:tc>
        <w:tc>
          <w:tcPr>
            <w:tcW w:w="1872" w:type="dxa"/>
          </w:tcPr>
          <w:p>
            <w:pPr/>
            <w:r>
              <w:t xml:space="preserve">Carlos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El Swagger generado por el código no coincidirá con el YAML.</w:t>
            </w:r>
            <w:r>
              <w:t xml:space="preserve"> Los campos de la solicitud son anulables a propósito, para devolver nuestro propio mensaje cuando faltan; un generador de OpenAPI los publicaría como opcionales. No se probó con el generador de la API</w:t>
            </w:r>
          </w:p>
        </w:tc>
        <w:tc>
          <w:tcPr>
            <w:tcW w:w="1872" w:type="dxa"/>
          </w:tcPr>
          <w:p>
            <w:pPr/>
            <w:r>
              <w:t xml:space="preserve">El Swagger de TS05 mostraría campos obligatorios como opcionales</w:t>
            </w:r>
          </w:p>
        </w:tc>
        <w:tc>
          <w:tcPr>
            <w:tcW w:w="1872" w:type="dxa"/>
          </w:tcPr>
          <w:p>
            <w:pPr/>
            <w:r>
              <w:t xml:space="preserve">Publicar el YAML como contrato oficial, o marcar los cuatro campos como obligatorios con un filtro de esquema</w:t>
            </w:r>
          </w:p>
        </w:tc>
        <w:tc>
          <w:tcPr>
            <w:tcW w:w="1872" w:type="dxa"/>
          </w:tcPr>
          <w:p>
            <w:pPr/>
            <w:r>
              <w:t xml:space="preserve">Gustavo y Carlos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Los seguros valen 0 por defecto</w:t>
            </w:r>
            <w:r>
              <w:t xml:space="preserve">, así que el TCEA mostrado es igual a la tasa</w:t>
            </w:r>
          </w:p>
        </w:tc>
        <w:tc>
          <w:tcPr>
            <w:tcW w:w="1872" w:type="dxa"/>
          </w:tcPr>
          <w:p>
            <w:pPr/>
            <w:r>
              <w:t xml:space="preserve">El producto promete transparencia sobre el costo real; un TCEA sin seguros engaña</w:t>
            </w:r>
          </w:p>
        </w:tc>
        <w:tc>
          <w:tcPr>
            <w:tcW w:w="1872" w:type="dxa"/>
          </w:tcPr>
          <w:p>
            <w:pPr/>
            <w:r>
              <w:t xml:space="preserve">Definir los valores antes de cualquier demostración (pregunta 3)</w:t>
            </w:r>
          </w:p>
        </w:tc>
        <w:tc>
          <w:tcPr>
            <w:tcW w:w="1872" w:type="dxa"/>
          </w:tcPr>
          <w:p>
            <w:pPr/>
            <w:r>
              <w:t xml:space="preserve">El equipo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Las claves de error en </w:t>
            </w:r>
            <w:r>
              <w:rPr>
                <w:rStyle w:val="CodeChar"/>
                <w:b/>
              </w:rPr>
              <w:t xml:space="preserve">camelCase</w:t>
            </w:r>
            <w:r>
              <w:rPr>
                <w:b/>
              </w:rPr>
              <w:t xml:space="preserve"> solo las garantiza el controlador de simulación.</w:t>
            </w:r>
            <w:r>
              <w:t xml:space="preserve"> Los controladores con </w:t>
            </w:r>
            <w:r>
              <w:rPr>
                <w:rStyle w:val="CodeChar"/>
              </w:rPr>
              <w:t xml:space="preserve">[ApiController]</w:t>
            </w:r>
            <w:r>
              <w:t xml:space="preserve"> usarán el formato por defecto de ASP.NET Core</w:t>
            </w:r>
          </w:p>
        </w:tc>
        <w:tc>
          <w:tcPr>
            <w:tcW w:w="1872" w:type="dxa"/>
          </w:tcPr>
          <w:p>
            <w:pPr/>
            <w:r>
              <w:t xml:space="preserve">Las apps recibirían dos formatos de error distintos</w:t>
            </w:r>
          </w:p>
        </w:tc>
        <w:tc>
          <w:tcPr>
            <w:tcW w:w="1872" w:type="dxa"/>
          </w:tcPr>
          <w:p>
            <w:pPr/>
            <w:r>
              <w:t xml:space="preserve">Fijar una política global de errores en la API</w:t>
            </w:r>
          </w:p>
        </w:tc>
        <w:tc>
          <w:tcPr>
            <w:tcW w:w="1872" w:type="dxa"/>
          </w:tcPr>
          <w:p>
            <w:pPr/>
            <w:r>
              <w:t xml:space="preserve">Carlos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La respuesta pesa hasta 88.5 KB</w:t>
            </w:r>
            <w:r>
              <w:t xml:space="preserve"> con 360 cuotas (59.1 KB con 240 y 15.1 KB con 60), medidos con la serialización por defecto. Comprimida con gzip, 13.1 KB para 360 cuotas</w:t>
            </w:r>
          </w:p>
        </w:tc>
        <w:tc>
          <w:tcPr>
            <w:tcW w:w="1872" w:type="dxa"/>
          </w:tcPr>
          <w:p>
            <w:pPr/>
            <w:r>
              <w:t xml:space="preserve">Es relevante para el móvil en redes lentas y para el almacenamiento</w:t>
            </w:r>
          </w:p>
        </w:tc>
        <w:tc>
          <w:tcPr>
            <w:tcW w:w="1872" w:type="dxa"/>
          </w:tcPr>
          <w:p>
            <w:pPr/>
            <w:r>
              <w:t xml:space="preserve">Activar la compresión de respuestas. Para guardar, basta la entrada: el motor es determinista y puede recalcular el cronograma</w:t>
            </w:r>
          </w:p>
        </w:tc>
        <w:tc>
          <w:tcPr>
            <w:tcW w:w="1872" w:type="dxa"/>
          </w:tcPr>
          <w:p>
            <w:pPr/>
            <w:r>
              <w:t xml:space="preserve">Carlos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La tabla del bono es referencial</w:t>
            </w:r>
            <w:r>
              <w:t xml:space="preserve"> y el VAN y el TCEA tienen decisiones pendientes (preguntas 6 y 7)</w:t>
            </w:r>
          </w:p>
        </w:tc>
        <w:tc>
          <w:tcPr>
            <w:tcW w:w="1872" w:type="dxa"/>
          </w:tcPr>
          <w:p>
            <w:pPr/>
            <w:r>
              <w:t xml:space="preserve">Mostrar un monto no oficial como si lo fuera, o un VAN negativo sin explicación, resta credibilidad</w:t>
            </w:r>
          </w:p>
        </w:tc>
        <w:tc>
          <w:tcPr>
            <w:tcW w:w="1872" w:type="dxa"/>
          </w:tcPr>
          <w:p>
            <w:pPr/>
            <w:r>
              <w:t xml:space="preserve">Marcar el bono como referencial en la interfaz y confirmar la tabla con el Fondo Mivivienda</w:t>
            </w:r>
          </w:p>
        </w:tc>
        <w:tc>
          <w:tcPr>
            <w:tcW w:w="1872" w:type="dxa"/>
          </w:tcPr>
          <w:p>
            <w:pPr/>
            <w:r>
              <w:t xml:space="preserve">El equipo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Solo el endpoint de simulación tiene pruebas contra el contrato.</w:t>
            </w:r>
            <w:r>
              <w:t xml:space="preserve"> Registro, login y health no</w:t>
            </w:r>
          </w:p>
        </w:tc>
        <w:tc>
          <w:tcPr>
            <w:tcW w:w="1872" w:type="dxa"/>
          </w:tcPr>
          <w:p>
            <w:pPr/>
            <w:r>
              <w:t xml:space="preserve">El YAML y el código de autenticación pueden separarse sin que nada falle</w:t>
            </w:r>
          </w:p>
        </w:tc>
        <w:tc>
          <w:tcPr>
            <w:tcW w:w="1872" w:type="dxa"/>
          </w:tcPr>
          <w:p>
            <w:pPr/>
            <w:r>
              <w:t xml:space="preserve">Escribir pruebas equivalentes cuando Carlos implemente TS07</w:t>
            </w:r>
          </w:p>
        </w:tc>
        <w:tc>
          <w:tcPr>
            <w:tcW w:w="1872" w:type="dxa"/>
          </w:tcPr>
          <w:p>
            <w:pPr/>
            <w:r>
              <w:t xml:space="preserve">Carlos</w:t>
            </w:r>
          </w:p>
        </w:tc>
      </w:tr>
    </w:tbl>
    <w:p>
      <w:pPr/>
      <w:r>
        <w:t xml:space="preserve">Las bibliotecas no usan paquetes NuGet externos, solo el framework de .NET, así que no añaden dependencias a la API.</w:t>
      </w:r>
    </w:p>
    <w:p>
      <w:pPr>
        <w:pStyle w:val="Heading2"/>
      </w:pPr>
      <w:r>
        <w:t xml:space="preserve">Calidad y evidencia de pruebas</w:t>
      </w:r>
    </w:p>
    <w:p>
      <w:pPr/>
      <w:r>
        <w:t xml:space="preserve">166 pruebas automáticas pasan en dos suites, con cobertura de líneas de 99.7% en el motor y 99.3% en la capa de simulación; el detalle y los comandos para repetirlas están en </w:t>
      </w:r>
      <w:r>
        <w:rPr>
          <w:rStyle w:val="CodeChar"/>
        </w:rPr>
        <w:t xml:space="preserve">docs/engine-validation.md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Suite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Pruebas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verifica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RateConverterTests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Unitaria</w:t>
            </w:r>
          </w:p>
        </w:tc>
        <w:tc>
          <w:tcPr>
            <w:tcW w:w="2340" w:type="dxa"/>
          </w:tcPr>
          <w:p>
            <w:pPr/>
            <w:r>
              <w:t xml:space="preserve">Conversión de tasas y errores de entrada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AmortizationCalculatorTests</w:t>
            </w:r>
          </w:p>
        </w:tc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Unitaria</w:t>
            </w:r>
          </w:p>
        </w:tc>
        <w:tc>
          <w:tcPr>
            <w:tcW w:w="2340" w:type="dxa"/>
          </w:tcPr>
          <w:p>
            <w:pPr/>
            <w:r>
              <w:t xml:space="preserve">Los 3 casos del informe, tasa cero, fechas de fin de mes, seguros y entradas inconsistentes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FinancialIndicatorsTests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Unitaria</w:t>
            </w:r>
          </w:p>
        </w:tc>
        <w:tc>
          <w:tcPr>
            <w:tcW w:w="2340" w:type="dxa"/>
          </w:tcPr>
          <w:p>
            <w:pPr/>
            <w:r>
              <w:t xml:space="preserve">VAN, TIR (con bisección y TIR negativa) y TCEA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BenefitsEngineTests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Unitaria</w:t>
            </w:r>
          </w:p>
        </w:tc>
        <w:tc>
          <w:tcPr>
            <w:tcW w:w="2340" w:type="dxa"/>
          </w:tcPr>
          <w:p>
            <w:pPr/>
            <w:r>
              <w:t xml:space="preserve">Tramos del bono en sus límites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FinancialEngineTests</w:t>
            </w:r>
          </w:p>
        </w:tc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Unitaria</w:t>
            </w:r>
          </w:p>
        </w:tc>
        <w:tc>
          <w:tcPr>
            <w:tcW w:w="2340" w:type="dxa"/>
          </w:tcPr>
          <w:p>
            <w:pPr/>
            <w:r>
              <w:t xml:space="preserve">Flujo completo del motor y validaciones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PythonParityTests</w:t>
            </w:r>
          </w:p>
        </w:tc>
        <w:tc>
          <w:tcPr>
            <w:tcW w:w="2340" w:type="dxa"/>
          </w:tcPr>
          <w:p>
            <w:pPr/>
            <w:r>
              <w:t xml:space="preserve">49</w:t>
            </w:r>
          </w:p>
        </w:tc>
        <w:tc>
          <w:tcPr>
            <w:tcW w:w="2340" w:type="dxa"/>
          </w:tcPr>
          <w:p>
            <w:pPr/>
            <w:r>
              <w:t xml:space="preserve">Paridad</w:t>
            </w:r>
          </w:p>
        </w:tc>
        <w:tc>
          <w:tcPr>
            <w:tcW w:w="2340" w:type="dxa"/>
          </w:tcPr>
          <w:p>
            <w:pPr/>
            <w:r>
              <w:t xml:space="preserve">48 escenarios comparados con el motor Python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SimulationRequestValidatorTests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Unitaria</w:t>
            </w:r>
          </w:p>
        </w:tc>
        <w:tc>
          <w:tcPr>
            <w:tcW w:w="2340" w:type="dxa"/>
          </w:tcPr>
          <w:p>
            <w:pPr/>
            <w:r>
              <w:t xml:space="preserve">Reglas de validación de TS06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SimulationServiceTests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Unitaria</w:t>
            </w:r>
          </w:p>
        </w:tc>
        <w:tc>
          <w:tcPr>
            <w:tcW w:w="2340" w:type="dxa"/>
          </w:tcPr>
          <w:p>
            <w:pPr/>
            <w:r>
              <w:t xml:space="preserve">Servicio con repositorio y reloj simulados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SimulationsEndpointTests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Integración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/api/simulations</w:t>
            </w:r>
            <w:r>
              <w:t xml:space="preserve"> sobre el controlador real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ContractConformanceTests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Contrato</w:t>
            </w:r>
          </w:p>
        </w:tc>
        <w:tc>
          <w:tcPr>
            <w:tcW w:w="2340" w:type="dxa"/>
          </w:tcPr>
          <w:p>
            <w:pPr/>
            <w:r>
              <w:t xml:space="preserve">Los ejemplos del YAML contra el endpoint real</w:t>
            </w:r>
          </w:p>
        </w:tc>
      </w:tr>
    </w:tbl>
    <w:p>
      <w:pPr/>
      <w:r>
        <w:rPr>
          <w:b/>
        </w:rPr>
        <w:t xml:space="preserve">Resultados que sustentan SP02.</w:t>
      </w:r>
    </w:p>
    <w:p>
      <w:pPr>
        <w:pStyle w:val="ListParagraph"/>
        <w:numPr>
          <w:ilvl w:val="0"/>
          <w:numId w:val="14"/>
        </w:numPr>
      </w:pPr>
      <w:r>
        <w:t xml:space="preserve">Paridad con el motor Python: 48 escenarios, 9,156 filas de cronograma y 64,572 valores numéricos comparados. Diferencia máxima: 0.00 en montos y 0 en tasas.</w:t>
      </w:r>
    </w:p>
    <w:p>
      <w:pPr>
        <w:pStyle w:val="ListParagraph"/>
        <w:numPr>
          <w:ilvl w:val="0"/>
          <w:numId w:val="14"/>
        </w:numPr>
      </w:pPr>
      <w:r>
        <w:t xml:space="preserve">Casos del informe de AutoFinance Pro: las 9 cifras de referencia disponibles coinciden al centavo.</w:t>
      </w:r>
    </w:p>
    <w:p>
      <w:pPr>
        <w:pStyle w:val="ListParagraph"/>
        <w:numPr>
          <w:ilvl w:val="0"/>
          <w:numId w:val="14"/>
        </w:numPr>
      </w:pPr>
      <w:r>
        <w:t xml:space="preserve">Cobertura de líneas: 99.7% en </w:t>
      </w:r>
      <w:r>
        <w:rPr>
          <w:rStyle w:val="CodeChar"/>
        </w:rPr>
        <w:t xml:space="preserve">HipoSim.FinancialEngine</w:t>
      </w:r>
      <w:r>
        <w:t xml:space="preserve"> y 99.3% en </w:t>
      </w:r>
      <w:r>
        <w:rPr>
          <w:rStyle w:val="CodeChar"/>
        </w:rPr>
        <w:t xml:space="preserve">HipoSim.Simulations</w:t>
      </w:r>
      <w:r>
        <w:t xml:space="preserve">. Quedan tres líneas sin cubrir, ninguna relevante.</w:t>
      </w:r>
    </w:p>
    <w:p>
      <w:pPr>
        <w:pStyle w:val="ListParagraph"/>
        <w:numPr>
          <w:ilvl w:val="0"/>
          <w:numId w:val="14"/>
        </w:numPr>
      </w:pPr>
      <w:r>
        <w:t xml:space="preserve">Verificación de las propias pruebas: cinco cambios deliberados en el código (interior del cálculo, regla del 10%, nombre de una propiedad) fueron detectados; después se restauró el código.</w:t>
      </w:r>
    </w:p>
    <w:p>
      <w:pPr/>
      <w:r>
        <w:rPr>
          <w:b/>
        </w:rPr>
        <w:t xml:space="preserve">Lo que esta evidencia no demuestra:</w:t>
      </w:r>
      <w:r>
        <w:t xml:space="preserve"> que el resultado coincida con simuladores externos (BCP, Interbank, Fondo Mivivienda), ni el comportamiento con una base de datos PostgreSQL real ni con un servidor JWT real.</w:t>
      </w:r>
    </w:p>
    <w:p>
      <w:pPr>
        <w:pStyle w:val="Heading2"/>
      </w:pPr>
      <w:r>
        <w:t xml:space="preserve">Siguientes pasos</w:t>
      </w:r>
    </w:p>
    <w:p>
      <w:pPr/>
      <w:r>
        <w:t xml:space="preserve">Lo que sigue depende de que Carlos revise el contrato y cree el repositorio; entretanto, Franco puede avanzar en US05 contra el contrato. Los pasos van en el orden en que conviene hacerlos.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Carlos revisa el contrato</w:t>
      </w:r>
      <w:r>
        <w:t xml:space="preserve"> con la lista de verificación y marca su decisión en cada pregunta abierta.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Reunión corta del equipo</w:t>
      </w:r>
      <w:r>
        <w:t xml:space="preserve"> (Carlos, Diego, Joaquín, Gustavo y Franco) para congelar el contrato v0. A partir de ahí, cualquier cambio se avisa al equipo.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Carlos crea </w:t>
      </w:r>
      <w:r>
        <w:rPr>
          <w:rStyle w:val="CodeChar"/>
          <w:b/>
        </w:rPr>
        <w:t xml:space="preserve">hiposim-platform</w:t>
      </w:r>
      <w:r>
        <w:t xml:space="preserve"> e integra </w:t>
      </w:r>
      <w:r>
        <w:rPr>
          <w:rStyle w:val="CodeChar"/>
        </w:rPr>
        <w:t xml:space="preserve">HipoSim.FinancialEngine</w:t>
      </w:r>
      <w:r>
        <w:t xml:space="preserve"> y </w:t>
      </w:r>
      <w:r>
        <w:rPr>
          <w:rStyle w:val="CodeChar"/>
        </w:rPr>
        <w:t xml:space="preserve">HipoSim.Simulations</w:t>
      </w:r>
      <w:r>
        <w:t xml:space="preserve"> con los pasos de la sección de integración. Franco acompaña y ajusta lo que haga falta.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Franco aplica las decisiones</w:t>
      </w:r>
      <w:r>
        <w:t xml:space="preserve"> que cambien el motor o el contrato (TCEA con gastos, seguros por defecto, tasa nominal) y repite la validación con los mismos 48 escenarios.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Franco implementa US05 en </w:t>
      </w:r>
      <w:r>
        <w:rPr>
          <w:rStyle w:val="CodeChar"/>
          <w:b/>
        </w:rPr>
        <w:t xml:space="preserve">hiposim-app-mobile</w:t>
      </w:r>
      <w:r>
        <w:t xml:space="preserve">, en una rama </w:t>
      </w:r>
      <w:r>
        <w:rPr>
          <w:rStyle w:val="CodeChar"/>
        </w:rPr>
        <w:t xml:space="preserve">feature/us05-good-payer-bonus</w:t>
      </w:r>
      <w:r>
        <w:t xml:space="preserve"> según GitFlow, cuando Diego tenga la capa de red; Diego revisa el Pull Request.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Completar la evidencia pendiente:</w:t>
      </w:r>
      <w:r>
        <w:t xml:space="preserve"> URL del repositorio, commits y Pull Requests, integración continua, capturas de la ejecución y colección de Postman (con Gustavo).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Actualizar el informe:</w:t>
      </w:r>
      <w:r>
        <w:t xml:space="preserve"> el ejemplo de la sección 5.2.6, el diccionario de clases de 4.9 (</w:t>
      </w:r>
      <w:r>
        <w:rPr>
          <w:rStyle w:val="CodeChar"/>
        </w:rPr>
        <w:t xml:space="preserve">StateBenefit</w:t>
      </w:r>
      <w:r>
        <w:t xml:space="preserve">) y las secciones de evidencia de la API.</w:t>
      </w:r>
    </w:p>
    <w:p>
      <w:pPr>
        <w:pStyle w:val="Heading2"/>
      </w:pPr>
      <w:r>
        <w:t xml:space="preserve">Anexos</w:t>
      </w:r>
    </w:p>
    <w:p>
      <w:pPr/>
      <w:r>
        <w:t xml:space="preserve">Todo el trabajo está en </w:t>
      </w:r>
      <w:r>
        <w:rPr>
          <w:rStyle w:val="CodeChar"/>
        </w:rPr>
        <w:t xml:space="preserve">C:\Users\franc\HipoSim\financial-engine</w:t>
      </w:r>
      <w:r>
        <w:t xml:space="preserve">, una solución .NET que todavía no es un repositorio git, de unas 2,600 líneas de C# entre código y pruebas.</w:t>
      </w:r>
    </w:p>
    <w:p>
      <w:pPr>
        <w:pStyle w:val="Heading3"/>
      </w:pPr>
      <w:r>
        <w:t xml:space="preserve">A. Archivos entregados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contiene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Líneas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src/HipoSim.FinancialEngine/</w:t>
            </w:r>
          </w:p>
        </w:tc>
        <w:tc>
          <w:tcPr>
            <w:tcW w:w="3120" w:type="dxa"/>
          </w:tcPr>
          <w:p>
            <w:pPr/>
            <w:r>
              <w:t xml:space="preserve">Motor financiero: conversión de tasas, amortización, VAN, TIR, TCEA y bono (SP02)</w:t>
            </w:r>
          </w:p>
        </w:tc>
        <w:tc>
          <w:tcPr>
            <w:tcW w:w="3120" w:type="dxa"/>
          </w:tcPr>
          <w:p>
            <w:pPr/>
            <w:r>
              <w:t xml:space="preserve">571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src/HipoSim.Simulations/</w:t>
            </w:r>
          </w:p>
        </w:tc>
        <w:tc>
          <w:tcPr>
            <w:tcW w:w="3120" w:type="dxa"/>
          </w:tcPr>
          <w:p>
            <w:pPr/>
            <w:r>
              <w:t xml:space="preserve">Validador, servicio, controlador, contratos y puerto de persistencia (TS06)</w:t>
            </w:r>
          </w:p>
        </w:tc>
        <w:tc>
          <w:tcPr>
            <w:tcW w:w="3120" w:type="dxa"/>
          </w:tcPr>
          <w:p>
            <w:pPr/>
            <w:r>
              <w:t xml:space="preserve">483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tests/HipoSim.FinancialEngine.Tests/</w:t>
            </w:r>
          </w:p>
        </w:tc>
        <w:tc>
          <w:tcPr>
            <w:tcW w:w="3120" w:type="dxa"/>
          </w:tcPr>
          <w:p>
            <w:pPr/>
            <w:r>
              <w:t xml:space="preserve">106 pruebas y los datos de paridad (48 casos, 746 KB)</w:t>
            </w:r>
          </w:p>
        </w:tc>
        <w:tc>
          <w:tcPr>
            <w:tcW w:w="3120" w:type="dxa"/>
          </w:tcPr>
          <w:p>
            <w:pPr/>
            <w:r>
              <w:t xml:space="preserve">734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tests/HipoSim.Simulations.Tests/</w:t>
            </w:r>
          </w:p>
        </w:tc>
        <w:tc>
          <w:tcPr>
            <w:tcW w:w="3120" w:type="dxa"/>
          </w:tcPr>
          <w:p>
            <w:pPr/>
            <w:r>
              <w:t xml:space="preserve">60 pruebas de validador, servicio, endpoint y contrato</w:t>
            </w:r>
          </w:p>
        </w:tc>
        <w:tc>
          <w:tcPr>
            <w:tcW w:w="3120" w:type="dxa"/>
          </w:tcPr>
          <w:p>
            <w:pPr/>
            <w:r>
              <w:t xml:space="preserve">767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samples/HipoSim.EnginePrototype/</w:t>
            </w:r>
          </w:p>
        </w:tc>
        <w:tc>
          <w:tcPr>
            <w:tcW w:w="3120" w:type="dxa"/>
          </w:tcPr>
          <w:p>
            <w:pPr/>
            <w:r>
              <w:t xml:space="preserve">Prototipo de consola del cálculo</w:t>
            </w:r>
          </w:p>
        </w:tc>
        <w:tc>
          <w:tcPr>
            <w:tcW w:w="3120" w:type="dxa"/>
          </w:tcPr>
          <w:p>
            <w:pPr/>
            <w:r>
              <w:t xml:space="preserve">34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docs/api-contract/openapi.v0.yaml</w:t>
            </w:r>
          </w:p>
        </w:tc>
        <w:tc>
          <w:tcPr>
            <w:tcW w:w="3120" w:type="dxa"/>
          </w:tcPr>
          <w:p>
            <w:pPr/>
            <w:r>
              <w:t xml:space="preserve">Contrato de API v0</w:t>
            </w:r>
          </w:p>
        </w:tc>
        <w:tc>
          <w:tcPr>
            <w:tcW w:w="3120" w:type="dxa"/>
          </w:tcPr>
          <w:p>
            <w:pPr/>
            <w:r>
              <w:t xml:space="preserve">676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docs/engine-validation.md</w:t>
            </w:r>
          </w:p>
        </w:tc>
        <w:tc>
          <w:tcPr>
            <w:tcW w:w="3120" w:type="dxa"/>
          </w:tcPr>
          <w:p>
            <w:pPr/>
            <w:r>
              <w:t xml:space="preserve">Documento de validación del motor y Testing Suite Evidence</w:t>
            </w:r>
          </w:p>
        </w:tc>
        <w:tc>
          <w:tcPr>
            <w:tcW w:w="3120" w:type="dxa"/>
          </w:tcPr>
          <w:p>
            <w:pPr/>
            <w:r>
              <w:t xml:space="preserve">352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tools/generate_parity_cases.py</w:t>
            </w:r>
          </w:p>
        </w:tc>
        <w:tc>
          <w:tcPr>
            <w:tcW w:w="3120" w:type="dxa"/>
          </w:tcPr>
          <w:p>
            <w:pPr/>
            <w:r>
              <w:t xml:space="preserve">Generador de casos de paridad con el motor Python original</w:t>
            </w:r>
          </w:p>
        </w:tc>
        <w:tc>
          <w:tcPr>
            <w:tcW w:w="3120" w:type="dxa"/>
          </w:tcPr>
          <w:p>
            <w:pPr/>
            <w:r>
              <w:t xml:space="preserve">159</w:t>
            </w:r>
          </w:p>
        </w:tc>
      </w:tr>
    </w:tbl>
    <w:p>
      <w:pPr>
        <w:pStyle w:val="Heading3"/>
      </w:pPr>
      <w:r>
        <w:t xml:space="preserve">B. Cómo ejecutar</w:t>
      </w:r>
    </w:p>
    <w:p>
      <w:pPr>
        <w:pStyle w:val="Code"/>
      </w:pPr>
      <w:bookmarkStart w:id="6" w:name="bongo_lang_bash_6"/>
      <w:bookmarkEnd w:id="6"/>
      <w:r>
        <w:t xml:space="preserve">dotnet test</w:t>
        <w:br/>
        <w:t xml:space="preserve">dotnet run --project samples/HipoSim.EnginePrototype</w:t>
      </w:r>
    </w:p>
    <w:p>
      <w:pPr/>
      <w:r>
        <w:t xml:space="preserve">La solución se abre con el archivo </w:t>
      </w:r>
      <w:r>
        <w:rPr>
          <w:rStyle w:val="CodeChar"/>
        </w:rPr>
        <w:t xml:space="preserve">HipoSim.FinancialEngine.sln</w:t>
      </w:r>
      <w:r>
        <w:t xml:space="preserve"> en JetBrains Rider o en Visual Studio 2022 (versión 17.12 o superior, por .NET 9).</w:t>
      </w:r>
    </w:p>
    <w:p>
      <w:pPr>
        <w:pStyle w:val="Heading3"/>
      </w:pPr>
      <w:r>
        <w:t xml:space="preserve">C. Entorno de las mediciones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SDK de .NET</w:t>
            </w:r>
          </w:p>
        </w:tc>
        <w:tc>
          <w:tcPr>
            <w:tcW w:w="4680" w:type="dxa"/>
          </w:tcPr>
          <w:p>
            <w:pPr/>
            <w:r>
              <w:t xml:space="preserve">9.0.318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Destino de las bibliotecas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net8.0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Destino de las pruebas y del prototipo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net9.0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Sistema operativo</w:t>
            </w:r>
          </w:p>
        </w:tc>
        <w:tc>
          <w:tcPr>
            <w:tcW w:w="4680" w:type="dxa"/>
          </w:tcPr>
          <w:p>
            <w:pPr/>
            <w:r>
              <w:t xml:space="preserve">Windows 11, versión 10.0.26200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Python (solo para regenerar los datos de paridad)</w:t>
            </w:r>
          </w:p>
        </w:tc>
        <w:tc>
          <w:tcPr>
            <w:tcW w:w="4680" w:type="dxa"/>
          </w:tcPr>
          <w:p>
            <w:pPr/>
            <w:r>
              <w:t xml:space="preserve">3.11.7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 de las pruebas y mediciones</w:t>
            </w:r>
          </w:p>
        </w:tc>
        <w:tc>
          <w:tcPr>
            <w:tcW w:w="4680" w:type="dxa"/>
          </w:tcPr>
          <w:p>
            <w:pPr/>
            <w:r>
              <w:t xml:space="preserve">3 de octubre de 2026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de avance y contrato de API v0 (motor de simulación)</dc:title>
  <dc:description>Claude Docs node/e3d29018-3e31@29 docx-w6</dc:description>
  <cp:revision>29</cp:revision>
</cp:coreProperties>
</file>