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2FC2" w:rsidRPr="00F84A73" w:rsidRDefault="00F84A73" w:rsidP="00F84A73">
      <w:pPr>
        <w:pStyle w:val="NoSpacing"/>
        <w:rPr>
          <w:b/>
        </w:rPr>
      </w:pPr>
      <w:r w:rsidRPr="00F84A73">
        <w:rPr>
          <w:b/>
        </w:rPr>
        <w:t>Aura Cuervo Gómez</w:t>
      </w:r>
    </w:p>
    <w:p w:rsidR="00F84A73" w:rsidRPr="00F84A73" w:rsidRDefault="00F84A73" w:rsidP="00F84A73">
      <w:pPr>
        <w:pStyle w:val="NoSpacing"/>
        <w:rPr>
          <w:b/>
        </w:rPr>
      </w:pPr>
      <w:r w:rsidRPr="00F84A73">
        <w:rPr>
          <w:b/>
        </w:rPr>
        <w:t>Tarea  4 – Sismología</w:t>
      </w:r>
    </w:p>
    <w:p w:rsidR="00F84A73" w:rsidRPr="00F84A73" w:rsidRDefault="00F84A73" w:rsidP="00F84A73">
      <w:pPr>
        <w:pStyle w:val="NoSpacing"/>
        <w:rPr>
          <w:b/>
        </w:rPr>
      </w:pPr>
      <w:r w:rsidRPr="00F84A73">
        <w:rPr>
          <w:b/>
        </w:rPr>
        <w:t>Universidad de Chile</w:t>
      </w:r>
    </w:p>
    <w:p w:rsidR="00F84A73" w:rsidRDefault="00F84A73" w:rsidP="00F84A73">
      <w:pPr>
        <w:jc w:val="center"/>
        <w:rPr>
          <w:b/>
        </w:rPr>
      </w:pPr>
      <w:r w:rsidRPr="00F84A73">
        <w:rPr>
          <w:b/>
        </w:rPr>
        <w:t>Mecanismos focales</w:t>
      </w:r>
    </w:p>
    <w:p w:rsidR="00E21075" w:rsidRDefault="00E21075" w:rsidP="004A537D">
      <w:pPr>
        <w:jc w:val="both"/>
        <w:rPr>
          <w:b/>
        </w:rPr>
      </w:pPr>
      <w:r>
        <w:rPr>
          <w:b/>
        </w:rPr>
        <w:t>Evento 1</w:t>
      </w:r>
    </w:p>
    <w:p w:rsidR="00E21075" w:rsidRDefault="00E21075" w:rsidP="004A537D">
      <w:pPr>
        <w:jc w:val="both"/>
      </w:pPr>
      <w:r>
        <w:t>La localización del epicentro de este evento sísmico se muestra en la figura 1</w:t>
      </w:r>
      <w:r w:rsidR="004A537D">
        <w:t xml:space="preserve">. El hipocentro se encuentra a 81.1 km de profundidad, por lo tanto, la sismicidad es </w:t>
      </w:r>
      <w:proofErr w:type="spellStart"/>
      <w:r w:rsidR="004A537D">
        <w:t>intraplaca</w:t>
      </w:r>
      <w:proofErr w:type="spellEnd"/>
      <w:r w:rsidR="004A537D">
        <w:t xml:space="preserve"> </w:t>
      </w:r>
      <w:r w:rsidR="009A260D">
        <w:t>de profundidad intermedia</w:t>
      </w:r>
      <w:r>
        <w:t xml:space="preserve">. No se tuvieron en cuenta los tiempos de llegada de las ondas p y s a la estación POZO porque aumentaba bastante el error asociado al </w:t>
      </w:r>
      <w:r w:rsidR="002261BA">
        <w:t>cálculo.</w:t>
      </w:r>
      <w:r w:rsidR="004A537D">
        <w:t xml:space="preserve"> Finalmente, el </w:t>
      </w:r>
      <w:proofErr w:type="spellStart"/>
      <w:r w:rsidR="004A537D">
        <w:t>rms</w:t>
      </w:r>
      <w:proofErr w:type="spellEnd"/>
      <w:r w:rsidR="004A537D">
        <w:t xml:space="preserve"> es de 0.34.</w:t>
      </w:r>
    </w:p>
    <w:p w:rsidR="00E21075" w:rsidRDefault="00E21075" w:rsidP="002261BA">
      <w:pPr>
        <w:jc w:val="center"/>
      </w:pPr>
      <w:r>
        <w:rPr>
          <w:noProof/>
          <w:lang w:val="en-US"/>
        </w:rPr>
        <w:drawing>
          <wp:inline distT="0" distB="0" distL="0" distR="0">
            <wp:extent cx="5531059" cy="330517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1894" t="9668" b="7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464" cy="3306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37D" w:rsidRDefault="004A537D" w:rsidP="002261BA">
      <w:pPr>
        <w:jc w:val="center"/>
      </w:pPr>
      <w:r>
        <w:t>Figura 1. Epicentro del evento 1.</w:t>
      </w:r>
    </w:p>
    <w:p w:rsidR="003B0C2C" w:rsidRDefault="006F272F" w:rsidP="009A260D">
      <w:pPr>
        <w:jc w:val="both"/>
      </w:pPr>
      <w:r>
        <w:t>Por medio del azimut, ángulo de llegada del rayo a las estaciones (Ain) y la polaridad del movimiento de la estación (dilatación o compresión), se encontró un mecanismo focal que describiera adecuadamente el evento (figuras 2 y 3). Dos estaciones que inicialmente se clasificaron como compresión quedaron dentro del área de dilatación, sin embargo, puede deberse a un error al momento de ubicar el</w:t>
      </w:r>
      <w:r w:rsidR="003B0C2C">
        <w:t xml:space="preserve"> tiempo de llegada de la onda p. Los datos obtenidos son: </w:t>
      </w:r>
    </w:p>
    <w:p w:rsidR="003B0C2C" w:rsidRDefault="003B0C2C" w:rsidP="003B0C2C">
      <w:pPr>
        <w:pStyle w:val="ListParagraph"/>
        <w:numPr>
          <w:ilvl w:val="0"/>
          <w:numId w:val="1"/>
        </w:numPr>
        <w:jc w:val="both"/>
      </w:pPr>
      <w:r>
        <w:t>Strike: 12°</w:t>
      </w:r>
    </w:p>
    <w:p w:rsidR="003B0C2C" w:rsidRDefault="003B0C2C" w:rsidP="003B0C2C">
      <w:pPr>
        <w:pStyle w:val="ListParagraph"/>
        <w:numPr>
          <w:ilvl w:val="0"/>
          <w:numId w:val="1"/>
        </w:numPr>
        <w:jc w:val="both"/>
      </w:pPr>
      <w:proofErr w:type="spellStart"/>
      <w:r>
        <w:t>Dip</w:t>
      </w:r>
      <w:proofErr w:type="spellEnd"/>
      <w:r>
        <w:t xml:space="preserve"> </w:t>
      </w:r>
      <w:proofErr w:type="spellStart"/>
      <w:r>
        <w:t>angle</w:t>
      </w:r>
      <w:proofErr w:type="spellEnd"/>
      <w:r>
        <w:t>: 70°</w:t>
      </w:r>
    </w:p>
    <w:p w:rsidR="003B0C2C" w:rsidRDefault="003B0C2C" w:rsidP="003B0C2C">
      <w:pPr>
        <w:pStyle w:val="ListParagraph"/>
        <w:numPr>
          <w:ilvl w:val="0"/>
          <w:numId w:val="1"/>
        </w:numPr>
        <w:jc w:val="both"/>
      </w:pPr>
      <w:r>
        <w:t>Slip: 90° (se toma el eje positivo hacia abajo)</w:t>
      </w:r>
      <w:r w:rsidR="00EA4AAB">
        <w:t>.</w:t>
      </w:r>
    </w:p>
    <w:p w:rsidR="003B0C2C" w:rsidRDefault="003B0C2C" w:rsidP="003B0C2C">
      <w:pPr>
        <w:jc w:val="both"/>
      </w:pPr>
      <w:r>
        <w:t xml:space="preserve">De acuerdo al mecanismo focal obtenido, la ruptura corresponde a una falla normal. Discriminar cuál </w:t>
      </w:r>
      <w:r w:rsidR="00460E5A">
        <w:t>de la</w:t>
      </w:r>
      <w:r>
        <w:t xml:space="preserve">s dos </w:t>
      </w:r>
      <w:r w:rsidR="00460E5A">
        <w:t xml:space="preserve">líneas nodales </w:t>
      </w:r>
      <w:r>
        <w:t>es el plano de ruptura</w:t>
      </w:r>
      <w:r w:rsidR="00460E5A">
        <w:t xml:space="preserve"> </w:t>
      </w:r>
      <w:r w:rsidR="00460E5A">
        <w:t>no es posible</w:t>
      </w:r>
      <w:r>
        <w:t xml:space="preserve"> </w:t>
      </w:r>
      <w:r w:rsidR="00B835A8">
        <w:t xml:space="preserve">con la información que </w:t>
      </w:r>
      <w:r w:rsidR="00B835A8">
        <w:lastRenderedPageBreak/>
        <w:t>tenemos</w:t>
      </w:r>
      <w:r w:rsidR="00460E5A">
        <w:t>,</w:t>
      </w:r>
      <w:r w:rsidR="00B835A8">
        <w:t xml:space="preserve"> </w:t>
      </w:r>
      <w:r w:rsidR="00EA4AAB">
        <w:t>porque la configuración tectónica</w:t>
      </w:r>
      <w:r w:rsidR="00460E5A">
        <w:t xml:space="preserve"> de los sismos </w:t>
      </w:r>
      <w:proofErr w:type="spellStart"/>
      <w:r w:rsidR="00460E5A">
        <w:t>intraplaca</w:t>
      </w:r>
      <w:proofErr w:type="spellEnd"/>
      <w:r w:rsidR="00EA4AAB">
        <w:t xml:space="preserve"> permite tener ambos planos. Aun así, observando la disposición de las réplicas en el </w:t>
      </w:r>
      <w:proofErr w:type="spellStart"/>
      <w:r w:rsidR="00EA4AAB">
        <w:t>slab</w:t>
      </w:r>
      <w:proofErr w:type="spellEnd"/>
      <w:r w:rsidR="00EA4AAB">
        <w:t xml:space="preserve"> o realizando una inversión de datos es posible determinar el plano. </w:t>
      </w:r>
    </w:p>
    <w:p w:rsidR="004A537D" w:rsidRDefault="004A537D" w:rsidP="002261BA">
      <w:pPr>
        <w:jc w:val="center"/>
      </w:pPr>
      <w:r>
        <w:rPr>
          <w:noProof/>
          <w:lang w:val="en-US"/>
        </w:rPr>
        <w:drawing>
          <wp:inline distT="0" distB="0" distL="0" distR="0">
            <wp:extent cx="2343150" cy="16192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l="39390" t="39042" r="39304" b="34749"/>
                    <a:stretch/>
                  </pic:blipFill>
                  <pic:spPr bwMode="auto">
                    <a:xfrm>
                      <a:off x="0" y="0"/>
                      <a:ext cx="23431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6CBF" w:rsidRPr="00186CBF">
        <w:t xml:space="preserve"> </w:t>
      </w:r>
      <w:r w:rsidR="00186CBF">
        <w:rPr>
          <w:noProof/>
          <w:lang w:val="en-US"/>
        </w:rPr>
        <w:drawing>
          <wp:inline distT="0" distB="0" distL="0" distR="0">
            <wp:extent cx="3402651" cy="3164203"/>
            <wp:effectExtent l="0" t="114300" r="0" b="93980"/>
            <wp:docPr id="3" name="Picture 3" descr="C:\Users\Aura Cuervo\AppData\Local\Microsoft\Windows\INetCache\Content.Word\20150602_160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ura Cuervo\AppData\Local\Microsoft\Windows\INetCache\Content.Word\20150602_16023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85" r="16877"/>
                    <a:stretch/>
                  </pic:blipFill>
                  <pic:spPr bwMode="auto">
                    <a:xfrm rot="5400000">
                      <a:off x="0" y="0"/>
                      <a:ext cx="3403035" cy="31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B0C2C" w:rsidRDefault="003B0C2C" w:rsidP="002261BA">
      <w:pPr>
        <w:jc w:val="center"/>
      </w:pPr>
      <w:r>
        <w:t>Figuras 2 y 3. Mecanismo focal del evento 1.</w:t>
      </w:r>
    </w:p>
    <w:p w:rsidR="003B0C2C" w:rsidRDefault="00EA4AAB" w:rsidP="00EA4AAB">
      <w:pPr>
        <w:jc w:val="both"/>
        <w:rPr>
          <w:b/>
        </w:rPr>
      </w:pPr>
      <w:r w:rsidRPr="00EA4AAB">
        <w:rPr>
          <w:b/>
        </w:rPr>
        <w:t>Evento 2</w:t>
      </w:r>
    </w:p>
    <w:p w:rsidR="00EA4AAB" w:rsidRPr="00EA4AAB" w:rsidRDefault="00EA4AAB" w:rsidP="00EA4AAB">
      <w:pPr>
        <w:jc w:val="both"/>
      </w:pPr>
      <w:r>
        <w:t xml:space="preserve">En la figura 4 se muestra la ubicación del epicentro del evento 2, cuyo </w:t>
      </w:r>
      <w:r w:rsidR="001C40E8">
        <w:t xml:space="preserve">hipocentro está a 106.4 km de profundidad. Al igual que en el caso anterior, no se tuvieron en cuenta los datos de la estación POZO. El </w:t>
      </w:r>
      <w:proofErr w:type="spellStart"/>
      <w:r w:rsidR="001C40E8">
        <w:t>rms</w:t>
      </w:r>
      <w:proofErr w:type="spellEnd"/>
      <w:r w:rsidR="001C40E8">
        <w:t xml:space="preserve"> final es de 0.38. </w:t>
      </w:r>
    </w:p>
    <w:p w:rsidR="004A537D" w:rsidRDefault="004A537D" w:rsidP="002261B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4987579" cy="31718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6307" t="9366" b="7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160" cy="3174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0E8" w:rsidRDefault="001C40E8" w:rsidP="002261BA">
      <w:pPr>
        <w:jc w:val="center"/>
      </w:pPr>
      <w:r>
        <w:t>Figura 4. Localización del evento 2.</w:t>
      </w:r>
    </w:p>
    <w:p w:rsidR="001C40E8" w:rsidRDefault="005D3D79" w:rsidP="001C40E8">
      <w:pPr>
        <w:jc w:val="both"/>
      </w:pPr>
      <w:r>
        <w:t>El mecanismo focal que mejor describe el evento 2 se presenta en las figuras 5 y 6.</w:t>
      </w:r>
      <w:r w:rsidR="00460E5A">
        <w:t xml:space="preserve"> En este caso, una de las estaciones clasificadas previamente como dilatación </w:t>
      </w:r>
      <w:r w:rsidR="008151DE">
        <w:t>quedó dentro de la zona de compresión, en el registro no es claro porque se encuentra cerca a uno de los nodos de la pelota.</w:t>
      </w:r>
      <w:r>
        <w:t xml:space="preserve"> Los datos obtenidos son: </w:t>
      </w:r>
    </w:p>
    <w:p w:rsidR="005D3D79" w:rsidRDefault="005D3D79" w:rsidP="005D3D79">
      <w:pPr>
        <w:pStyle w:val="ListParagraph"/>
        <w:numPr>
          <w:ilvl w:val="0"/>
          <w:numId w:val="1"/>
        </w:numPr>
        <w:jc w:val="both"/>
      </w:pPr>
      <w:r>
        <w:t>Strike: 20°</w:t>
      </w:r>
    </w:p>
    <w:p w:rsidR="005D3D79" w:rsidRDefault="005D3D79" w:rsidP="005D3D79">
      <w:pPr>
        <w:pStyle w:val="ListParagraph"/>
        <w:numPr>
          <w:ilvl w:val="0"/>
          <w:numId w:val="1"/>
        </w:numPr>
        <w:jc w:val="both"/>
      </w:pPr>
      <w:proofErr w:type="spellStart"/>
      <w:r>
        <w:t>Dip</w:t>
      </w:r>
      <w:proofErr w:type="spellEnd"/>
      <w:r>
        <w:t>: 63°</w:t>
      </w:r>
    </w:p>
    <w:p w:rsidR="005D3D79" w:rsidRDefault="005D3D79" w:rsidP="005D3D79">
      <w:pPr>
        <w:pStyle w:val="ListParagraph"/>
        <w:numPr>
          <w:ilvl w:val="0"/>
          <w:numId w:val="1"/>
        </w:numPr>
        <w:jc w:val="both"/>
      </w:pPr>
      <w:r>
        <w:t>Slip: -90°</w:t>
      </w:r>
    </w:p>
    <w:p w:rsidR="001C40E8" w:rsidRDefault="005D3D79" w:rsidP="005D3D79">
      <w:pPr>
        <w:jc w:val="both"/>
      </w:pPr>
      <w:r>
        <w:t>Por lo tanto, este evento es ocasionado por una falla inversa.</w:t>
      </w:r>
    </w:p>
    <w:p w:rsidR="004A537D" w:rsidRDefault="004A537D" w:rsidP="002261B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2285999" cy="15367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40370" t="40243" r="39987" b="36254"/>
                    <a:stretch/>
                  </pic:blipFill>
                  <pic:spPr bwMode="auto">
                    <a:xfrm>
                      <a:off x="0" y="0"/>
                      <a:ext cx="2286161" cy="153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6CBF">
        <w:t xml:space="preserve"> </w:t>
      </w:r>
      <w:r w:rsidR="00186CBF">
        <w:rPr>
          <w:noProof/>
          <w:lang w:val="en-US"/>
        </w:rPr>
        <w:drawing>
          <wp:inline distT="0" distB="0" distL="0" distR="0" wp14:anchorId="21026DC9" wp14:editId="753A7169">
            <wp:extent cx="3488376" cy="3164203"/>
            <wp:effectExtent l="0" t="171450" r="0" b="151130"/>
            <wp:docPr id="2" name="Picture 2" descr="C:\Users\Aura Cuervo\AppData\Local\Microsoft\Windows\INetCache\Content.Word\20150602_160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ura Cuervo\AppData\Local\Microsoft\Windows\INetCache\Content.Word\20150602_1602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22" r="13314"/>
                    <a:stretch/>
                  </pic:blipFill>
                  <pic:spPr bwMode="auto">
                    <a:xfrm rot="5400000">
                      <a:off x="0" y="0"/>
                      <a:ext cx="3488770" cy="31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D79" w:rsidRDefault="005D3D79" w:rsidP="002261BA">
      <w:pPr>
        <w:jc w:val="center"/>
      </w:pPr>
      <w:r>
        <w:t>Figuras 5 y 6. Mecanismo focal del evento 2.</w:t>
      </w:r>
    </w:p>
    <w:p w:rsidR="00A00128" w:rsidRDefault="00A00128" w:rsidP="005D3D79">
      <w:pPr>
        <w:jc w:val="both"/>
      </w:pPr>
    </w:p>
    <w:p w:rsidR="004732C9" w:rsidRPr="004732C9" w:rsidRDefault="004732C9" w:rsidP="005D3D79">
      <w:pPr>
        <w:jc w:val="both"/>
        <w:rPr>
          <w:b/>
        </w:rPr>
      </w:pPr>
      <w:r w:rsidRPr="004732C9">
        <w:rPr>
          <w:b/>
        </w:rPr>
        <w:t>Pregunta 3:</w:t>
      </w:r>
    </w:p>
    <w:p w:rsidR="005D3D79" w:rsidRDefault="003D3F98" w:rsidP="005D3D79">
      <w:pPr>
        <w:jc w:val="both"/>
      </w:pPr>
      <w:r>
        <w:t xml:space="preserve">Los mecanismos focales hallados anteriormente muestran una vista desde abajo, sin embargo, también es posible realizarlos en una vista </w:t>
      </w:r>
      <w:r w:rsidR="00A00128">
        <w:t>desde arriba. Para esto se debe tener en cuenta la siguiente condición:</w:t>
      </w:r>
    </w:p>
    <w:p w:rsidR="00A00128" w:rsidRDefault="00A00128" w:rsidP="00A00128">
      <w:pPr>
        <w:ind w:firstLine="708"/>
        <w:jc w:val="both"/>
      </w:pPr>
      <w:r>
        <w:t xml:space="preserve">Si Ain&lt;90 : </w:t>
      </w:r>
      <w:r w:rsidR="008151DE">
        <w:tab/>
      </w:r>
      <w:r>
        <w:t>Ain’</w:t>
      </w:r>
      <w:r w:rsidR="008151DE">
        <w:t xml:space="preserve"> =  180-Ain</w:t>
      </w:r>
      <w:r w:rsidR="008151DE">
        <w:tab/>
        <w:t xml:space="preserve">y  </w:t>
      </w:r>
      <w:proofErr w:type="spellStart"/>
      <w:r>
        <w:t>Az</w:t>
      </w:r>
      <w:proofErr w:type="spellEnd"/>
      <w:r>
        <w:t>’ = 180+-</w:t>
      </w:r>
      <w:proofErr w:type="spellStart"/>
      <w:r>
        <w:t>Az</w:t>
      </w:r>
      <w:proofErr w:type="spellEnd"/>
    </w:p>
    <w:p w:rsidR="004732C9" w:rsidRDefault="004732C9" w:rsidP="004732C9">
      <w:pPr>
        <w:jc w:val="both"/>
        <w:rPr>
          <w:b/>
        </w:rPr>
      </w:pPr>
      <w:r>
        <w:rPr>
          <w:b/>
        </w:rPr>
        <w:t>Pregunta 4</w:t>
      </w:r>
      <w:r w:rsidRPr="004732C9">
        <w:rPr>
          <w:b/>
        </w:rPr>
        <w:t>:</w:t>
      </w:r>
    </w:p>
    <w:p w:rsidR="004732C9" w:rsidRDefault="008151DE" w:rsidP="004732C9">
      <w:pPr>
        <w:jc w:val="both"/>
      </w:pPr>
      <w:r>
        <w:t xml:space="preserve">En un ambiente de subducción hay dos tipos de fuerzas </w:t>
      </w:r>
      <w:r w:rsidR="000F7E28">
        <w:t xml:space="preserve">predominantes: </w:t>
      </w:r>
      <w:proofErr w:type="spellStart"/>
      <w:r w:rsidR="004732C9">
        <w:t>slab</w:t>
      </w:r>
      <w:proofErr w:type="spellEnd"/>
      <w:r w:rsidR="004732C9">
        <w:t xml:space="preserve"> </w:t>
      </w:r>
      <w:proofErr w:type="spellStart"/>
      <w:r w:rsidR="004732C9">
        <w:t>pull</w:t>
      </w:r>
      <w:proofErr w:type="spellEnd"/>
      <w:r w:rsidR="004732C9">
        <w:t xml:space="preserve"> y </w:t>
      </w:r>
      <w:proofErr w:type="spellStart"/>
      <w:r w:rsidR="004732C9">
        <w:t>slab</w:t>
      </w:r>
      <w:proofErr w:type="spellEnd"/>
      <w:r w:rsidR="004732C9">
        <w:t xml:space="preserve"> </w:t>
      </w:r>
      <w:proofErr w:type="spellStart"/>
      <w:r w:rsidR="004732C9">
        <w:t>push</w:t>
      </w:r>
      <w:proofErr w:type="spellEnd"/>
      <w:r w:rsidR="000F7E28">
        <w:t xml:space="preserve">. El </w:t>
      </w:r>
      <w:proofErr w:type="spellStart"/>
      <w:r w:rsidR="000F7E28">
        <w:t>slab</w:t>
      </w:r>
      <w:proofErr w:type="spellEnd"/>
      <w:r w:rsidR="000F7E28">
        <w:t xml:space="preserve"> </w:t>
      </w:r>
      <w:proofErr w:type="spellStart"/>
      <w:r w:rsidR="000F7E28">
        <w:t>pull</w:t>
      </w:r>
      <w:proofErr w:type="spellEnd"/>
      <w:r w:rsidR="000F7E28">
        <w:t xml:space="preserve"> está asociado a la extensión, por lo que produce fallas normales. Mientras que el </w:t>
      </w:r>
      <w:proofErr w:type="spellStart"/>
      <w:r w:rsidR="000F7E28">
        <w:t>slab</w:t>
      </w:r>
      <w:proofErr w:type="spellEnd"/>
      <w:r w:rsidR="000F7E28">
        <w:t xml:space="preserve"> </w:t>
      </w:r>
      <w:proofErr w:type="spellStart"/>
      <w:r w:rsidR="000F7E28">
        <w:t>push</w:t>
      </w:r>
      <w:proofErr w:type="spellEnd"/>
      <w:r w:rsidR="000F7E28">
        <w:t xml:space="preserve"> está relacionado a fuerzas compresivas, generando fallas inversas. </w:t>
      </w:r>
    </w:p>
    <w:p w:rsidR="000F7E28" w:rsidRDefault="000F7E28" w:rsidP="004732C9">
      <w:pPr>
        <w:jc w:val="both"/>
      </w:pPr>
    </w:p>
    <w:p w:rsidR="000F7E28" w:rsidRDefault="000F7E28" w:rsidP="004732C9">
      <w:pPr>
        <w:jc w:val="both"/>
      </w:pPr>
      <w:r>
        <w:t xml:space="preserve">En conclusión, los resultados obtenidos son coherentes con los datos proporcionados y la configuración tectónica de la zona, porque en el </w:t>
      </w:r>
      <w:proofErr w:type="spellStart"/>
      <w:r>
        <w:t>slab</w:t>
      </w:r>
      <w:proofErr w:type="spellEnd"/>
      <w:r>
        <w:t xml:space="preserve"> a profundidad intermedia se </w:t>
      </w:r>
      <w:proofErr w:type="gramStart"/>
      <w:r>
        <w:t>pueden</w:t>
      </w:r>
      <w:proofErr w:type="gramEnd"/>
      <w:r>
        <w:t xml:space="preserve"> generar estos tipos de fallas. </w:t>
      </w:r>
    </w:p>
    <w:p w:rsidR="000F7E28" w:rsidRDefault="000F7E28" w:rsidP="004732C9">
      <w:pPr>
        <w:jc w:val="both"/>
      </w:pPr>
    </w:p>
    <w:p w:rsidR="004732C9" w:rsidRPr="004732C9" w:rsidRDefault="004732C9" w:rsidP="004732C9">
      <w:pPr>
        <w:jc w:val="both"/>
      </w:pPr>
    </w:p>
    <w:p w:rsidR="00A00128" w:rsidRPr="00E21075" w:rsidRDefault="00A00128" w:rsidP="00A00128">
      <w:pPr>
        <w:jc w:val="both"/>
      </w:pPr>
    </w:p>
    <w:sectPr w:rsidR="00A00128" w:rsidRPr="00E21075" w:rsidSect="006576E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B84A25"/>
    <w:multiLevelType w:val="hybridMultilevel"/>
    <w:tmpl w:val="916690EE"/>
    <w:lvl w:ilvl="0" w:tplc="9A7E39B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F84A73"/>
    <w:rsid w:val="000F7E28"/>
    <w:rsid w:val="00186CBF"/>
    <w:rsid w:val="001C40E8"/>
    <w:rsid w:val="002261BA"/>
    <w:rsid w:val="003B0C2C"/>
    <w:rsid w:val="003D3F98"/>
    <w:rsid w:val="00460E5A"/>
    <w:rsid w:val="004732C9"/>
    <w:rsid w:val="004A537D"/>
    <w:rsid w:val="005D3D79"/>
    <w:rsid w:val="006576E3"/>
    <w:rsid w:val="006F272F"/>
    <w:rsid w:val="008151DE"/>
    <w:rsid w:val="008E758E"/>
    <w:rsid w:val="009A260D"/>
    <w:rsid w:val="009C0691"/>
    <w:rsid w:val="00A00128"/>
    <w:rsid w:val="00A67ADF"/>
    <w:rsid w:val="00B835A8"/>
    <w:rsid w:val="00CB6520"/>
    <w:rsid w:val="00E21075"/>
    <w:rsid w:val="00EA4AAB"/>
    <w:rsid w:val="00F84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89D280B-1657-4234-B62E-5FCC032EF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76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84A73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10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107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B0C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5</Pages>
  <Words>445</Words>
  <Characters>2541</Characters>
  <Application>Microsoft Office Word</Application>
  <DocSecurity>0</DocSecurity>
  <Lines>21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Aura Cuervo Gómez</cp:lastModifiedBy>
  <cp:revision>7</cp:revision>
  <dcterms:created xsi:type="dcterms:W3CDTF">2015-06-02T17:53:00Z</dcterms:created>
  <dcterms:modified xsi:type="dcterms:W3CDTF">2015-06-03T03:56:00Z</dcterms:modified>
</cp:coreProperties>
</file>