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C6D24" w14:textId="2793E0E9" w:rsidR="00496D80" w:rsidRPr="00496D80" w:rsidRDefault="00496D80" w:rsidP="00496D80">
      <w:pPr>
        <w:adjustRightInd w:val="0"/>
        <w:snapToGrid w:val="0"/>
        <w:ind w:firstLineChars="50" w:firstLine="160"/>
        <w:rPr>
          <w:rFonts w:ascii="方正小标宋简体" w:eastAsia="方正小标宋简体" w:hAnsi="宋体" w:cs="仿宋" w:hint="eastAsia"/>
          <w:color w:val="000000" w:themeColor="text1"/>
          <w:sz w:val="32"/>
          <w:szCs w:val="32"/>
        </w:rPr>
      </w:pPr>
      <w:r w:rsidRPr="00CD5A6A">
        <w:rPr>
          <w:rFonts w:ascii="方正小标宋简体" w:eastAsia="方正小标宋简体" w:hAnsi="宋体" w:cs="宋体" w:hint="eastAsia"/>
          <w:color w:val="000000" w:themeColor="text1"/>
          <w:kern w:val="0"/>
          <w:sz w:val="32"/>
          <w:szCs w:val="32"/>
        </w:rPr>
        <w:t>中国国际大学生创新大赛（2025）广州大学校赛</w:t>
      </w:r>
      <w:r w:rsidRPr="00CD5A6A">
        <w:rPr>
          <w:rFonts w:ascii="方正小标宋简体" w:eastAsia="方正小标宋简体" w:hAnsi="宋体" w:cs="仿宋" w:hint="eastAsia"/>
          <w:color w:val="000000" w:themeColor="text1"/>
          <w:sz w:val="32"/>
          <w:szCs w:val="32"/>
        </w:rPr>
        <w:t>报名表</w:t>
      </w:r>
    </w:p>
    <w:tbl>
      <w:tblPr>
        <w:tblW w:w="8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977"/>
        <w:gridCol w:w="850"/>
        <w:gridCol w:w="425"/>
        <w:gridCol w:w="1134"/>
        <w:gridCol w:w="1404"/>
      </w:tblGrid>
      <w:tr w:rsidR="00496D80" w14:paraId="3A14E35A" w14:textId="77777777" w:rsidTr="00E40297">
        <w:trPr>
          <w:trHeight w:val="417"/>
          <w:jc w:val="center"/>
        </w:trPr>
        <w:tc>
          <w:tcPr>
            <w:tcW w:w="1980" w:type="dxa"/>
            <w:vAlign w:val="center"/>
          </w:tcPr>
          <w:p w14:paraId="6FF6C202" w14:textId="77777777" w:rsidR="00496D80" w:rsidRDefault="00496D80" w:rsidP="00F25100">
            <w:pPr>
              <w:jc w:val="center"/>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项目名称</w:t>
            </w:r>
          </w:p>
        </w:tc>
        <w:tc>
          <w:tcPr>
            <w:tcW w:w="6790" w:type="dxa"/>
            <w:gridSpan w:val="5"/>
          </w:tcPr>
          <w:p w14:paraId="687DB851" w14:textId="24A4D5FE" w:rsidR="00496D80" w:rsidRDefault="00E40297" w:rsidP="00F25100">
            <w:pPr>
              <w:rPr>
                <w:rFonts w:ascii="仿宋_GB2312" w:eastAsia="仿宋_GB2312" w:hAnsi="仿宋" w:cs="仿宋" w:hint="eastAsia"/>
                <w:color w:val="000000" w:themeColor="text1"/>
                <w:szCs w:val="21"/>
              </w:rPr>
            </w:pPr>
            <w:r w:rsidRPr="00E40297">
              <w:rPr>
                <w:rFonts w:ascii="仿宋_GB2312" w:eastAsia="仿宋_GB2312" w:hAnsi="仿宋" w:cs="仿宋" w:hint="eastAsia"/>
                <w:color w:val="000000" w:themeColor="text1"/>
                <w:szCs w:val="21"/>
              </w:rPr>
              <w:t>重塑零售Retail ReImagined</w:t>
            </w:r>
            <w:r>
              <w:rPr>
                <w:rFonts w:ascii="仿宋_GB2312" w:eastAsia="仿宋_GB2312" w:hAnsi="仿宋" w:cs="仿宋" w:hint="eastAsia"/>
                <w:color w:val="000000" w:themeColor="text1"/>
                <w:szCs w:val="21"/>
              </w:rPr>
              <w:t xml:space="preserve"> </w:t>
            </w:r>
            <w:r w:rsidRPr="00E40297">
              <w:rPr>
                <w:rFonts w:ascii="仿宋_GB2312" w:eastAsia="仿宋_GB2312" w:hAnsi="仿宋" w:cs="仿宋" w:hint="eastAsia"/>
                <w:color w:val="000000" w:themeColor="text1"/>
                <w:szCs w:val="21"/>
              </w:rPr>
              <w:t>(ReRI)</w:t>
            </w:r>
            <w:r>
              <w:rPr>
                <w:rFonts w:ascii="仿宋_GB2312" w:eastAsia="仿宋_GB2312" w:hAnsi="仿宋" w:cs="仿宋" w:hint="eastAsia"/>
                <w:color w:val="000000" w:themeColor="text1"/>
                <w:szCs w:val="21"/>
              </w:rPr>
              <w:t xml:space="preserve"> </w:t>
            </w:r>
            <w:r w:rsidRPr="00E40297">
              <w:rPr>
                <w:rFonts w:ascii="仿宋_GB2312" w:eastAsia="仿宋_GB2312" w:hAnsi="仿宋" w:cs="仿宋" w:hint="eastAsia"/>
                <w:color w:val="000000" w:themeColor="text1"/>
                <w:szCs w:val="21"/>
              </w:rPr>
              <w:t>AI智能零售系统</w:t>
            </w:r>
          </w:p>
        </w:tc>
      </w:tr>
      <w:tr w:rsidR="00496D80" w14:paraId="5294775E" w14:textId="77777777" w:rsidTr="00E40297">
        <w:trPr>
          <w:trHeight w:val="412"/>
          <w:jc w:val="center"/>
        </w:trPr>
        <w:tc>
          <w:tcPr>
            <w:tcW w:w="1980" w:type="dxa"/>
            <w:vAlign w:val="center"/>
          </w:tcPr>
          <w:p w14:paraId="4E62CB10" w14:textId="77777777" w:rsidR="00496D80" w:rsidRDefault="00496D80" w:rsidP="00F25100">
            <w:pPr>
              <w:jc w:val="center"/>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参赛组别</w:t>
            </w:r>
          </w:p>
        </w:tc>
        <w:tc>
          <w:tcPr>
            <w:tcW w:w="6790" w:type="dxa"/>
            <w:gridSpan w:val="5"/>
            <w:vAlign w:val="center"/>
          </w:tcPr>
          <w:p w14:paraId="3F14F6B6" w14:textId="1EFF82D0" w:rsidR="00496D80" w:rsidRDefault="00496D80" w:rsidP="00F25100">
            <w:pPr>
              <w:ind w:firstLineChars="100" w:firstLine="210"/>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 xml:space="preserve">□本科生创意组    </w:t>
            </w:r>
            <w:r w:rsidR="00E40297">
              <w:rPr>
                <w:rFonts w:ascii="Segoe UI Emoji" w:eastAsia="仿宋_GB2312" w:hAnsi="Segoe UI Emoji" w:cs="Segoe UI Emoji" w:hint="eastAsia"/>
                <w:color w:val="000000" w:themeColor="text1"/>
                <w:szCs w:val="21"/>
              </w:rPr>
              <w:t>✅</w:t>
            </w:r>
            <w:r>
              <w:rPr>
                <w:rFonts w:ascii="仿宋_GB2312" w:eastAsia="仿宋_GB2312" w:hAnsi="仿宋" w:cs="仿宋" w:hint="eastAsia"/>
                <w:color w:val="000000" w:themeColor="text1"/>
                <w:szCs w:val="21"/>
              </w:rPr>
              <w:t xml:space="preserve">本科生创业组          </w:t>
            </w:r>
          </w:p>
          <w:p w14:paraId="22496C0D" w14:textId="77777777" w:rsidR="00496D80" w:rsidRDefault="00496D80" w:rsidP="00F25100">
            <w:pPr>
              <w:ind w:leftChars="100" w:left="420" w:hangingChars="100" w:hanging="210"/>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 xml:space="preserve">□研究生创意组    □研究生创业组        </w:t>
            </w:r>
          </w:p>
          <w:p w14:paraId="75C2F095" w14:textId="77777777" w:rsidR="00496D80" w:rsidRDefault="00496D80" w:rsidP="00F25100">
            <w:pPr>
              <w:ind w:leftChars="100" w:left="420" w:hangingChars="100" w:hanging="210"/>
              <w:rPr>
                <w:rFonts w:ascii="仿宋_GB2312" w:eastAsia="仿宋_GB2312" w:hAnsi="仿宋" w:cs="仿宋" w:hint="eastAsia"/>
                <w:color w:val="000000" w:themeColor="text1"/>
                <w:sz w:val="20"/>
                <w:szCs w:val="20"/>
              </w:rPr>
            </w:pPr>
            <w:r>
              <w:rPr>
                <w:rFonts w:ascii="仿宋_GB2312" w:eastAsia="仿宋_GB2312" w:hAnsi="仿宋" w:cs="仿宋" w:hint="eastAsia"/>
                <w:color w:val="000000" w:themeColor="text1"/>
                <w:szCs w:val="21"/>
              </w:rPr>
              <w:t>□</w:t>
            </w:r>
            <w:proofErr w:type="gramStart"/>
            <w:r>
              <w:rPr>
                <w:rFonts w:ascii="仿宋_GB2312" w:eastAsia="仿宋_GB2312" w:hAnsi="仿宋" w:cs="仿宋" w:hint="eastAsia"/>
                <w:color w:val="000000" w:themeColor="text1"/>
                <w:szCs w:val="21"/>
              </w:rPr>
              <w:t>红旅公益</w:t>
            </w:r>
            <w:proofErr w:type="gramEnd"/>
            <w:r>
              <w:rPr>
                <w:rFonts w:ascii="仿宋_GB2312" w:eastAsia="仿宋_GB2312" w:hAnsi="仿宋" w:cs="仿宋" w:hint="eastAsia"/>
                <w:color w:val="000000" w:themeColor="text1"/>
                <w:szCs w:val="21"/>
              </w:rPr>
              <w:t>组      □</w:t>
            </w:r>
            <w:proofErr w:type="gramStart"/>
            <w:r>
              <w:rPr>
                <w:rFonts w:ascii="仿宋_GB2312" w:eastAsia="仿宋_GB2312" w:hAnsi="仿宋" w:cs="仿宋" w:hint="eastAsia"/>
                <w:color w:val="000000" w:themeColor="text1"/>
                <w:szCs w:val="21"/>
              </w:rPr>
              <w:t>红旅创意</w:t>
            </w:r>
            <w:proofErr w:type="gramEnd"/>
            <w:r>
              <w:rPr>
                <w:rFonts w:ascii="仿宋_GB2312" w:eastAsia="仿宋_GB2312" w:hAnsi="仿宋" w:cs="仿宋" w:hint="eastAsia"/>
                <w:color w:val="000000" w:themeColor="text1"/>
                <w:szCs w:val="21"/>
              </w:rPr>
              <w:t>组      □</w:t>
            </w:r>
            <w:proofErr w:type="gramStart"/>
            <w:r>
              <w:rPr>
                <w:rFonts w:ascii="仿宋_GB2312" w:eastAsia="仿宋_GB2312" w:hAnsi="仿宋" w:cs="仿宋" w:hint="eastAsia"/>
                <w:color w:val="000000" w:themeColor="text1"/>
                <w:szCs w:val="21"/>
              </w:rPr>
              <w:t>红旅创业组</w:t>
            </w:r>
            <w:proofErr w:type="gramEnd"/>
          </w:p>
        </w:tc>
      </w:tr>
      <w:tr w:rsidR="00496D80" w14:paraId="7906E7FD" w14:textId="77777777" w:rsidTr="00E40297">
        <w:trPr>
          <w:trHeight w:val="387"/>
          <w:jc w:val="center"/>
        </w:trPr>
        <w:tc>
          <w:tcPr>
            <w:tcW w:w="1980" w:type="dxa"/>
            <w:vAlign w:val="center"/>
          </w:tcPr>
          <w:p w14:paraId="24B43913" w14:textId="77777777" w:rsidR="00496D80" w:rsidRDefault="00496D80" w:rsidP="00F25100">
            <w:pPr>
              <w:jc w:val="center"/>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项目负责人</w:t>
            </w:r>
          </w:p>
        </w:tc>
        <w:tc>
          <w:tcPr>
            <w:tcW w:w="2977" w:type="dxa"/>
          </w:tcPr>
          <w:p w14:paraId="30FE6545" w14:textId="14750DC0" w:rsidR="00496D80" w:rsidRDefault="00E40297" w:rsidP="00F25100">
            <w:pPr>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张景致</w:t>
            </w:r>
          </w:p>
        </w:tc>
        <w:tc>
          <w:tcPr>
            <w:tcW w:w="850" w:type="dxa"/>
            <w:vAlign w:val="center"/>
          </w:tcPr>
          <w:p w14:paraId="2A7FD9F7" w14:textId="77777777" w:rsidR="00496D80" w:rsidRDefault="00496D80" w:rsidP="00F25100">
            <w:pPr>
              <w:jc w:val="center"/>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性</w:t>
            </w:r>
            <w:r>
              <w:rPr>
                <w:rFonts w:ascii="仿宋_GB2312" w:eastAsia="仿宋_GB2312" w:hAnsi="仿宋" w:cs="仿宋"/>
                <w:color w:val="000000" w:themeColor="text1"/>
                <w:szCs w:val="21"/>
              </w:rPr>
              <w:t xml:space="preserve">  </w:t>
            </w:r>
            <w:r>
              <w:rPr>
                <w:rFonts w:ascii="仿宋_GB2312" w:eastAsia="仿宋_GB2312" w:hAnsi="仿宋" w:cs="仿宋" w:hint="eastAsia"/>
                <w:color w:val="000000" w:themeColor="text1"/>
                <w:szCs w:val="21"/>
              </w:rPr>
              <w:t>别</w:t>
            </w:r>
          </w:p>
        </w:tc>
        <w:tc>
          <w:tcPr>
            <w:tcW w:w="425" w:type="dxa"/>
            <w:vAlign w:val="center"/>
          </w:tcPr>
          <w:p w14:paraId="05D9A0AA" w14:textId="6808A0E6" w:rsidR="00496D80" w:rsidRDefault="00E40297" w:rsidP="00F25100">
            <w:pPr>
              <w:jc w:val="center"/>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男</w:t>
            </w:r>
          </w:p>
        </w:tc>
        <w:tc>
          <w:tcPr>
            <w:tcW w:w="1134" w:type="dxa"/>
            <w:vAlign w:val="center"/>
          </w:tcPr>
          <w:p w14:paraId="08F55BA0" w14:textId="77777777" w:rsidR="00496D80" w:rsidRDefault="00496D80" w:rsidP="00F25100">
            <w:pPr>
              <w:jc w:val="center"/>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手机号码</w:t>
            </w:r>
          </w:p>
        </w:tc>
        <w:tc>
          <w:tcPr>
            <w:tcW w:w="1404" w:type="dxa"/>
            <w:vAlign w:val="center"/>
          </w:tcPr>
          <w:p w14:paraId="47C8AFA3" w14:textId="16B51483" w:rsidR="00496D80" w:rsidRDefault="00E40297" w:rsidP="00F25100">
            <w:pPr>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13660605355</w:t>
            </w:r>
          </w:p>
        </w:tc>
      </w:tr>
      <w:tr w:rsidR="00496D80" w14:paraId="4EA6C407" w14:textId="77777777" w:rsidTr="00E40297">
        <w:trPr>
          <w:trHeight w:val="452"/>
          <w:jc w:val="center"/>
        </w:trPr>
        <w:tc>
          <w:tcPr>
            <w:tcW w:w="1980" w:type="dxa"/>
            <w:vAlign w:val="center"/>
          </w:tcPr>
          <w:p w14:paraId="18FEC4B5" w14:textId="77777777" w:rsidR="00496D80" w:rsidRDefault="00496D80" w:rsidP="00F25100">
            <w:pPr>
              <w:jc w:val="center"/>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所在院系</w:t>
            </w:r>
          </w:p>
        </w:tc>
        <w:tc>
          <w:tcPr>
            <w:tcW w:w="2977" w:type="dxa"/>
          </w:tcPr>
          <w:p w14:paraId="00CD0789" w14:textId="4C553405" w:rsidR="00496D80" w:rsidRDefault="00E40297" w:rsidP="00F25100">
            <w:pPr>
              <w:jc w:val="left"/>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计算机科学与网络工程学院</w:t>
            </w:r>
          </w:p>
        </w:tc>
        <w:tc>
          <w:tcPr>
            <w:tcW w:w="1275" w:type="dxa"/>
            <w:gridSpan w:val="2"/>
            <w:vAlign w:val="center"/>
          </w:tcPr>
          <w:p w14:paraId="54A6B396" w14:textId="77777777" w:rsidR="00496D80" w:rsidRDefault="00496D80" w:rsidP="00F25100">
            <w:pPr>
              <w:jc w:val="center"/>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专业</w:t>
            </w:r>
            <w:r>
              <w:rPr>
                <w:rFonts w:ascii="仿宋_GB2312" w:eastAsia="仿宋_GB2312" w:hAnsi="仿宋" w:cs="仿宋"/>
                <w:color w:val="000000" w:themeColor="text1"/>
                <w:szCs w:val="21"/>
              </w:rPr>
              <w:t>/</w:t>
            </w:r>
            <w:r>
              <w:rPr>
                <w:rFonts w:ascii="仿宋_GB2312" w:eastAsia="仿宋_GB2312" w:hAnsi="仿宋" w:cs="仿宋" w:hint="eastAsia"/>
                <w:color w:val="000000" w:themeColor="text1"/>
                <w:szCs w:val="21"/>
              </w:rPr>
              <w:t>年级</w:t>
            </w:r>
          </w:p>
        </w:tc>
        <w:tc>
          <w:tcPr>
            <w:tcW w:w="2538" w:type="dxa"/>
            <w:gridSpan w:val="2"/>
            <w:vAlign w:val="center"/>
          </w:tcPr>
          <w:p w14:paraId="1A4470C4" w14:textId="0825BF08" w:rsidR="00496D80" w:rsidRDefault="00E40297" w:rsidP="00F25100">
            <w:pPr>
              <w:jc w:val="left"/>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软件工程 2021级</w:t>
            </w:r>
          </w:p>
        </w:tc>
      </w:tr>
      <w:tr w:rsidR="00496D80" w14:paraId="2A71164D" w14:textId="77777777" w:rsidTr="00E40297">
        <w:trPr>
          <w:trHeight w:val="417"/>
          <w:jc w:val="center"/>
        </w:trPr>
        <w:tc>
          <w:tcPr>
            <w:tcW w:w="1980" w:type="dxa"/>
            <w:vAlign w:val="center"/>
          </w:tcPr>
          <w:p w14:paraId="6EBB1C8D" w14:textId="77777777" w:rsidR="00496D80" w:rsidRDefault="00496D80" w:rsidP="00F25100">
            <w:pPr>
              <w:jc w:val="center"/>
              <w:rPr>
                <w:rFonts w:ascii="仿宋_GB2312" w:eastAsia="仿宋_GB2312" w:hAnsi="仿宋" w:cs="仿宋" w:hint="eastAsia"/>
                <w:color w:val="000000" w:themeColor="text1"/>
                <w:szCs w:val="21"/>
              </w:rPr>
            </w:pPr>
            <w:proofErr w:type="gramStart"/>
            <w:r>
              <w:rPr>
                <w:rFonts w:ascii="仿宋_GB2312" w:eastAsia="仿宋_GB2312" w:hAnsi="仿宋" w:cs="仿宋" w:hint="eastAsia"/>
                <w:color w:val="000000" w:themeColor="text1"/>
                <w:szCs w:val="21"/>
              </w:rPr>
              <w:t>邮</w:t>
            </w:r>
            <w:proofErr w:type="gramEnd"/>
            <w:r>
              <w:rPr>
                <w:rFonts w:ascii="仿宋_GB2312" w:eastAsia="仿宋_GB2312" w:hAnsi="仿宋" w:cs="仿宋"/>
                <w:color w:val="000000" w:themeColor="text1"/>
                <w:szCs w:val="21"/>
              </w:rPr>
              <w:t xml:space="preserve">    </w:t>
            </w:r>
            <w:r>
              <w:rPr>
                <w:rFonts w:ascii="仿宋_GB2312" w:eastAsia="仿宋_GB2312" w:hAnsi="仿宋" w:cs="仿宋" w:hint="eastAsia"/>
                <w:color w:val="000000" w:themeColor="text1"/>
                <w:szCs w:val="21"/>
              </w:rPr>
              <w:t>箱</w:t>
            </w:r>
          </w:p>
        </w:tc>
        <w:tc>
          <w:tcPr>
            <w:tcW w:w="2977" w:type="dxa"/>
          </w:tcPr>
          <w:p w14:paraId="1B434F87" w14:textId="372007C9" w:rsidR="00496D80" w:rsidRDefault="00E40297" w:rsidP="00F25100">
            <w:pPr>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jzhi_zhang@e.gzhu.edu.cn</w:t>
            </w:r>
          </w:p>
        </w:tc>
        <w:tc>
          <w:tcPr>
            <w:tcW w:w="1275" w:type="dxa"/>
            <w:gridSpan w:val="2"/>
            <w:vAlign w:val="center"/>
          </w:tcPr>
          <w:p w14:paraId="004E9CBA" w14:textId="77777777" w:rsidR="00496D80" w:rsidRDefault="00496D80" w:rsidP="00F25100">
            <w:pPr>
              <w:jc w:val="center"/>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微</w:t>
            </w:r>
            <w:r>
              <w:rPr>
                <w:rFonts w:ascii="仿宋_GB2312" w:eastAsia="仿宋_GB2312" w:hAnsi="仿宋" w:cs="仿宋"/>
                <w:color w:val="000000" w:themeColor="text1"/>
                <w:szCs w:val="21"/>
              </w:rPr>
              <w:t xml:space="preserve">    </w:t>
            </w:r>
            <w:r>
              <w:rPr>
                <w:rFonts w:ascii="仿宋_GB2312" w:eastAsia="仿宋_GB2312" w:hAnsi="仿宋" w:cs="仿宋" w:hint="eastAsia"/>
                <w:color w:val="000000" w:themeColor="text1"/>
                <w:szCs w:val="21"/>
              </w:rPr>
              <w:t>信</w:t>
            </w:r>
          </w:p>
        </w:tc>
        <w:tc>
          <w:tcPr>
            <w:tcW w:w="2538" w:type="dxa"/>
            <w:gridSpan w:val="2"/>
            <w:vAlign w:val="center"/>
          </w:tcPr>
          <w:p w14:paraId="62DF4543" w14:textId="14C3B2B5" w:rsidR="00496D80" w:rsidRDefault="00E40297" w:rsidP="00F25100">
            <w:pPr>
              <w:jc w:val="left"/>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(与手机同号)</w:t>
            </w:r>
          </w:p>
        </w:tc>
      </w:tr>
      <w:tr w:rsidR="00496D80" w14:paraId="30E1FB48" w14:textId="77777777" w:rsidTr="00E40297">
        <w:trPr>
          <w:trHeight w:val="1271"/>
          <w:jc w:val="center"/>
        </w:trPr>
        <w:tc>
          <w:tcPr>
            <w:tcW w:w="1980" w:type="dxa"/>
            <w:vAlign w:val="center"/>
          </w:tcPr>
          <w:p w14:paraId="4F714C9B" w14:textId="77777777" w:rsidR="00496D80" w:rsidRDefault="00496D80" w:rsidP="00F25100">
            <w:pPr>
              <w:jc w:val="center"/>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其他成员情况</w:t>
            </w:r>
          </w:p>
          <w:p w14:paraId="4894BED5" w14:textId="77777777" w:rsidR="00496D80" w:rsidRDefault="00496D80" w:rsidP="00F25100">
            <w:pPr>
              <w:jc w:val="center"/>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（不少于2人，不多于14人）</w:t>
            </w:r>
          </w:p>
        </w:tc>
        <w:tc>
          <w:tcPr>
            <w:tcW w:w="6790" w:type="dxa"/>
            <w:gridSpan w:val="5"/>
          </w:tcPr>
          <w:p w14:paraId="5DAD6B33" w14:textId="77777777" w:rsidR="00C11EAE" w:rsidRPr="00C11EAE" w:rsidRDefault="00C11EAE" w:rsidP="00C11EAE">
            <w:pPr>
              <w:jc w:val="left"/>
              <w:rPr>
                <w:rFonts w:ascii="仿宋_GB2312" w:eastAsia="仿宋_GB2312" w:hAnsi="仿宋" w:cs="仿宋" w:hint="eastAsia"/>
                <w:color w:val="000000" w:themeColor="text1"/>
                <w:szCs w:val="21"/>
              </w:rPr>
            </w:pPr>
            <w:proofErr w:type="gramStart"/>
            <w:r w:rsidRPr="00C11EAE">
              <w:rPr>
                <w:rFonts w:ascii="仿宋_GB2312" w:eastAsia="仿宋_GB2312" w:hAnsi="仿宋" w:cs="仿宋" w:hint="eastAsia"/>
                <w:color w:val="000000" w:themeColor="text1"/>
                <w:szCs w:val="21"/>
              </w:rPr>
              <w:t>陈宜铭</w:t>
            </w:r>
            <w:proofErr w:type="gramEnd"/>
            <w:r w:rsidRPr="00C11EAE">
              <w:rPr>
                <w:rFonts w:ascii="仿宋_GB2312" w:eastAsia="仿宋_GB2312" w:hAnsi="仿宋" w:cs="仿宋" w:hint="eastAsia"/>
                <w:color w:val="000000" w:themeColor="text1"/>
                <w:szCs w:val="21"/>
              </w:rPr>
              <w:t xml:space="preserve"> 人工智能学院 人工智能 2024级</w:t>
            </w:r>
          </w:p>
          <w:p w14:paraId="2D97E3D0" w14:textId="370B65D9" w:rsidR="00C11EAE" w:rsidRDefault="00C11EAE" w:rsidP="00C11EAE">
            <w:pPr>
              <w:jc w:val="left"/>
              <w:rPr>
                <w:rFonts w:ascii="仿宋_GB2312" w:eastAsia="仿宋_GB2312" w:hAnsi="仿宋" w:cs="仿宋" w:hint="eastAsia"/>
                <w:color w:val="000000" w:themeColor="text1"/>
                <w:szCs w:val="21"/>
              </w:rPr>
            </w:pPr>
            <w:r w:rsidRPr="00C11EAE">
              <w:rPr>
                <w:rFonts w:ascii="仿宋_GB2312" w:eastAsia="仿宋_GB2312" w:hAnsi="仿宋" w:cs="仿宋" w:hint="eastAsia"/>
                <w:color w:val="000000" w:themeColor="text1"/>
                <w:szCs w:val="21"/>
              </w:rPr>
              <w:t>吴越 计算机科学与网络工程学院 计算机科学2023级</w:t>
            </w:r>
          </w:p>
          <w:p w14:paraId="0D69DA22" w14:textId="6610CD11" w:rsidR="00496D80" w:rsidRDefault="00C11EAE" w:rsidP="00C11EAE">
            <w:pPr>
              <w:jc w:val="left"/>
              <w:rPr>
                <w:rFonts w:ascii="仿宋_GB2312" w:eastAsia="仿宋_GB2312" w:hAnsi="仿宋" w:cs="仿宋" w:hint="eastAsia"/>
                <w:color w:val="000000" w:themeColor="text1"/>
                <w:szCs w:val="21"/>
              </w:rPr>
            </w:pPr>
            <w:r w:rsidRPr="00C11EAE">
              <w:rPr>
                <w:rFonts w:ascii="仿宋_GB2312" w:eastAsia="仿宋_GB2312" w:hAnsi="仿宋" w:cs="仿宋" w:hint="eastAsia"/>
                <w:color w:val="000000" w:themeColor="text1"/>
                <w:szCs w:val="21"/>
              </w:rPr>
              <w:t>王川 人工智能学院 人工智能2024级</w:t>
            </w:r>
          </w:p>
        </w:tc>
      </w:tr>
      <w:tr w:rsidR="00496D80" w14:paraId="0E7E29DA" w14:textId="77777777" w:rsidTr="00E40297">
        <w:trPr>
          <w:trHeight w:val="1353"/>
          <w:jc w:val="center"/>
        </w:trPr>
        <w:tc>
          <w:tcPr>
            <w:tcW w:w="1980" w:type="dxa"/>
            <w:vAlign w:val="center"/>
          </w:tcPr>
          <w:p w14:paraId="6871C415" w14:textId="77777777" w:rsidR="00496D80" w:rsidRDefault="00496D80" w:rsidP="00F25100">
            <w:pPr>
              <w:jc w:val="center"/>
              <w:rPr>
                <w:rFonts w:ascii="仿宋_GB2312" w:eastAsia="仿宋_GB2312" w:hAnsi="仿宋" w:cs="仿宋" w:hint="eastAsia"/>
                <w:color w:val="000000" w:themeColor="text1"/>
                <w:szCs w:val="21"/>
              </w:rPr>
            </w:pPr>
            <w:r>
              <w:rPr>
                <w:rFonts w:ascii="仿宋_GB2312" w:eastAsia="仿宋_GB2312" w:hAnsi="仿宋" w:cs="仿宋" w:hint="eastAsia"/>
                <w:color w:val="000000" w:themeColor="text1"/>
                <w:szCs w:val="21"/>
              </w:rPr>
              <w:t>指导老师基本信息（学院、专业、个人简介等）</w:t>
            </w:r>
          </w:p>
        </w:tc>
        <w:tc>
          <w:tcPr>
            <w:tcW w:w="6790" w:type="dxa"/>
            <w:gridSpan w:val="5"/>
          </w:tcPr>
          <w:p w14:paraId="6F7C4C0B" w14:textId="3CCA1BE9" w:rsidR="00D64EF0" w:rsidRPr="00D64EF0" w:rsidRDefault="00E639B5" w:rsidP="00D64EF0">
            <w:pPr>
              <w:spacing w:beforeAutospacing="1" w:afterAutospacing="1" w:line="23" w:lineRule="atLeast"/>
            </w:pPr>
            <w:r w:rsidRPr="00E639B5">
              <w:rPr>
                <w:rFonts w:hint="eastAsia"/>
                <w:sz w:val="18"/>
                <w:szCs w:val="21"/>
              </w:rPr>
              <w:t>闫红洋，</w:t>
            </w:r>
            <w:r w:rsidRPr="00E639B5">
              <w:rPr>
                <w:rFonts w:hint="eastAsia"/>
                <w:sz w:val="18"/>
                <w:szCs w:val="21"/>
              </w:rPr>
              <w:t>2019</w:t>
            </w:r>
            <w:r w:rsidRPr="00E639B5">
              <w:rPr>
                <w:rFonts w:hint="eastAsia"/>
                <w:sz w:val="18"/>
                <w:szCs w:val="21"/>
              </w:rPr>
              <w:t>年毕业于南开大学，</w:t>
            </w:r>
            <w:r w:rsidRPr="00E639B5">
              <w:rPr>
                <w:rFonts w:hint="eastAsia"/>
                <w:sz w:val="18"/>
                <w:szCs w:val="21"/>
              </w:rPr>
              <w:t>2021</w:t>
            </w:r>
            <w:r w:rsidRPr="00E639B5">
              <w:rPr>
                <w:rFonts w:hint="eastAsia"/>
                <w:sz w:val="18"/>
                <w:szCs w:val="21"/>
              </w:rPr>
              <w:t>年加入广州大学担任副教授，从事机器学习研究。已发表和录用高水平学术论文</w:t>
            </w:r>
            <w:r w:rsidRPr="00E639B5">
              <w:rPr>
                <w:rFonts w:hint="eastAsia"/>
                <w:sz w:val="18"/>
                <w:szCs w:val="21"/>
              </w:rPr>
              <w:t>40</w:t>
            </w:r>
            <w:r w:rsidRPr="00E639B5">
              <w:rPr>
                <w:rFonts w:hint="eastAsia"/>
                <w:sz w:val="18"/>
                <w:szCs w:val="21"/>
              </w:rPr>
              <w:t>余篇，包括</w:t>
            </w:r>
            <w:r w:rsidRPr="00E639B5">
              <w:rPr>
                <w:rFonts w:hint="eastAsia"/>
                <w:sz w:val="18"/>
                <w:szCs w:val="21"/>
              </w:rPr>
              <w:t>CCF-A</w:t>
            </w:r>
            <w:r w:rsidRPr="00E639B5">
              <w:rPr>
                <w:rFonts w:hint="eastAsia"/>
                <w:sz w:val="18"/>
                <w:szCs w:val="21"/>
              </w:rPr>
              <w:t>类论文</w:t>
            </w:r>
            <w:r w:rsidRPr="00E639B5">
              <w:rPr>
                <w:rFonts w:hint="eastAsia"/>
                <w:sz w:val="18"/>
                <w:szCs w:val="21"/>
              </w:rPr>
              <w:t>6</w:t>
            </w:r>
            <w:r w:rsidRPr="00E639B5">
              <w:rPr>
                <w:rFonts w:hint="eastAsia"/>
                <w:sz w:val="18"/>
                <w:szCs w:val="21"/>
              </w:rPr>
              <w:t>篇（第一作者</w:t>
            </w:r>
            <w:r w:rsidRPr="00E639B5">
              <w:rPr>
                <w:rFonts w:hint="eastAsia"/>
                <w:sz w:val="18"/>
                <w:szCs w:val="21"/>
              </w:rPr>
              <w:t>/</w:t>
            </w:r>
            <w:r w:rsidRPr="00E639B5">
              <w:rPr>
                <w:rFonts w:hint="eastAsia"/>
                <w:sz w:val="18"/>
                <w:szCs w:val="21"/>
              </w:rPr>
              <w:t>通讯作者</w:t>
            </w:r>
            <w:r w:rsidRPr="00E639B5">
              <w:rPr>
                <w:rFonts w:hint="eastAsia"/>
                <w:sz w:val="18"/>
                <w:szCs w:val="21"/>
              </w:rPr>
              <w:t>4</w:t>
            </w:r>
            <w:r w:rsidRPr="00E639B5">
              <w:rPr>
                <w:rFonts w:hint="eastAsia"/>
                <w:sz w:val="18"/>
                <w:szCs w:val="21"/>
              </w:rPr>
              <w:t>篇），中科院一区论文</w:t>
            </w:r>
            <w:r w:rsidRPr="00E639B5">
              <w:rPr>
                <w:rFonts w:hint="eastAsia"/>
                <w:sz w:val="18"/>
                <w:szCs w:val="21"/>
              </w:rPr>
              <w:t>18</w:t>
            </w:r>
            <w:r w:rsidRPr="00E639B5">
              <w:rPr>
                <w:rFonts w:hint="eastAsia"/>
                <w:sz w:val="18"/>
                <w:szCs w:val="21"/>
              </w:rPr>
              <w:t>篇（第一作者</w:t>
            </w:r>
            <w:r w:rsidRPr="00E639B5">
              <w:rPr>
                <w:rFonts w:hint="eastAsia"/>
                <w:sz w:val="18"/>
                <w:szCs w:val="21"/>
              </w:rPr>
              <w:t>/</w:t>
            </w:r>
            <w:r w:rsidRPr="00E639B5">
              <w:rPr>
                <w:rFonts w:hint="eastAsia"/>
                <w:sz w:val="18"/>
                <w:szCs w:val="21"/>
              </w:rPr>
              <w:t>通讯作者</w:t>
            </w:r>
            <w:r w:rsidRPr="00E639B5">
              <w:rPr>
                <w:rFonts w:hint="eastAsia"/>
                <w:sz w:val="18"/>
                <w:szCs w:val="21"/>
              </w:rPr>
              <w:t>10</w:t>
            </w:r>
            <w:r w:rsidRPr="00E639B5">
              <w:rPr>
                <w:rFonts w:hint="eastAsia"/>
                <w:sz w:val="18"/>
                <w:szCs w:val="21"/>
              </w:rPr>
              <w:t>篇）。申请人研究成果受到学术同行的广泛关注和引用，入选</w:t>
            </w:r>
            <w:r w:rsidRPr="00E639B5">
              <w:rPr>
                <w:rFonts w:hint="eastAsia"/>
                <w:sz w:val="18"/>
                <w:szCs w:val="21"/>
              </w:rPr>
              <w:t>2022</w:t>
            </w:r>
            <w:r w:rsidRPr="00E639B5">
              <w:rPr>
                <w:rFonts w:hint="eastAsia"/>
                <w:sz w:val="18"/>
                <w:szCs w:val="21"/>
              </w:rPr>
              <w:t>年全球前</w:t>
            </w:r>
            <w:r w:rsidRPr="00E639B5">
              <w:rPr>
                <w:rFonts w:hint="eastAsia"/>
                <w:sz w:val="18"/>
                <w:szCs w:val="21"/>
              </w:rPr>
              <w:t>2%</w:t>
            </w:r>
            <w:r w:rsidRPr="00E639B5">
              <w:rPr>
                <w:rFonts w:hint="eastAsia"/>
                <w:sz w:val="18"/>
                <w:szCs w:val="21"/>
              </w:rPr>
              <w:t>顶尖科学家。目前</w:t>
            </w:r>
            <w:r w:rsidRPr="00E639B5">
              <w:rPr>
                <w:rFonts w:hint="eastAsia"/>
                <w:sz w:val="18"/>
                <w:szCs w:val="21"/>
              </w:rPr>
              <w:t>Google Scholar</w:t>
            </w:r>
            <w:r w:rsidRPr="00E639B5">
              <w:rPr>
                <w:rFonts w:hint="eastAsia"/>
                <w:sz w:val="18"/>
                <w:szCs w:val="21"/>
              </w:rPr>
              <w:t>统计总被引</w:t>
            </w:r>
            <w:r w:rsidRPr="00E639B5">
              <w:rPr>
                <w:rFonts w:hint="eastAsia"/>
                <w:sz w:val="18"/>
                <w:szCs w:val="21"/>
              </w:rPr>
              <w:t>1700</w:t>
            </w:r>
            <w:r w:rsidRPr="00E639B5">
              <w:rPr>
                <w:rFonts w:hint="eastAsia"/>
                <w:sz w:val="18"/>
                <w:szCs w:val="21"/>
              </w:rPr>
              <w:t>余次，</w:t>
            </w:r>
            <w:r w:rsidRPr="00E639B5">
              <w:rPr>
                <w:rFonts w:hint="eastAsia"/>
                <w:sz w:val="18"/>
                <w:szCs w:val="21"/>
              </w:rPr>
              <w:t>SCI</w:t>
            </w:r>
            <w:r w:rsidRPr="00E639B5">
              <w:rPr>
                <w:rFonts w:hint="eastAsia"/>
                <w:sz w:val="18"/>
                <w:szCs w:val="21"/>
              </w:rPr>
              <w:t>被引</w:t>
            </w:r>
            <w:r w:rsidRPr="00E639B5">
              <w:rPr>
                <w:rFonts w:hint="eastAsia"/>
                <w:sz w:val="18"/>
                <w:szCs w:val="21"/>
              </w:rPr>
              <w:t>1100</w:t>
            </w:r>
            <w:r w:rsidRPr="00E639B5">
              <w:rPr>
                <w:rFonts w:hint="eastAsia"/>
                <w:sz w:val="18"/>
                <w:szCs w:val="21"/>
              </w:rPr>
              <w:t>余次，</w:t>
            </w:r>
            <w:r w:rsidRPr="00E639B5">
              <w:rPr>
                <w:rFonts w:hint="eastAsia"/>
                <w:sz w:val="18"/>
                <w:szCs w:val="21"/>
              </w:rPr>
              <w:t>H-Index</w:t>
            </w:r>
            <w:r w:rsidRPr="00E639B5">
              <w:rPr>
                <w:rFonts w:hint="eastAsia"/>
                <w:sz w:val="18"/>
                <w:szCs w:val="21"/>
              </w:rPr>
              <w:t>指数</w:t>
            </w:r>
            <w:r w:rsidRPr="00E639B5">
              <w:rPr>
                <w:rFonts w:hint="eastAsia"/>
                <w:sz w:val="18"/>
                <w:szCs w:val="21"/>
              </w:rPr>
              <w:t>20</w:t>
            </w:r>
            <w:r w:rsidRPr="00E639B5">
              <w:rPr>
                <w:rFonts w:hint="eastAsia"/>
                <w:sz w:val="18"/>
                <w:szCs w:val="21"/>
              </w:rPr>
              <w:t>，其中</w:t>
            </w:r>
            <w:r w:rsidRPr="00E639B5">
              <w:rPr>
                <w:rFonts w:hint="eastAsia"/>
                <w:sz w:val="18"/>
                <w:szCs w:val="21"/>
              </w:rPr>
              <w:t>2</w:t>
            </w:r>
            <w:r w:rsidRPr="00E639B5">
              <w:rPr>
                <w:rFonts w:hint="eastAsia"/>
                <w:sz w:val="18"/>
                <w:szCs w:val="21"/>
              </w:rPr>
              <w:t>篇中科院一区论文入选</w:t>
            </w:r>
            <w:r w:rsidRPr="00E639B5">
              <w:rPr>
                <w:rFonts w:hint="eastAsia"/>
                <w:sz w:val="18"/>
                <w:szCs w:val="21"/>
              </w:rPr>
              <w:t>ESI</w:t>
            </w:r>
            <w:r w:rsidRPr="00E639B5">
              <w:rPr>
                <w:rFonts w:hint="eastAsia"/>
                <w:sz w:val="18"/>
                <w:szCs w:val="21"/>
              </w:rPr>
              <w:t>热点论文（均为第一作者和通讯作者），多篇论文获得国际学术会议最佳论文奖。在科研项目方面，主持了国家自然科学基金面上项目、青年项目，国家重点研发计划课题，广东省重点研发项目课题，广州市基础研究计划基础与应用基础研究项目，中国博士后基金项目等；参与国家自然科学基金重点项目、联合基金项目等。担任多个国际学术会议出版主席职务如</w:t>
            </w:r>
            <w:r w:rsidRPr="00E639B5">
              <w:rPr>
                <w:rFonts w:hint="eastAsia"/>
                <w:sz w:val="18"/>
                <w:szCs w:val="21"/>
              </w:rPr>
              <w:t>ML4CS 2022</w:t>
            </w:r>
            <w:r w:rsidRPr="00E639B5">
              <w:rPr>
                <w:rFonts w:hint="eastAsia"/>
                <w:sz w:val="18"/>
                <w:szCs w:val="21"/>
              </w:rPr>
              <w:t>、</w:t>
            </w:r>
            <w:r w:rsidRPr="00E639B5">
              <w:rPr>
                <w:rFonts w:hint="eastAsia"/>
                <w:sz w:val="18"/>
                <w:szCs w:val="21"/>
              </w:rPr>
              <w:t>DMBD2021</w:t>
            </w:r>
            <w:r w:rsidRPr="00E639B5">
              <w:rPr>
                <w:rFonts w:hint="eastAsia"/>
                <w:sz w:val="18"/>
                <w:szCs w:val="21"/>
              </w:rPr>
              <w:t>、</w:t>
            </w:r>
            <w:r w:rsidRPr="00E639B5">
              <w:rPr>
                <w:rFonts w:hint="eastAsia"/>
                <w:sz w:val="18"/>
                <w:szCs w:val="21"/>
              </w:rPr>
              <w:t>ML4CS 2020</w:t>
            </w:r>
            <w:r w:rsidRPr="00E639B5">
              <w:rPr>
                <w:rFonts w:hint="eastAsia"/>
                <w:sz w:val="18"/>
                <w:szCs w:val="21"/>
              </w:rPr>
              <w:t>，和国际期刊编委如</w:t>
            </w:r>
            <w:r w:rsidRPr="00E639B5">
              <w:rPr>
                <w:rFonts w:hint="eastAsia"/>
                <w:sz w:val="18"/>
                <w:szCs w:val="21"/>
              </w:rPr>
              <w:t>International Journal of Intelligent Systems</w:t>
            </w:r>
            <w:r w:rsidRPr="00E639B5">
              <w:rPr>
                <w:rFonts w:hint="eastAsia"/>
                <w:sz w:val="18"/>
                <w:szCs w:val="21"/>
              </w:rPr>
              <w:t>。</w:t>
            </w:r>
          </w:p>
        </w:tc>
      </w:tr>
      <w:tr w:rsidR="00496D80" w14:paraId="51847F31" w14:textId="77777777" w:rsidTr="00E639B5">
        <w:trPr>
          <w:trHeight w:val="215"/>
          <w:jc w:val="center"/>
        </w:trPr>
        <w:tc>
          <w:tcPr>
            <w:tcW w:w="8770" w:type="dxa"/>
            <w:gridSpan w:val="6"/>
          </w:tcPr>
          <w:p w14:paraId="19183A62" w14:textId="77777777" w:rsidR="00496D80" w:rsidRDefault="00496D80" w:rsidP="00F25100">
            <w:pPr>
              <w:autoSpaceDE w:val="0"/>
              <w:autoSpaceDN w:val="0"/>
              <w:adjustRightInd w:val="0"/>
              <w:rPr>
                <w:rFonts w:ascii="仿宋_GB2312" w:eastAsia="仿宋_GB2312" w:hAnsi="仿宋" w:cs="仿宋" w:hint="eastAsia"/>
                <w:color w:val="000000" w:themeColor="text1"/>
              </w:rPr>
            </w:pPr>
            <w:r>
              <w:rPr>
                <w:rFonts w:ascii="仿宋_GB2312" w:eastAsia="仿宋_GB2312" w:hAnsi="仿宋" w:cs="仿宋" w:hint="eastAsia"/>
                <w:color w:val="000000" w:themeColor="text1"/>
              </w:rPr>
              <w:t>项目简介300-500字</w:t>
            </w:r>
            <w:r>
              <w:rPr>
                <w:rFonts w:ascii="仿宋_GB2312" w:eastAsia="仿宋_GB2312" w:hAnsi="仿宋" w:cs="仿宋" w:hint="eastAsia"/>
                <w:color w:val="000000" w:themeColor="text1"/>
                <w:lang w:val="zh-CN"/>
              </w:rPr>
              <w:t>（包括但不限于：项目简介、亮点、市场发展前景等）</w:t>
            </w:r>
          </w:p>
        </w:tc>
      </w:tr>
      <w:tr w:rsidR="00496D80" w14:paraId="0F16ECA5" w14:textId="77777777" w:rsidTr="00F25100">
        <w:trPr>
          <w:trHeight w:val="3948"/>
          <w:jc w:val="center"/>
        </w:trPr>
        <w:tc>
          <w:tcPr>
            <w:tcW w:w="8770" w:type="dxa"/>
            <w:gridSpan w:val="6"/>
          </w:tcPr>
          <w:p w14:paraId="2181798A" w14:textId="77777777" w:rsidR="00E40297" w:rsidRPr="00E40297" w:rsidRDefault="00E40297" w:rsidP="00E40297">
            <w:pPr>
              <w:autoSpaceDE w:val="0"/>
              <w:autoSpaceDN w:val="0"/>
              <w:adjustRightInd w:val="0"/>
              <w:rPr>
                <w:rFonts w:ascii="仿宋_GB2312" w:eastAsia="仿宋_GB2312" w:hAnsi="仿宋" w:cs="仿宋" w:hint="eastAsia"/>
                <w:color w:val="000000" w:themeColor="text1"/>
              </w:rPr>
            </w:pPr>
            <w:r w:rsidRPr="00E40297">
              <w:rPr>
                <w:rFonts w:ascii="仿宋_GB2312" w:eastAsia="仿宋_GB2312" w:hAnsi="仿宋" w:cs="仿宋" w:hint="eastAsia"/>
                <w:color w:val="000000" w:themeColor="text1"/>
              </w:rPr>
              <w:t xml:space="preserve">在当今全球化的商业环境中，零售行业正处于一场意义深远的数字化变革浪潮之中。随着消费者购物习惯的转变、技术的飞速发展以及市场竞争的日益激烈，传统零售模式面临着前所未有的挑战。在这样的大背景下，本项目应势而生，全力打造一套极具创新性和实用性的智能零售解决方案—— “重塑零售Retail ReImagined (ReRI)”AI智能零售系统。 </w:t>
            </w:r>
          </w:p>
          <w:p w14:paraId="74B72884" w14:textId="69CD9610" w:rsidR="00CC7650" w:rsidRDefault="00E40297" w:rsidP="00F25100">
            <w:pPr>
              <w:autoSpaceDE w:val="0"/>
              <w:autoSpaceDN w:val="0"/>
              <w:adjustRightInd w:val="0"/>
              <w:rPr>
                <w:rFonts w:ascii="仿宋_GB2312" w:eastAsia="仿宋_GB2312" w:hAnsi="仿宋" w:cs="仿宋" w:hint="eastAsia"/>
                <w:color w:val="000000" w:themeColor="text1"/>
              </w:rPr>
            </w:pPr>
            <w:r w:rsidRPr="00E40297">
              <w:rPr>
                <w:rFonts w:ascii="仿宋_GB2312" w:eastAsia="仿宋_GB2312" w:hAnsi="仿宋" w:cs="仿宋" w:hint="eastAsia"/>
                <w:color w:val="000000" w:themeColor="text1"/>
              </w:rPr>
              <w:t>该系统集成了AI图表分析、AI运营建议、AI条码识别（点货）、AI商品推荐等一系列先进功能，旨在为零售企业提供全方位、全链路的智能化支持。通过巧妙整合阿里云“百炼云”服务、Rust与Python等前沿技术框架，项目构建起了一个覆盖商品管理、库存管理、销售分析到消费者互动的完整智能体系。这一体系能够有效解决传统零售行业长期存在的诸多核心痛点，如库存管理效率低下导致的资金积压、商品推荐精准度不足影响的销售转化，以及运营决策缺乏有力数据支撑带来的盲目性等问题，助力零售企业实现降本增效的目标，同时显著提升消费者的购物体验，推动整个零售行业向更高层次的智能化迈进。</w:t>
            </w:r>
          </w:p>
          <w:p w14:paraId="5621EF7A" w14:textId="77777777" w:rsidR="00E639B5" w:rsidRPr="00E639B5" w:rsidRDefault="00E639B5" w:rsidP="00F25100">
            <w:pPr>
              <w:autoSpaceDE w:val="0"/>
              <w:autoSpaceDN w:val="0"/>
              <w:adjustRightInd w:val="0"/>
              <w:rPr>
                <w:rFonts w:ascii="仿宋_GB2312" w:eastAsia="仿宋_GB2312" w:hAnsi="仿宋" w:cs="仿宋" w:hint="eastAsia"/>
                <w:color w:val="000000" w:themeColor="text1"/>
              </w:rPr>
            </w:pPr>
          </w:p>
          <w:p w14:paraId="7153A5E8" w14:textId="77777777" w:rsidR="00496D80" w:rsidRDefault="00496D80" w:rsidP="00F25100">
            <w:pPr>
              <w:autoSpaceDE w:val="0"/>
              <w:autoSpaceDN w:val="0"/>
              <w:adjustRightInd w:val="0"/>
              <w:rPr>
                <w:rFonts w:ascii="仿宋_GB2312" w:eastAsia="仿宋_GB2312" w:hAnsi="仿宋" w:cs="仿宋" w:hint="eastAsia"/>
                <w:color w:val="000000" w:themeColor="text1"/>
                <w:lang w:val="zh-CN"/>
              </w:rPr>
            </w:pPr>
            <w:r>
              <w:rPr>
                <w:rFonts w:ascii="仿宋_GB2312" w:eastAsia="仿宋_GB2312" w:hAnsi="仿宋" w:cs="仿宋" w:hint="eastAsia"/>
                <w:b/>
                <w:bCs/>
                <w:color w:val="000000" w:themeColor="text1"/>
                <w:lang w:val="zh-CN"/>
              </w:rPr>
              <w:t>本人：</w:t>
            </w:r>
            <w:r>
              <w:rPr>
                <w:rFonts w:ascii="仿宋_GB2312" w:eastAsia="仿宋_GB2312" w:hAnsi="仿宋" w:cs="仿宋"/>
                <w:color w:val="000000" w:themeColor="text1"/>
                <w:lang w:val="zh-CN"/>
              </w:rPr>
              <w:t>1</w:t>
            </w:r>
            <w:r>
              <w:rPr>
                <w:rFonts w:ascii="仿宋_GB2312" w:eastAsia="仿宋_GB2312" w:hAnsi="仿宋" w:cs="仿宋" w:hint="eastAsia"/>
                <w:color w:val="000000" w:themeColor="text1"/>
                <w:lang w:val="zh-CN"/>
              </w:rPr>
              <w:t>．保证参赛项目符合国家法律法规和国家产业政策，参赛作品拥有充分、完全、排他的知识产权，与他人</w:t>
            </w:r>
            <w:r>
              <w:rPr>
                <w:rFonts w:ascii="仿宋_GB2312" w:eastAsia="仿宋_GB2312" w:hAnsi="仿宋" w:cs="仿宋" w:hint="eastAsia"/>
                <w:color w:val="000000" w:themeColor="text1"/>
              </w:rPr>
              <w:t>产生的</w:t>
            </w:r>
            <w:r>
              <w:rPr>
                <w:rFonts w:ascii="仿宋_GB2312" w:eastAsia="仿宋_GB2312" w:hAnsi="仿宋" w:cs="仿宋" w:hint="eastAsia"/>
                <w:color w:val="000000" w:themeColor="text1"/>
                <w:lang w:val="zh-CN"/>
              </w:rPr>
              <w:t>知识产权纠纷，由本人承担与此相关的一切法律责任；</w:t>
            </w:r>
          </w:p>
          <w:p w14:paraId="3110AD05" w14:textId="77777777" w:rsidR="00496D80" w:rsidRDefault="00496D80" w:rsidP="00F25100">
            <w:pPr>
              <w:autoSpaceDE w:val="0"/>
              <w:autoSpaceDN w:val="0"/>
              <w:adjustRightInd w:val="0"/>
              <w:spacing w:line="360" w:lineRule="exact"/>
              <w:rPr>
                <w:rFonts w:ascii="仿宋_GB2312" w:eastAsia="仿宋_GB2312" w:hAnsi="仿宋" w:cs="仿宋" w:hint="eastAsia"/>
                <w:color w:val="000000" w:themeColor="text1"/>
                <w:lang w:val="zh-CN"/>
              </w:rPr>
            </w:pPr>
            <w:r>
              <w:rPr>
                <w:rFonts w:ascii="仿宋_GB2312" w:eastAsia="仿宋_GB2312" w:hAnsi="仿宋" w:cs="仿宋"/>
                <w:color w:val="000000" w:themeColor="text1"/>
                <w:lang w:val="zh-CN"/>
              </w:rPr>
              <w:t>2</w:t>
            </w:r>
            <w:r>
              <w:rPr>
                <w:rFonts w:ascii="仿宋_GB2312" w:eastAsia="仿宋_GB2312" w:hAnsi="仿宋" w:cs="仿宋" w:hint="eastAsia"/>
                <w:color w:val="000000" w:themeColor="text1"/>
                <w:lang w:val="zh-CN"/>
              </w:rPr>
              <w:t>．同意主办单位对参赛作品进行公布、宣传、展览。</w:t>
            </w:r>
          </w:p>
          <w:p w14:paraId="67CA567B" w14:textId="77777777" w:rsidR="00496D80" w:rsidRDefault="00496D80" w:rsidP="00F25100">
            <w:pPr>
              <w:spacing w:line="360" w:lineRule="exact"/>
              <w:jc w:val="center"/>
              <w:rPr>
                <w:rFonts w:ascii="仿宋_GB2312" w:eastAsia="仿宋_GB2312" w:hAnsi="仿宋" w:cs="仿宋" w:hint="eastAsia"/>
                <w:color w:val="000000" w:themeColor="text1"/>
                <w:kern w:val="0"/>
              </w:rPr>
            </w:pPr>
            <w:r>
              <w:rPr>
                <w:rFonts w:ascii="仿宋_GB2312" w:eastAsia="仿宋_GB2312" w:hAnsi="仿宋" w:cs="仿宋"/>
                <w:b/>
                <w:bCs/>
                <w:color w:val="000000" w:themeColor="text1"/>
              </w:rPr>
              <w:t xml:space="preserve">                                        </w:t>
            </w:r>
            <w:r>
              <w:rPr>
                <w:rFonts w:ascii="仿宋_GB2312" w:eastAsia="仿宋_GB2312" w:hAnsi="仿宋" w:cs="仿宋" w:hint="eastAsia"/>
                <w:b/>
                <w:bCs/>
                <w:color w:val="000000" w:themeColor="text1"/>
              </w:rPr>
              <w:t>签</w:t>
            </w:r>
            <w:r>
              <w:rPr>
                <w:rFonts w:ascii="仿宋_GB2312" w:eastAsia="仿宋_GB2312" w:hAnsi="仿宋" w:cs="仿宋"/>
                <w:b/>
                <w:bCs/>
                <w:color w:val="000000" w:themeColor="text1"/>
              </w:rPr>
              <w:t xml:space="preserve"> </w:t>
            </w:r>
            <w:r>
              <w:rPr>
                <w:rFonts w:ascii="仿宋_GB2312" w:eastAsia="仿宋_GB2312" w:hAnsi="仿宋" w:cs="仿宋" w:hint="eastAsia"/>
                <w:b/>
                <w:bCs/>
                <w:color w:val="000000" w:themeColor="text1"/>
              </w:rPr>
              <w:t>名：</w:t>
            </w:r>
          </w:p>
          <w:p w14:paraId="58649954" w14:textId="77777777" w:rsidR="00496D80" w:rsidRDefault="00496D80" w:rsidP="00F25100">
            <w:pPr>
              <w:jc w:val="right"/>
              <w:rPr>
                <w:rFonts w:ascii="仿宋_GB2312" w:eastAsia="仿宋_GB2312" w:hAnsi="仿宋" w:cs="仿宋" w:hint="eastAsia"/>
                <w:color w:val="000000" w:themeColor="text1"/>
                <w:kern w:val="0"/>
              </w:rPr>
            </w:pPr>
          </w:p>
          <w:p w14:paraId="265B13E5" w14:textId="77777777" w:rsidR="00496D80" w:rsidRDefault="00496D80" w:rsidP="00F25100">
            <w:pPr>
              <w:ind w:firstLineChars="3100" w:firstLine="6510"/>
              <w:rPr>
                <w:rFonts w:ascii="仿宋_GB2312" w:eastAsia="仿宋_GB2312" w:hAnsi="仿宋" w:cs="仿宋" w:hint="eastAsia"/>
                <w:color w:val="000000" w:themeColor="text1"/>
                <w:kern w:val="0"/>
              </w:rPr>
            </w:pPr>
            <w:r>
              <w:rPr>
                <w:rFonts w:ascii="仿宋_GB2312" w:eastAsia="仿宋_GB2312" w:hAnsi="仿宋" w:cs="仿宋" w:hint="eastAsia"/>
                <w:color w:val="000000" w:themeColor="text1"/>
              </w:rPr>
              <w:t>年</w:t>
            </w:r>
            <w:r>
              <w:rPr>
                <w:rFonts w:ascii="仿宋_GB2312" w:eastAsia="仿宋_GB2312" w:hAnsi="仿宋" w:cs="仿宋"/>
                <w:color w:val="000000" w:themeColor="text1"/>
              </w:rPr>
              <w:t xml:space="preserve">    </w:t>
            </w:r>
            <w:r>
              <w:rPr>
                <w:rFonts w:ascii="仿宋_GB2312" w:eastAsia="仿宋_GB2312" w:hAnsi="仿宋" w:cs="仿宋" w:hint="eastAsia"/>
                <w:color w:val="000000" w:themeColor="text1"/>
              </w:rPr>
              <w:t>月</w:t>
            </w:r>
            <w:r>
              <w:rPr>
                <w:rFonts w:ascii="仿宋_GB2312" w:eastAsia="仿宋_GB2312" w:hAnsi="仿宋" w:cs="仿宋"/>
                <w:color w:val="000000" w:themeColor="text1"/>
              </w:rPr>
              <w:t xml:space="preserve">    </w:t>
            </w:r>
            <w:r>
              <w:rPr>
                <w:rFonts w:ascii="仿宋_GB2312" w:eastAsia="仿宋_GB2312" w:hAnsi="仿宋" w:cs="仿宋" w:hint="eastAsia"/>
                <w:color w:val="000000" w:themeColor="text1"/>
              </w:rPr>
              <w:t>日</w:t>
            </w:r>
          </w:p>
        </w:tc>
      </w:tr>
    </w:tbl>
    <w:p w14:paraId="313F244F" w14:textId="516E0504" w:rsidR="00086162" w:rsidRPr="00343A60" w:rsidRDefault="00496D80" w:rsidP="00343A60">
      <w:pPr>
        <w:widowControl/>
        <w:jc w:val="left"/>
        <w:rPr>
          <w:rFonts w:ascii="黑体" w:eastAsia="黑体" w:hAnsi="黑体" w:cs="黑体" w:hint="eastAsia"/>
          <w:b/>
          <w:bCs/>
          <w:color w:val="1A1A1A"/>
          <w:sz w:val="44"/>
          <w:szCs w:val="28"/>
        </w:rPr>
      </w:pPr>
      <w:r>
        <w:rPr>
          <w:rFonts w:ascii="仿宋_GB2312" w:eastAsia="仿宋_GB2312" w:hAnsi="仿宋" w:cs="仿宋"/>
          <w:b/>
          <w:bCs/>
          <w:noProof/>
          <w:color w:val="000000" w:themeColor="text1"/>
          <w:lang w:val="zh-CN"/>
        </w:rPr>
        <w:lastRenderedPageBreak/>
        <w:drawing>
          <wp:anchor distT="0" distB="0" distL="114300" distR="114300" simplePos="0" relativeHeight="251658240" behindDoc="1" locked="0" layoutInCell="1" allowOverlap="1" wp14:anchorId="0DF01B78" wp14:editId="31BAEDC5">
            <wp:simplePos x="0" y="0"/>
            <wp:positionH relativeFrom="page">
              <wp:align>right</wp:align>
            </wp:positionH>
            <wp:positionV relativeFrom="paragraph">
              <wp:posOffset>-913130</wp:posOffset>
            </wp:positionV>
            <wp:extent cx="7556500" cy="10685156"/>
            <wp:effectExtent l="0" t="0" r="6350" b="1905"/>
            <wp:wrapNone/>
            <wp:docPr id="2660320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6500" cy="1068515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黑体" w:eastAsia="黑体" w:hAnsi="黑体" w:cs="黑体" w:hint="eastAsia"/>
          <w:b/>
          <w:bCs/>
          <w:color w:val="1A1A1A"/>
          <w:sz w:val="44"/>
          <w:szCs w:val="28"/>
        </w:rPr>
        <w:br w:type="page"/>
      </w:r>
    </w:p>
    <w:p w14:paraId="1F033B41" w14:textId="77777777" w:rsidR="00086162" w:rsidRPr="000F53BE" w:rsidRDefault="005936B9">
      <w:pPr>
        <w:numPr>
          <w:ilvl w:val="0"/>
          <w:numId w:val="5"/>
        </w:numPr>
        <w:rPr>
          <w:rFonts w:ascii="微软雅黑" w:eastAsia="微软雅黑" w:hAnsi="微软雅黑" w:cs="微软雅黑" w:hint="eastAsia"/>
          <w:b/>
          <w:bCs/>
          <w:sz w:val="32"/>
          <w:szCs w:val="28"/>
        </w:rPr>
      </w:pPr>
      <w:r w:rsidRPr="000F53BE">
        <w:rPr>
          <w:rFonts w:ascii="微软雅黑" w:eastAsia="微软雅黑" w:hAnsi="微软雅黑" w:cs="微软雅黑"/>
          <w:b/>
          <w:bCs/>
          <w:sz w:val="32"/>
          <w:szCs w:val="28"/>
        </w:rPr>
        <w:lastRenderedPageBreak/>
        <w:t>项目摘要</w:t>
      </w:r>
    </w:p>
    <w:p w14:paraId="5A04DDA7" w14:textId="77777777" w:rsidR="00086162" w:rsidRDefault="00086162">
      <w:pPr>
        <w:rPr>
          <w:szCs w:val="28"/>
        </w:rPr>
      </w:pPr>
    </w:p>
    <w:p w14:paraId="07B8383C" w14:textId="314B3EE8"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在当今全球化的商业环境中，零售行业正处于一场意义深远的数字化变革浪潮之中。随着消费者购物习惯的转变、技术的飞速发展以及市场竞争的日益激烈，传统零售模式面临着前所未有的挑战。在这样的大背景下，本项目应势而生，全力打造一套极具创新性和实用性的智能零售解决方案——</w:t>
      </w:r>
      <w:r w:rsidR="005A15E6">
        <w:rPr>
          <w:rFonts w:ascii="微软雅黑" w:eastAsia="微软雅黑" w:hAnsi="微软雅黑" w:cs="微软雅黑" w:hint="eastAsia"/>
          <w:color w:val="1C1F23"/>
          <w:sz w:val="24"/>
          <w:szCs w:val="28"/>
          <w:shd w:val="clear" w:color="auto" w:fill="FFFFFF"/>
        </w:rPr>
        <w:t xml:space="preserve"> “重塑零售Retail ReImagined (ReRI)”AI</w:t>
      </w:r>
      <w:r>
        <w:rPr>
          <w:rFonts w:ascii="微软雅黑" w:eastAsia="微软雅黑" w:hAnsi="微软雅黑" w:cs="微软雅黑"/>
          <w:color w:val="1C1F23"/>
          <w:sz w:val="24"/>
          <w:szCs w:val="28"/>
          <w:shd w:val="clear" w:color="auto" w:fill="FFFFFF"/>
        </w:rPr>
        <w:t xml:space="preserve">智能零售系统。 </w:t>
      </w:r>
    </w:p>
    <w:p w14:paraId="41520873"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该系统集成了AI图表分析、AI运营建议、AI条码识别（点货）、AI商品推荐等一系列先进功能，旨在为零售企业提供全方位、全链路的智能化支持。通过巧妙整合阿里云“百炼云”服务、Rust与Python等前沿技术框架，项目构建起了一个覆盖商品管理、库存管理、销售分析到消费者互动的完整智能体系。这一体系能够有效解决传统零售行业长期存在的诸多核心痛点，如库存管理效率低下导致的资金积压、商品推荐精准度不足影响的销售转化，以及运营决策缺乏有力数据支撑带来的盲目性等问题，助力零售企业实现降本增效的目标，同时显著提升消费者的购物体验，推动整个零售行业向更高层次的智能化迈进。</w:t>
      </w:r>
    </w:p>
    <w:p w14:paraId="031AF587" w14:textId="77777777" w:rsidR="00086162" w:rsidRDefault="00086162">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p>
    <w:p w14:paraId="3C49F60A" w14:textId="77777777" w:rsidR="00086162" w:rsidRDefault="005936B9">
      <w:pPr>
        <w:pStyle w:val="2"/>
        <w:rPr>
          <w:rFonts w:ascii="微软雅黑" w:eastAsia="微软雅黑" w:hAnsi="微软雅黑" w:cs="微软雅黑" w:hint="eastAsia"/>
          <w:sz w:val="30"/>
          <w:szCs w:val="28"/>
        </w:rPr>
      </w:pPr>
      <w:r>
        <w:rPr>
          <w:rFonts w:ascii="微软雅黑" w:eastAsia="微软雅黑" w:hAnsi="微软雅黑" w:cs="微软雅黑"/>
          <w:sz w:val="30"/>
          <w:szCs w:val="28"/>
        </w:rPr>
        <w:t>项目概念与概貌</w:t>
      </w:r>
    </w:p>
    <w:p w14:paraId="7C70A7BC" w14:textId="77777777" w:rsidR="00086162" w:rsidRDefault="00086162">
      <w:pPr>
        <w:rPr>
          <w:szCs w:val="28"/>
        </w:rPr>
      </w:pPr>
    </w:p>
    <w:p w14:paraId="08DFE0CB"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本项目始终秉持“数据驱动零售升级”的核心理念，深度洞察零售行业全流程管理的复杂需求，精心打造多模态融合的智能系统。从技术架构来看，项目充分发挥不同技术的优势。采用Rust语言开发高性能后端服务器与数据处理模块，这主要是因为Rust语言在内存管理和性能优化方面表现卓越，能够确保</w:t>
      </w:r>
      <w:r>
        <w:rPr>
          <w:rFonts w:ascii="微软雅黑" w:eastAsia="微软雅黑" w:hAnsi="微软雅黑" w:cs="微软雅黑"/>
          <w:color w:val="1C1F23"/>
          <w:sz w:val="24"/>
          <w:szCs w:val="28"/>
          <w:shd w:val="clear" w:color="auto" w:fill="FFFFFF"/>
        </w:rPr>
        <w:lastRenderedPageBreak/>
        <w:t>系统在高并发场景下依然稳定可靠地运行，即使面对大量的用户请求和数据处理任务，也能快速响应，避免出现卡顿或崩溃的情况。利用Python结合PyTorch、YOLO等深度学习框架实现商品识别、图像分析等核心功能，Python丰富的库和强大的数据分析能力，搭配先进的深度学习框架，为实现精准的商品识别和深入的图像分析提供了有力保障。通过阿里云“百炼”云服务实现数据的云端存储、计算与实时同步，这使得系统能够支持多终端访问与数据共享，无论用户身处何地，使用何种设备，都能随时随地获取最新的数据信息。 系统具备高度的可扩展性，能够根据超市、便利店、电商平台等不同场景的特殊需求进行定制化部署。在超市场景中，可以针对超市商品种类繁多、货架布局复杂的特点，优化商品识别和货架监控功能，提高盘点效率和货架管理的精准度；在便利店场景下，侧重于满足其快速结账、灵活补货的需求，优化库存预测和销售分析功能；对于电商平台，则着重提升商品推荐的精准度和仓储管理的效率。通过这种定制化的方式，实现商品从采购、上架到销售的全生命周期智能化管理。</w:t>
      </w:r>
    </w:p>
    <w:p w14:paraId="0FBF8B37"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具体功能模块方面，基于YOLO算法的AI商品识别模块堪称一大亮点。该模块能够实现商品的快速盘点与货架监控，极大地节省了人力成本和时间成本。在传统的零售模式中，人工盘点商品不仅耗费大量的人力和时间，而且容易出现错误，而AI商品识别模块借助先进的YOLO算法，能够快速准确地识别商品，大大提高了盘点的效率和准确性。基于LSTM与Transformer的智能库存预测模块，通过融合历史销售数据、市场趋势等多维度特征，运用先进的算法模型，能够对库存需求进行精准预测，从而优化补货策略，有效降低库存积压，避免因库存过多或过少给企业带来的损失。结合协同过滤与深度学习的</w:t>
      </w:r>
      <w:r>
        <w:rPr>
          <w:rFonts w:ascii="微软雅黑" w:eastAsia="微软雅黑" w:hAnsi="微软雅黑" w:cs="微软雅黑"/>
          <w:color w:val="1C1F23"/>
          <w:sz w:val="24"/>
          <w:szCs w:val="28"/>
          <w:shd w:val="clear" w:color="auto" w:fill="FFFFFF"/>
        </w:rPr>
        <w:lastRenderedPageBreak/>
        <w:t>个性化商品推荐模块，能够根据用户的行为数据和商品属性，为每个用户生成个性化的推荐列表，显著提升客户的购买转化率，增加企业的销售额。实时生成可视化报表的AI销售分析模块，能够对客流、交易、库存等数据进行深度挖掘，为管理者提供直观、清晰的数据可视化报表和专业的运营建议，帮助管理者做出更加科学、合理的决策。项目通过技术整合与场景适配，成功打破了零售企业内部的数据孤岛，实现了人、货、场的高效协同，为企业的智能化运营奠定了坚实基础。</w:t>
      </w:r>
    </w:p>
    <w:p w14:paraId="424C6AB0" w14:textId="77777777" w:rsidR="00086162" w:rsidRDefault="00086162">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p>
    <w:p w14:paraId="08A5B423" w14:textId="77777777" w:rsidR="00086162" w:rsidRDefault="005936B9">
      <w:pPr>
        <w:pStyle w:val="2"/>
        <w:rPr>
          <w:rFonts w:ascii="微软雅黑" w:eastAsia="微软雅黑" w:hAnsi="微软雅黑" w:cs="微软雅黑" w:hint="eastAsia"/>
          <w:sz w:val="30"/>
          <w:szCs w:val="28"/>
        </w:rPr>
      </w:pPr>
      <w:r>
        <w:rPr>
          <w:rFonts w:ascii="微软雅黑" w:eastAsia="微软雅黑" w:hAnsi="微软雅黑" w:cs="微软雅黑"/>
          <w:sz w:val="30"/>
          <w:szCs w:val="28"/>
        </w:rPr>
        <w:t>市场机遇与前景</w:t>
      </w:r>
    </w:p>
    <w:p w14:paraId="57FC6028" w14:textId="77777777" w:rsidR="00086162" w:rsidRDefault="00086162">
      <w:pPr>
        <w:rPr>
          <w:szCs w:val="28"/>
        </w:rPr>
      </w:pPr>
    </w:p>
    <w:p w14:paraId="0801B647"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随着全球零售行业逐步向新零售模式转型，智能零售技术市场迎来了蓬勃发展的黄金时期。据MarketsandMarkets的权威预测，到2028年，全球智能零售市场规模将突破1000亿美元，年复合增长率高达22%。中国作为全球最大的零售市场之一，线上线下融合的趋势日益明显，这种融合加速了零售行业的数字化进程。在这一过程中，中小型零售企业数字化转型的需求尤为迫切，它们渴望借助先进的技术提升自身的竞争力，但传统的解决方案往往存在技术门槛高、成本昂贵等问题，这无疑为本项目提供了广阔的市场发展空间。 从政策层面来看，国家出台了一系列支持零售企业创新转型的政策文件，如《关于推动实体零售创新转型的意见》等，这些政策明确鼓励零售企业积极应用新技术，为智能零售的发展创造了良好的政策环境。同时，5G、物联网等基础设施的不断普及，为智能零售技术的落地应用提供了强有力的支撑。5G网络的高速率、低延迟特性，能够确保数据的快速传输，使智能零售系统更加实时、高效地运行；物联网技术则实现了设备之间的互联互通，为智能货架、智</w:t>
      </w:r>
      <w:r>
        <w:rPr>
          <w:rFonts w:ascii="微软雅黑" w:eastAsia="微软雅黑" w:hAnsi="微软雅黑" w:cs="微软雅黑"/>
          <w:color w:val="1C1F23"/>
          <w:sz w:val="24"/>
          <w:szCs w:val="28"/>
          <w:shd w:val="clear" w:color="auto" w:fill="FFFFFF"/>
        </w:rPr>
        <w:lastRenderedPageBreak/>
        <w:t>能仓储等应用场景提供了基础。从技术层面分析，YOLO、Transformer等深度学习算法的日益成熟，以及边缘计算、联邦学习等新兴技术的不断发展，为项目核心功能的实现提供了坚实的技术保障。这些先进技术的应用，使得商品识别更加精准、库存预测更加准确、推荐系统更加个性化。在市场层面，中小型零售企业对高性价比的解决方案需求旺盛，它们希望通过引入智能化技术提升运营效率，但又受到成本的限制；而大型企业则对全链路智能化与数据中台建设有着迫切需求，希望通过构建完整的数据闭环，实现精细化运营和决策的智能化。这种分层级的市场需求，为项目提供了丰富多样的市场机会。</w:t>
      </w:r>
    </w:p>
    <w:p w14:paraId="44BA69CE"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 xml:space="preserve"> </w:t>
      </w:r>
    </w:p>
    <w:p w14:paraId="3E79DD87" w14:textId="77777777" w:rsidR="00086162" w:rsidRDefault="005936B9">
      <w:pPr>
        <w:pStyle w:val="2"/>
        <w:rPr>
          <w:rFonts w:ascii="微软雅黑" w:eastAsia="微软雅黑" w:hAnsi="微软雅黑" w:cs="微软雅黑" w:hint="eastAsia"/>
          <w:sz w:val="30"/>
          <w:szCs w:val="28"/>
        </w:rPr>
      </w:pPr>
      <w:r>
        <w:rPr>
          <w:rFonts w:ascii="微软雅黑" w:eastAsia="微软雅黑" w:hAnsi="微软雅黑" w:cs="微软雅黑"/>
          <w:sz w:val="30"/>
          <w:szCs w:val="28"/>
        </w:rPr>
        <w:t>项目的产品概述</w:t>
      </w:r>
    </w:p>
    <w:p w14:paraId="643447C7" w14:textId="77777777" w:rsidR="00086162" w:rsidRDefault="00086162">
      <w:pPr>
        <w:rPr>
          <w:szCs w:val="28"/>
        </w:rPr>
      </w:pPr>
    </w:p>
    <w:p w14:paraId="44B27EED" w14:textId="25A822F6"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核心产品</w:t>
      </w:r>
      <w:r w:rsidR="00A0352A">
        <w:rPr>
          <w:rFonts w:ascii="微软雅黑" w:eastAsia="微软雅黑" w:hAnsi="微软雅黑" w:cs="微软雅黑" w:hint="eastAsia"/>
          <w:color w:val="1C1F23"/>
          <w:sz w:val="24"/>
          <w:szCs w:val="28"/>
          <w:shd w:val="clear" w:color="auto" w:fill="FFFFFF"/>
        </w:rPr>
        <w:t>“重塑零售Retail ReImagined (ReRI)”AI</w:t>
      </w:r>
      <w:r w:rsidR="00A0352A">
        <w:rPr>
          <w:rFonts w:ascii="微软雅黑" w:eastAsia="微软雅黑" w:hAnsi="微软雅黑" w:cs="微软雅黑"/>
          <w:color w:val="1C1F23"/>
          <w:sz w:val="24"/>
          <w:szCs w:val="28"/>
          <w:shd w:val="clear" w:color="auto" w:fill="FFFFFF"/>
        </w:rPr>
        <w:t>智能零售系统</w:t>
      </w:r>
      <w:r>
        <w:rPr>
          <w:rFonts w:ascii="微软雅黑" w:eastAsia="微软雅黑" w:hAnsi="微软雅黑" w:cs="微软雅黑"/>
          <w:color w:val="1C1F23"/>
          <w:sz w:val="24"/>
          <w:szCs w:val="28"/>
          <w:shd w:val="clear" w:color="auto" w:fill="FFFFFF"/>
        </w:rPr>
        <w:t>以全链路智能化为显著特色，涵盖了多个关键核心功能。在AI商品管理方面，系统采用先进的YOLOv8算法，经过大量的训练和优化，实现了商品识别准确率高达99.2%。这一高准确率的商品识别功能，不仅支持商品的快速录入，大大减少了商品信息录入的时间和人力成本，还能够进行动态盘点，实时掌握商品的库存情况，以及对货架陈列进行监控，确保商品陈列符合规范，提高顾客的购物体验。与传统的人工盘点方式相比，极大地提高了工作效率，减少了错误率。</w:t>
      </w:r>
    </w:p>
    <w:p w14:paraId="0EBC1794"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智能库存管理是系统的又一核心功能。它融合了历史销售数据、市场趋势、季节因素、促销活动等多维度特征，通过LSTM模型进行深度分析和预测。经过实际验证，库存需求预测误差率能够控制在4.5%以内，这一精准的预测能力使得系统能够自动生成科学合理的补货计划。通过优化补货策略，企业的库存周转率降低了30%以上，有效减少了库存积压，提高了资金的使用效</w:t>
      </w:r>
      <w:r>
        <w:rPr>
          <w:rFonts w:ascii="微软雅黑" w:eastAsia="微软雅黑" w:hAnsi="微软雅黑" w:cs="微软雅黑"/>
          <w:color w:val="1C1F23"/>
          <w:sz w:val="24"/>
          <w:szCs w:val="28"/>
          <w:shd w:val="clear" w:color="auto" w:fill="FFFFFF"/>
        </w:rPr>
        <w:lastRenderedPageBreak/>
        <w:t>率。</w:t>
      </w:r>
    </w:p>
    <w:p w14:paraId="60E13532"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个性化商品推荐模块结合用户行为数据与商品属性，运用深度学习算法，为每一位用户生成精准的推荐列表。该功能能够实时捕捉用户的行为变化，及时调整推荐内容，推荐列表刷新延迟控制在1秒以内，实现了“千人千面”的个性化推荐。通过这种精准的推荐方式，有效提升了销售转化率，提升幅度在15%-25%之间。而且，推荐功能支持多终端触达，无论用户是在实体店购物，还是通过电商平台进行线上购物，都能接收到个性化的推荐信息，提高了用户的购买意愿和忠诚度。</w:t>
      </w:r>
    </w:p>
    <w:p w14:paraId="3AC2B45A"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AI销售分析模块对客流、交易、库存等数据进行深度挖掘，通过先进的数据挖掘算法和可视化技术，生成直观、清晰的可视化报表，并提供专业的运营建议。管理者可以根据这些报表和建议，制定针对性的促销策略，如确定促销商品、促销时间和促销方式等，还能优化商品定价，实现利润最大化。</w:t>
      </w:r>
    </w:p>
    <w:p w14:paraId="5A8DBDD4" w14:textId="533440A0"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 xml:space="preserve">产品支持云端订阅与私有化部署两种模式，充分考虑了不同规模企业的需求。对于中小企业来说，云端订阅模式具有成本低、部署快的优势，企业无需投入大量资金购买硬件设备和搭建服务器环境，只需按照订阅服务的方式使用系统；对于大型企业，私有化部署则能够满足其对数据安全、定制化功能和企业内部系统集成的高要求。同时，系统还提供API接口，能够与ERP、CRM等第三方系统无缝对接，实现数据的共享和业务的协同，进一步提升企业的运营效率。 </w:t>
      </w:r>
    </w:p>
    <w:p w14:paraId="0AB865C1" w14:textId="77777777" w:rsidR="00086162" w:rsidRDefault="00086162">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p>
    <w:p w14:paraId="5F245AA1" w14:textId="77777777" w:rsidR="00086162" w:rsidRDefault="005936B9">
      <w:pPr>
        <w:pStyle w:val="2"/>
        <w:rPr>
          <w:rFonts w:ascii="微软雅黑" w:eastAsia="微软雅黑" w:hAnsi="微软雅黑" w:cs="微软雅黑" w:hint="eastAsia"/>
          <w:sz w:val="30"/>
          <w:szCs w:val="28"/>
        </w:rPr>
      </w:pPr>
      <w:r>
        <w:rPr>
          <w:rFonts w:ascii="微软雅黑" w:eastAsia="微软雅黑" w:hAnsi="微软雅黑" w:cs="微软雅黑"/>
          <w:sz w:val="30"/>
          <w:szCs w:val="28"/>
        </w:rPr>
        <w:t>项目的竞争优势</w:t>
      </w:r>
    </w:p>
    <w:p w14:paraId="10B5B133" w14:textId="77777777" w:rsidR="00086162" w:rsidRDefault="00086162">
      <w:pPr>
        <w:rPr>
          <w:szCs w:val="28"/>
        </w:rPr>
      </w:pPr>
    </w:p>
    <w:p w14:paraId="255BBBC9"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本项目在技术方面具有明显的领先性。核心算法性能处于行业顶尖水平，</w:t>
      </w:r>
      <w:r>
        <w:rPr>
          <w:rFonts w:ascii="微软雅黑" w:eastAsia="微软雅黑" w:hAnsi="微软雅黑" w:cs="微软雅黑"/>
          <w:color w:val="1C1F23"/>
          <w:sz w:val="24"/>
          <w:szCs w:val="28"/>
          <w:shd w:val="clear" w:color="auto" w:fill="FFFFFF"/>
        </w:rPr>
        <w:lastRenderedPageBreak/>
        <w:t>商品识别准确率超过99%，库存预测误差率低于5%，数据处理速度相比传统方案提升了30%。自主研发的Rust高性能引擎，结合多模态融合技术，使得系统在复杂的零售场景下依然能够保持高度的稳定性和高效的运行效率。无论是在高峰期的大量交易处理，还是在复杂环境下的商品识别，都能表现出色。 区别于市场上单一功能的硬件或软件产品，本项目提供的是从商品管理到客户互动的全流程解决方案。这种全链路整合能力，实现了数据在各个环节的共享和业务的协同，帮助企业构建起一个完整的智能零售闭环。企业可以通过系统实现对采购、库存、销售、客户服务等各个环节的统一管理和优化，提高整体运营效率，降低运营成本。</w:t>
      </w:r>
    </w:p>
    <w:p w14:paraId="4B3FC1B8"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在定制化与性价比方面，项目针对中小型企业推出了轻量化云端版本，价格仅为竞品的60%。这一版本在满足中小企业基本智能化需求的同时，大大降低了企业的使用成本，使更多中小企业能够轻松享受到智能零售技术带来的便利和优势。对于大型企业，项目提供定制化私有云方案，根据企业的具体业务需求和复杂的业务流程进行深度适配，满足大型企业对个性化功能和数据安全的高要求，形成了差异化的竞争优势。</w:t>
      </w:r>
    </w:p>
    <w:p w14:paraId="67F7966B" w14:textId="30A8B4FE"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 xml:space="preserve">团队与生态优势也是项目的一大亮点。核心团队成员兼具丰富的零售行业经验与前沿的技术背景，他们不仅对零售行业的业务流程和痛点有着深刻的理解，还掌握先进的技术研发能力。团队成员在技术和业务方面形成了深度互补。同时，项目能够及时获取行业前沿的需求和技术支持，确保产品的迭代始终符合市场导向，保持产品的竞争力。 </w:t>
      </w:r>
    </w:p>
    <w:p w14:paraId="20527A43" w14:textId="77777777" w:rsidR="00086162" w:rsidRDefault="00086162">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p>
    <w:p w14:paraId="17292BB1" w14:textId="77777777" w:rsidR="00086162" w:rsidRDefault="005936B9">
      <w:pPr>
        <w:pStyle w:val="2"/>
        <w:rPr>
          <w:rFonts w:ascii="微软雅黑" w:eastAsia="微软雅黑" w:hAnsi="微软雅黑" w:cs="微软雅黑" w:hint="eastAsia"/>
          <w:sz w:val="30"/>
          <w:szCs w:val="28"/>
        </w:rPr>
      </w:pPr>
      <w:r>
        <w:rPr>
          <w:rFonts w:ascii="微软雅黑" w:eastAsia="微软雅黑" w:hAnsi="微软雅黑" w:cs="微软雅黑"/>
          <w:sz w:val="30"/>
          <w:szCs w:val="28"/>
        </w:rPr>
        <w:lastRenderedPageBreak/>
        <w:t>项目的市场策略</w:t>
      </w:r>
    </w:p>
    <w:p w14:paraId="217DE67E" w14:textId="77777777" w:rsidR="00086162" w:rsidRDefault="00086162">
      <w:pPr>
        <w:rPr>
          <w:szCs w:val="28"/>
        </w:rPr>
      </w:pPr>
    </w:p>
    <w:p w14:paraId="7600244C"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项目的目标客户主要聚焦在中小型零售企业、大型零售集团及电商平台。针对不同类型的客户，制定了差异化的市场推广策略。在推广渠道方面，积极参加行业展会，如中国国际零售博览会等，这些展会汇聚了众多行业内的专业人士和潜在客户，通过在展会上展示产品的功能和优势，能够有效提升品牌的知名度和影响力。同时，充分利用线上营销渠道，通过官方网站、短视频平台等进行产品宣传和推广。官方网站可以详细介绍产品的功能、特点和案例，为客户提供全面的信息；短视频平台则以生动有趣的形式展示产品的使用场景和效果，吸引更多潜在客户的关注。此外，还借助合作伙伴渠道，如云服务商、设备厂商等，通过与他们的合作，将产品推广给更多的客户。</w:t>
      </w:r>
    </w:p>
    <w:p w14:paraId="5D2F0B9A" w14:textId="3E51EEAA" w:rsidR="00086162" w:rsidRDefault="005936B9" w:rsidP="00A0352A">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 xml:space="preserve">在合作模式上，提供定制化开发、云端订阅与技术授权等多种选择，针对不同客户的具体需求提供灵活的解决方案。对于有特殊业务需求的客户，通过定制化开发满足其个性化的功能要求；对于中小企业，推荐云端订阅模式，降低其使用成本；对于一些有技术研发能力的企业，可以通过技术授权的方式，让他们在自己的产品中集成项目的技术。预计在未来三年，项目将覆盖全国10%的智能零售市场，逐步成为行业领先的全链路解决方案提供商。 </w:t>
      </w:r>
    </w:p>
    <w:p w14:paraId="25B680E5" w14:textId="77777777" w:rsidR="00A0352A" w:rsidRDefault="00A0352A" w:rsidP="00A0352A">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p>
    <w:p w14:paraId="70DCF1BA" w14:textId="77777777" w:rsidR="00086162" w:rsidRDefault="005936B9">
      <w:pPr>
        <w:pStyle w:val="2"/>
        <w:rPr>
          <w:rFonts w:ascii="微软雅黑" w:eastAsia="微软雅黑" w:hAnsi="微软雅黑" w:cs="微软雅黑" w:hint="eastAsia"/>
          <w:sz w:val="30"/>
          <w:szCs w:val="28"/>
        </w:rPr>
      </w:pPr>
      <w:r>
        <w:rPr>
          <w:rFonts w:ascii="微软雅黑" w:eastAsia="微软雅黑" w:hAnsi="微软雅黑" w:cs="微软雅黑"/>
          <w:sz w:val="30"/>
          <w:szCs w:val="28"/>
        </w:rPr>
        <w:t>项目股权与融资</w:t>
      </w:r>
    </w:p>
    <w:p w14:paraId="67326427" w14:textId="77777777" w:rsidR="00086162" w:rsidRDefault="00086162">
      <w:pPr>
        <w:rPr>
          <w:szCs w:val="28"/>
        </w:rPr>
      </w:pPr>
    </w:p>
    <w:p w14:paraId="12D290E9" w14:textId="3D9AF2B5" w:rsidR="00086162" w:rsidRDefault="005936B9" w:rsidP="00A0352A">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项目计划融资5000万元，资金将主要用于技术研发、市场推广、团队建设及数据设备采购等关键方面。其中，40%的资金用于技术研发，持续投入研发资源，不断优化核心算法，提升产品的性能和功能；30%用于市场推广，通</w:t>
      </w:r>
      <w:r>
        <w:rPr>
          <w:rFonts w:ascii="微软雅黑" w:eastAsia="微软雅黑" w:hAnsi="微软雅黑" w:cs="微软雅黑"/>
          <w:color w:val="1C1F23"/>
          <w:sz w:val="24"/>
          <w:szCs w:val="28"/>
          <w:shd w:val="clear" w:color="auto" w:fill="FFFFFF"/>
        </w:rPr>
        <w:lastRenderedPageBreak/>
        <w:t>过各种渠道提升品牌知名度，扩大市场份额；20%用于团队建设，吸引更多优秀的人才加入，加强团队的实力；10%用于数据设备采购，保障项目的数据存储和处理需求。在股权结构方面，待设立实体后确定具体方案。优先引入零售科技领域的战略投资者，计划释放10%-15%的股权，同时确保团队持股不低于70%，以保证团队对项目的控制权稳定，保障项目能够按照既定的战略方向发展。</w:t>
      </w:r>
    </w:p>
    <w:p w14:paraId="38AC35D2" w14:textId="77777777" w:rsidR="00086162" w:rsidRDefault="00086162">
      <w:pPr>
        <w:rPr>
          <w:rFonts w:ascii="微软雅黑" w:eastAsia="微软雅黑" w:hAnsi="微软雅黑" w:cs="微软雅黑" w:hint="eastAsia"/>
          <w:color w:val="1C1F23"/>
          <w:sz w:val="28"/>
          <w:szCs w:val="28"/>
          <w:shd w:val="clear" w:color="auto" w:fill="FFFFFF"/>
        </w:rPr>
      </w:pPr>
    </w:p>
    <w:p w14:paraId="4199857E" w14:textId="77777777" w:rsidR="00086162" w:rsidRDefault="00086162">
      <w:pPr>
        <w:rPr>
          <w:rFonts w:ascii="微软雅黑" w:eastAsia="微软雅黑" w:hAnsi="微软雅黑" w:cs="微软雅黑" w:hint="eastAsia"/>
          <w:color w:val="1C1F23"/>
          <w:sz w:val="28"/>
          <w:szCs w:val="28"/>
          <w:shd w:val="clear" w:color="auto" w:fill="FFFFFF"/>
        </w:rPr>
      </w:pPr>
    </w:p>
    <w:p w14:paraId="39A30233" w14:textId="77777777" w:rsidR="00086162" w:rsidRPr="000F53BE" w:rsidRDefault="005936B9">
      <w:pPr>
        <w:numPr>
          <w:ilvl w:val="0"/>
          <w:numId w:val="5"/>
        </w:numPr>
        <w:rPr>
          <w:rFonts w:ascii="微软雅黑" w:eastAsia="微软雅黑" w:hAnsi="微软雅黑" w:cs="微软雅黑" w:hint="eastAsia"/>
          <w:b/>
          <w:bCs/>
          <w:sz w:val="32"/>
          <w:szCs w:val="28"/>
        </w:rPr>
      </w:pPr>
      <w:r w:rsidRPr="000F53BE">
        <w:rPr>
          <w:rFonts w:ascii="微软雅黑" w:eastAsia="微软雅黑" w:hAnsi="微软雅黑" w:cs="微软雅黑"/>
          <w:b/>
          <w:bCs/>
          <w:sz w:val="32"/>
          <w:szCs w:val="28"/>
        </w:rPr>
        <w:t>市场分析</w:t>
      </w:r>
    </w:p>
    <w:p w14:paraId="3D9826AF" w14:textId="77777777" w:rsidR="00086162" w:rsidRDefault="00086162">
      <w:pPr>
        <w:rPr>
          <w:szCs w:val="28"/>
        </w:rPr>
      </w:pPr>
    </w:p>
    <w:p w14:paraId="1110DE58"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在全球经济一体化与科技飞速发展的大环境下，零售行业正经历着深刻的变革。智能零售作为新兴领域，展现出巨大的发展潜力，其市场前景备受瞩目。本部分将从商机分析与行业分析两个维度，深入剖析智能零售市场的现状、机遇与挑战，为项目的市场定位和发展策略提供有力支撑。</w:t>
      </w:r>
    </w:p>
    <w:p w14:paraId="4F2E967B"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传统零售行业长期以来存在诸多痛点，严重制约了其发展效率与竞争力。在库存管理方面，粗放式的管理模式使得库存周转率低下，传统零售企业平均库存周转率仅为4 - 5次/年，而电商凭借先进的管理系统，这一数据可达8 - 10次/年。这意味着传统零售企业资金回笼速度慢，大量资金积压在库存中，无法灵活投入到其他关键业务环节。例如，一家中型超市在传统库存管理模式下，部分季节性商品常常因库存积压，到换季时仍有大量剩余，不仅占用了仓储空间，还造成了资金浪费。</w:t>
      </w:r>
    </w:p>
    <w:p w14:paraId="494FD595"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在客户需求捕捉方面，传统零售企业普遍存在精准度不足的问题，导致复购率普遍较低，通常小于30%。企业难以深入了解消费者的个性化需求，无法</w:t>
      </w:r>
      <w:r>
        <w:rPr>
          <w:rFonts w:ascii="微软雅黑" w:eastAsia="微软雅黑" w:hAnsi="微软雅黑" w:cs="微软雅黑"/>
          <w:color w:val="1C1F23"/>
          <w:sz w:val="24"/>
          <w:szCs w:val="28"/>
          <w:shd w:val="clear" w:color="auto" w:fill="FFFFFF"/>
        </w:rPr>
        <w:lastRenderedPageBreak/>
        <w:t>提供针对性的产品推荐和服务，使得消费者在购物过程中难以获得满足感，从而降低了再次购买的意愿。比如，某连锁便利店在商品陈列和推荐上缺乏个性化策略，顾客在店内难以快速找到心仪的商品，长期下来顾客流失严重。</w:t>
      </w:r>
    </w:p>
    <w:p w14:paraId="16C19A5C"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运营决策方面，70%的中小企业缺乏有效的数据工具，决策主要依赖经验。在市场环境瞬息万变的当下，仅凭经验决策极易出现偏差，导致企业错失市场机遇或做出错误的投资决策。以一家小型服装零售店为例，店主依据过往经验采购商品，却未考虑到当年流行趋势的变化，导致大量商品滞销。</w:t>
      </w:r>
    </w:p>
    <w:p w14:paraId="1C4B7E1C"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随着新零售模式的兴起，消费者的购物需求发生了显著变化，对个性化体验的追求愈发强烈。智能货架、无人零售等新兴技术成为吸引客流、提升消费者购物体验的关键因素。智能货架可以实时监测商品的库存和销售情况，并根据消费者的行为数据进行个性化推荐；无人零售则为消费者提供了便捷、高效的购物方式，满足了他们对于快速购物和新奇体验的需求。</w:t>
      </w:r>
    </w:p>
    <w:p w14:paraId="1731C4FA"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从政策层面来看，国家积极推动零售行业的数字化转型。“十四五”规划明确提出推动数字供应链建设，这为智能零售的发展提供了坚实的政策保障。随着5G基站建设的加速，预计2025年5G基站数将超400万座。5G网络的高速率、低延迟特性，能够确保智能零售系统中的数据快速传输与处理，实现设备之间的实时通信，为智能零售技术的广泛应用奠定了基础。例如，在无人零售场景中，5G网络可以保障智能设备与后台系统的稳定连接，实现快速结算和精准的库存管理。</w:t>
      </w:r>
    </w:p>
    <w:p w14:paraId="6B5E6543"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从需求侧分析，不同规模和类型的企业对智能零售技术有着不同程度的需求。中小型企业由于自身资源有限，亟需低成本、易部署的智能化工具来提升运营效率、降低成本。它们期望通过智能化手段解决库存管理混乱、客户流失</w:t>
      </w:r>
      <w:r>
        <w:rPr>
          <w:rFonts w:ascii="微软雅黑" w:eastAsia="微软雅黑" w:hAnsi="微软雅黑" w:cs="微软雅黑"/>
          <w:color w:val="1C1F23"/>
          <w:sz w:val="24"/>
          <w:szCs w:val="28"/>
          <w:shd w:val="clear" w:color="auto" w:fill="FFFFFF"/>
        </w:rPr>
        <w:lastRenderedPageBreak/>
        <w:t>等问题，增强自身在市场中的竞争力。大型企业追求全链路数据闭环，希望借助智能零售技术实现从采购、生产、销售到售后的全流程数字化管理，优化供应链体系，提升整体运营效率和决策的科学性。电商平台则高度依赖精准推荐来提升用户粘性，通过分析用户的浏览、购买等行为数据，为用户提供个性化的商品推荐，促进销售增长。</w:t>
      </w:r>
    </w:p>
    <w:p w14:paraId="1F5FAF42"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据测算，中国拥有约500万中小型零售企业，其中30%有明确的智能化需求。按照市场平均价格估算，这部分市场规模超百亿元。而且，随着技术的不断进步，AI芯片等关键技术成本呈下降趋势，AI芯片价格年降20%左右，这使得智能零售技术的应用成本降低，进一步加速了市场的渗透。在“政策 + 技术 + 需求”的三重驱动下，智能零售市场迎来了黄金发展期。</w:t>
      </w:r>
    </w:p>
    <w:p w14:paraId="34D32A74"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智能零售行业目前处于成长期，整体技术渗透率约为20%，中国市场的技术渗透率稍低，约为15%，这意味着未来还有广阔的增长空间。头部企业如亚马逊、阿里巴巴等在智能零售领域积极布局，亚马逊的无人便利店Amazon Go利用先进的计算机视觉和传感器技术，实现了无人收银和智能购物体验；阿里巴巴则通过构建数据中台，整合线上线下数据，为商家提供精准的营销和运营支持。然而，这些头部企业的布局主要集中在大型企业和高端市场，中小型企业的技术渗透率仍然较低。</w:t>
      </w:r>
    </w:p>
    <w:p w14:paraId="241075D1"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在竞争格局方面，科技公司如商汤、旷视等聚焦模块级技术，凭借其在人工智能算法领域的优势，为零售企业提供人脸识别、商品识别等单项技术服务。传统信息化厂商如石基信息，依靠长期积累的渠道优势，在零售信息化系统市场占据一定份额，但在新兴的智能零售技术融合方面相对滞后。新兴创业公司如深兰科技专注细分场景，如在智能微超领域取得了一定的成果。与这些</w:t>
      </w:r>
      <w:r>
        <w:rPr>
          <w:rFonts w:ascii="微软雅黑" w:eastAsia="微软雅黑" w:hAnsi="微软雅黑" w:cs="微软雅黑"/>
          <w:color w:val="1C1F23"/>
          <w:sz w:val="24"/>
          <w:szCs w:val="28"/>
          <w:shd w:val="clear" w:color="auto" w:fill="FFFFFF"/>
        </w:rPr>
        <w:lastRenderedPageBreak/>
        <w:t>竞争对手不同，本项目以全链路解决方案形成差异化定位，能够为企业提供从商品管理到客户互动的一站式服务，满足企业全方位的智能化需求。</w:t>
      </w:r>
    </w:p>
    <w:p w14:paraId="268485F4"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在市场容量方面，2023年全球智能零售市场规模达到450亿美元，中国市场规模为120亿美元。预计到2028年，全球智能零售市场规模将突破1000亿美元，中国市场规模将达到350亿美元，年复合增长率分别为22%与25%。随着政策对中小企业数字化转型的持续推动，中小企业将成为智能零售市场的主要增量市场。它们在市场竞争压力下，对智能零售技术的需求日益迫切，将为市场带来巨大的发展机遇。</w:t>
      </w:r>
    </w:p>
    <w:p w14:paraId="4513AFDE"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随着行业的发展，技术标准与数据安全法规逐渐完善，如《个人信息保护法》的出台，对智能零售解决方案提供商提出了更高的合规要求。企业在收集、存储和使用消费者数据时，必须严格遵守相关法规，确保数据安全和消费者隐私。这就要求项目在技术研发和运营过程中，加强数据安全管理，采用先进的加密技术和隐私保护措施，提升数据治理能力，以满足法规要求，提升行业门槛，确保项目在合</w:t>
      </w:r>
      <w:proofErr w:type="gramStart"/>
      <w:r>
        <w:rPr>
          <w:rFonts w:ascii="微软雅黑" w:eastAsia="微软雅黑" w:hAnsi="微软雅黑" w:cs="微软雅黑"/>
          <w:color w:val="1C1F23"/>
          <w:sz w:val="24"/>
          <w:szCs w:val="28"/>
          <w:shd w:val="clear" w:color="auto" w:fill="FFFFFF"/>
        </w:rPr>
        <w:t>规</w:t>
      </w:r>
      <w:proofErr w:type="gramEnd"/>
      <w:r>
        <w:rPr>
          <w:rFonts w:ascii="微软雅黑" w:eastAsia="微软雅黑" w:hAnsi="微软雅黑" w:cs="微软雅黑"/>
          <w:color w:val="1C1F23"/>
          <w:sz w:val="24"/>
          <w:szCs w:val="28"/>
          <w:shd w:val="clear" w:color="auto" w:fill="FFFFFF"/>
        </w:rPr>
        <w:t>的轨道上稳健发展。</w:t>
      </w:r>
    </w:p>
    <w:p w14:paraId="1F4EA367" w14:textId="77777777" w:rsidR="00086162" w:rsidRDefault="00086162">
      <w:pPr>
        <w:rPr>
          <w:rFonts w:ascii="微软雅黑" w:eastAsia="微软雅黑" w:hAnsi="微软雅黑" w:cs="微软雅黑" w:hint="eastAsia"/>
          <w:color w:val="1C1F23"/>
          <w:sz w:val="28"/>
          <w:szCs w:val="28"/>
          <w:shd w:val="clear" w:color="auto" w:fill="FFFFFF"/>
        </w:rPr>
      </w:pPr>
    </w:p>
    <w:p w14:paraId="26DF7266" w14:textId="77777777" w:rsidR="00086162" w:rsidRDefault="00086162">
      <w:pPr>
        <w:rPr>
          <w:rFonts w:ascii="微软雅黑" w:eastAsia="微软雅黑" w:hAnsi="微软雅黑" w:cs="微软雅黑" w:hint="eastAsia"/>
          <w:color w:val="1C1F23"/>
          <w:sz w:val="28"/>
          <w:szCs w:val="28"/>
          <w:shd w:val="clear" w:color="auto" w:fill="FFFFFF"/>
        </w:rPr>
      </w:pPr>
    </w:p>
    <w:p w14:paraId="65346D92" w14:textId="77777777" w:rsidR="00086162" w:rsidRPr="000F53BE" w:rsidRDefault="005936B9">
      <w:pPr>
        <w:numPr>
          <w:ilvl w:val="0"/>
          <w:numId w:val="5"/>
        </w:numPr>
        <w:rPr>
          <w:rFonts w:ascii="微软雅黑" w:eastAsia="微软雅黑" w:hAnsi="微软雅黑" w:cs="微软雅黑" w:hint="eastAsia"/>
          <w:b/>
          <w:bCs/>
          <w:sz w:val="32"/>
          <w:szCs w:val="32"/>
        </w:rPr>
      </w:pPr>
      <w:r w:rsidRPr="000F53BE">
        <w:rPr>
          <w:rFonts w:ascii="微软雅黑" w:eastAsia="微软雅黑" w:hAnsi="微软雅黑" w:cs="微软雅黑"/>
          <w:b/>
          <w:bCs/>
          <w:sz w:val="32"/>
          <w:szCs w:val="32"/>
        </w:rPr>
        <w:t>产品概况</w:t>
      </w:r>
    </w:p>
    <w:p w14:paraId="275C74EC" w14:textId="77777777" w:rsidR="00086162" w:rsidRDefault="00086162">
      <w:pPr>
        <w:rPr>
          <w:szCs w:val="28"/>
        </w:rPr>
      </w:pPr>
    </w:p>
    <w:p w14:paraId="20FE5761" w14:textId="01DB58DB"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在当今零售行业深度数字化转型的浪潮中，</w:t>
      </w:r>
      <w:r w:rsidR="00343A60">
        <w:rPr>
          <w:rFonts w:ascii="微软雅黑" w:eastAsia="微软雅黑" w:hAnsi="微软雅黑" w:cs="微软雅黑" w:hint="eastAsia"/>
          <w:color w:val="1C1F23"/>
          <w:sz w:val="24"/>
          <w:szCs w:val="28"/>
          <w:shd w:val="clear" w:color="auto" w:fill="FFFFFF"/>
        </w:rPr>
        <w:t>“重塑零售Retail ReImagined (ReRI)”AI</w:t>
      </w:r>
      <w:r w:rsidR="00343A60">
        <w:rPr>
          <w:rFonts w:ascii="微软雅黑" w:eastAsia="微软雅黑" w:hAnsi="微软雅黑" w:cs="微软雅黑"/>
          <w:color w:val="1C1F23"/>
          <w:sz w:val="24"/>
          <w:szCs w:val="28"/>
          <w:shd w:val="clear" w:color="auto" w:fill="FFFFFF"/>
        </w:rPr>
        <w:t>智能零售系统</w:t>
      </w:r>
      <w:r>
        <w:rPr>
          <w:rFonts w:ascii="微软雅黑" w:eastAsia="微软雅黑" w:hAnsi="微软雅黑" w:cs="微软雅黑"/>
          <w:color w:val="1C1F23"/>
          <w:sz w:val="24"/>
          <w:szCs w:val="28"/>
          <w:shd w:val="clear" w:color="auto" w:fill="FFFFFF"/>
        </w:rPr>
        <w:t>作为一款创新型产品，正以其卓越的功能和技术优势，为零售企业带来全新的发展机遇。该系统依托先进的AI视觉与大数据分析技术，致力于打造全方位、智能化的零售管理解决方案，从根本上解决传统零售行业面临的诸多痛点，实现零售业务的高效运营与升级。</w:t>
      </w:r>
    </w:p>
    <w:p w14:paraId="586AEF51" w14:textId="678EF043"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lastRenderedPageBreak/>
        <w:t>项目的核心技术围绕AI视觉与大数据分析构建，这两者相辅相成，为系统的强大功能提供了坚实的技术支撑。AI商品识别技术是系统的关键技术之一，采用先进的YOLO算法。YOLO算法凭借其出色的目标检测能力，在复杂的零售场景中发挥着重要作用。在实际应用中，零售环境往往充满各种挑战，如不同的光照条件，从超市的强光照明到便利店的柔和灯光，以及商品之间的相互遮挡，都可能影响识别的准确性。为了应对这些挑战，项目团队通过迁移学习对算法进行优化，让模型能够更好地提取商品特征。经过大量的训练和优化，该技术在复杂光照、遮挡场景下的准确率仍能达</w:t>
      </w:r>
      <w:r w:rsidR="004E5D24">
        <w:rPr>
          <w:rFonts w:ascii="微软雅黑" w:eastAsia="微软雅黑" w:hAnsi="微软雅黑" w:cs="微软雅黑" w:hint="eastAsia"/>
          <w:color w:val="1C1F23"/>
          <w:sz w:val="24"/>
          <w:szCs w:val="28"/>
          <w:shd w:val="clear" w:color="auto" w:fill="FFFFFF"/>
        </w:rPr>
        <w:t>较高</w:t>
      </w:r>
      <w:r>
        <w:rPr>
          <w:rFonts w:ascii="微软雅黑" w:eastAsia="微软雅黑" w:hAnsi="微软雅黑" w:cs="微软雅黑"/>
          <w:color w:val="1C1F23"/>
          <w:sz w:val="24"/>
          <w:szCs w:val="28"/>
          <w:shd w:val="clear" w:color="auto" w:fill="FFFFFF"/>
        </w:rPr>
        <w:t>，这一高准确率极大地提高了商品识别的可靠性。</w:t>
      </w:r>
    </w:p>
    <w:p w14:paraId="196BD06B" w14:textId="108EBBE0"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同时，系统支持每秒处理</w:t>
      </w:r>
      <w:r w:rsidR="004E5D24">
        <w:rPr>
          <w:rFonts w:ascii="微软雅黑" w:eastAsia="微软雅黑" w:hAnsi="微软雅黑" w:cs="微软雅黑" w:hint="eastAsia"/>
          <w:color w:val="1C1F23"/>
          <w:sz w:val="24"/>
          <w:szCs w:val="28"/>
          <w:shd w:val="clear" w:color="auto" w:fill="FFFFFF"/>
        </w:rPr>
        <w:t>多</w:t>
      </w:r>
      <w:r>
        <w:rPr>
          <w:rFonts w:ascii="微软雅黑" w:eastAsia="微软雅黑" w:hAnsi="微软雅黑" w:cs="微软雅黑"/>
          <w:color w:val="1C1F23"/>
          <w:sz w:val="24"/>
          <w:szCs w:val="28"/>
          <w:shd w:val="clear" w:color="auto" w:fill="FFFFFF"/>
        </w:rPr>
        <w:t>帧图像，这一速度能够满足零售场景中实时盘点的需求。无论是在营业高峰期，还是在仓库盘点时，都能快速准确地识别商品。结合边缘计算技术，即使在离线场景下，系统也能独立运行。例如，在一些网络信号不稳定的偏远地区的零售店，或者在网络临时故障的情况下，系统依然可以正常进行商品识别和盘点工作，这大大提升了系统的鲁棒性，确保零售业务不受网络问题的干扰。</w:t>
      </w:r>
    </w:p>
    <w:p w14:paraId="5827521D" w14:textId="5F3C1E04"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智能库存预测模型是系统的另一大核心技术，它基于</w:t>
      </w:r>
      <w:r w:rsidR="004E5D24">
        <w:rPr>
          <w:rFonts w:ascii="微软雅黑" w:eastAsia="微软雅黑" w:hAnsi="微软雅黑" w:cs="微软雅黑" w:hint="eastAsia"/>
          <w:color w:val="1C1F23"/>
          <w:sz w:val="24"/>
          <w:szCs w:val="28"/>
          <w:shd w:val="clear" w:color="auto" w:fill="FFFFFF"/>
        </w:rPr>
        <w:t>多种不同AI</w:t>
      </w:r>
      <w:r>
        <w:rPr>
          <w:rFonts w:ascii="微软雅黑" w:eastAsia="微软雅黑" w:hAnsi="微软雅黑" w:cs="微软雅黑"/>
          <w:color w:val="1C1F23"/>
          <w:sz w:val="24"/>
          <w:szCs w:val="28"/>
          <w:shd w:val="clear" w:color="auto" w:fill="FFFFFF"/>
        </w:rPr>
        <w:t>架构，融合了多种外部变量，如促销活动、天气数据等。在零售业务中，促销活动往往会导致商品销量大幅波动，而天气情况也会对某些商品的销售产生影响，比如炎热天气下冷饮的销量会增加，雨天雨具的需求会上升。通过将这些外部变量纳入模型，结合历史销售数据，模型能够更全面地分析库存需求的变化趋势。</w:t>
      </w:r>
    </w:p>
    <w:p w14:paraId="77861A0B" w14:textId="5683AB3B"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模型中的注意力机制是关键创新点之一，它可以动态调整不同特征的权重。在预测畅销商品时，模型会更加关注近期的销售数据和促销活动等关键因</w:t>
      </w:r>
      <w:r>
        <w:rPr>
          <w:rFonts w:ascii="微软雅黑" w:eastAsia="微软雅黑" w:hAnsi="微软雅黑" w:cs="微软雅黑"/>
          <w:color w:val="1C1F23"/>
          <w:sz w:val="24"/>
          <w:szCs w:val="28"/>
          <w:shd w:val="clear" w:color="auto" w:fill="FFFFFF"/>
        </w:rPr>
        <w:lastRenderedPageBreak/>
        <w:t>素，使得对畅销商品的预测误差率</w:t>
      </w:r>
      <w:r w:rsidR="004E5D24">
        <w:rPr>
          <w:rFonts w:ascii="微软雅黑" w:eastAsia="微软雅黑" w:hAnsi="微软雅黑" w:cs="微软雅黑" w:hint="eastAsia"/>
          <w:color w:val="1C1F23"/>
          <w:sz w:val="24"/>
          <w:szCs w:val="28"/>
          <w:shd w:val="clear" w:color="auto" w:fill="FFFFFF"/>
        </w:rPr>
        <w:t>较小</w:t>
      </w:r>
      <w:r>
        <w:rPr>
          <w:rFonts w:ascii="微软雅黑" w:eastAsia="微软雅黑" w:hAnsi="微软雅黑" w:cs="微软雅黑"/>
          <w:color w:val="1C1F23"/>
          <w:sz w:val="24"/>
          <w:szCs w:val="28"/>
          <w:shd w:val="clear" w:color="auto" w:fill="FFFFFF"/>
        </w:rPr>
        <w:t>；对于滞销商品，模型则会综合考虑多种因素，预测误差率控制在</w:t>
      </w:r>
      <w:r w:rsidR="004E5D24">
        <w:rPr>
          <w:rFonts w:ascii="微软雅黑" w:eastAsia="微软雅黑" w:hAnsi="微软雅黑" w:cs="微软雅黑" w:hint="eastAsia"/>
          <w:color w:val="1C1F23"/>
          <w:sz w:val="24"/>
          <w:szCs w:val="28"/>
          <w:shd w:val="clear" w:color="auto" w:fill="FFFFFF"/>
        </w:rPr>
        <w:t>较低水平</w:t>
      </w:r>
      <w:r>
        <w:rPr>
          <w:rFonts w:ascii="微软雅黑" w:eastAsia="微软雅黑" w:hAnsi="微软雅黑" w:cs="微软雅黑"/>
          <w:color w:val="1C1F23"/>
          <w:sz w:val="24"/>
          <w:szCs w:val="28"/>
          <w:shd w:val="clear" w:color="auto" w:fill="FFFFFF"/>
        </w:rPr>
        <w:t>。通过这种精准的预测，有效降低了库存积压与缺货风险，帮助零售企业优化库存管理，提高资金周转率。</w:t>
      </w:r>
    </w:p>
    <w:p w14:paraId="6EA20D55" w14:textId="2C13CB4C"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个性化推荐系统是提升客户购物体验和促进销售的重要技术手段。该系统混合协同过滤与深度学习算法，能够实时捕捉用户行为变化。在消费者浏览商品、下单购买等过程中，系统会迅速收集并分析这些行为数据，及时调整推荐策略。推荐列表刷新延迟</w:t>
      </w:r>
      <w:r w:rsidR="004E5D24">
        <w:rPr>
          <w:rFonts w:ascii="微软雅黑" w:eastAsia="微软雅黑" w:hAnsi="微软雅黑" w:cs="微软雅黑" w:hint="eastAsia"/>
          <w:color w:val="1C1F23"/>
          <w:sz w:val="24"/>
          <w:szCs w:val="28"/>
          <w:shd w:val="clear" w:color="auto" w:fill="FFFFFF"/>
        </w:rPr>
        <w:t>低</w:t>
      </w:r>
      <w:r>
        <w:rPr>
          <w:rFonts w:ascii="微软雅黑" w:eastAsia="微软雅黑" w:hAnsi="微软雅黑" w:cs="微软雅黑"/>
          <w:color w:val="1C1F23"/>
          <w:sz w:val="24"/>
          <w:szCs w:val="28"/>
          <w:shd w:val="clear" w:color="auto" w:fill="FFFFFF"/>
        </w:rPr>
        <w:t>，真正实现了“千人千面”的个性化推荐。例如，当一位消费者在电商平台上浏览了某品牌的运动鞋后，系统会立即推荐同品牌或相关款式的运动鞋，以及搭配的运动服装等商品。通过端云协同技术，无论是在实体店通过智能设备，还是在电商平台上，消费者都能接收到个性化的推荐信息，这大大提升了用户粘性和客单价，为零售企业带来更多的销售机会。</w:t>
      </w:r>
    </w:p>
    <w:p w14:paraId="59E6611A"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为了保持技术领先性和场景适应性，项目团队不断探索新的技术研发方向。在多模态融合方面，计划将RFID技术与视觉识别相结合。RFID技术可以提供商品的精准定位和追踪信息，与视觉识别技术互补，进一步提高商品识别的准确性和效率，特别是在库存管理和货架监控方面，能够实现更精细化的管理。</w:t>
      </w:r>
    </w:p>
    <w:p w14:paraId="7627F995"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在联邦学习领域，项目团队致力于实现跨企业数据协同。通过联邦学习，不同企业可以在不共享原始数据的前提下，利用各方的数据进行联合建模，提升模型的准确性和泛化能力。这不仅可以解决数据隐私和安全问题，还能整合行业内的多方数据资源，为零售企业提供更精准的市场分析和预测。</w:t>
      </w:r>
    </w:p>
    <w:p w14:paraId="769ED2D8"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在边缘计算优化方面，持续增强系统的离线功能。进一步提升离线场景下系统的性能和稳定性，减少对网络的依赖，确保在各种复杂环境下都能为零售</w:t>
      </w:r>
      <w:r>
        <w:rPr>
          <w:rFonts w:ascii="微软雅黑" w:eastAsia="微软雅黑" w:hAnsi="微软雅黑" w:cs="微软雅黑"/>
          <w:color w:val="1C1F23"/>
          <w:sz w:val="24"/>
          <w:szCs w:val="28"/>
          <w:shd w:val="clear" w:color="auto" w:fill="FFFFFF"/>
        </w:rPr>
        <w:lastRenderedPageBreak/>
        <w:t>企业提供可靠的服务。</w:t>
      </w:r>
    </w:p>
    <w:p w14:paraId="460BA347" w14:textId="38134895"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在生产经营方面，原料采购是项目运行的重要环节。系统主要以公开数据集作为数据来源。公开数据集具有丰富的通用性数据，能够为模型训练提供基础数据支持，帮助模型学习到广泛的商品特征和市场规律。合作企业脱敏数据则具有高度的针对性，能够反映特定零售场景下的实际业务情况，使模型更好地适应不同企业的需求。通过这两种数据的结合，为系统的算法训练提供了全面、准确的数据基础。</w:t>
      </w:r>
    </w:p>
    <w:p w14:paraId="4783A98B" w14:textId="5B880C38"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硬件设备的采购对于系统的稳定运行至关重要。项目选择优质供应商。这些供应商在硬件设备领域具有卓越的技术实力和良好的口碑，其提供的服务器、摄像头等硬件设备性能可靠、质量稳定，能够满足系统在数据处理、图像采集等方面的高要求</w:t>
      </w:r>
      <w:r w:rsidR="004E5D24">
        <w:rPr>
          <w:rFonts w:ascii="微软雅黑" w:eastAsia="微软雅黑" w:hAnsi="微软雅黑" w:cs="微软雅黑" w:hint="eastAsia"/>
          <w:color w:val="1C1F23"/>
          <w:sz w:val="24"/>
          <w:szCs w:val="28"/>
          <w:shd w:val="clear" w:color="auto" w:fill="FFFFFF"/>
        </w:rPr>
        <w:t>。</w:t>
      </w:r>
    </w:p>
    <w:p w14:paraId="210C0FAA" w14:textId="450AAE32"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研发团队是项目成功的关键因素之一</w:t>
      </w:r>
      <w:r w:rsidR="004E5D24">
        <w:rPr>
          <w:rFonts w:ascii="微软雅黑" w:eastAsia="微软雅黑" w:hAnsi="微软雅黑" w:cs="微软雅黑" w:hint="eastAsia"/>
          <w:color w:val="1C1F23"/>
          <w:sz w:val="24"/>
          <w:szCs w:val="28"/>
          <w:shd w:val="clear" w:color="auto" w:fill="FFFFFF"/>
        </w:rPr>
        <w:t>。</w:t>
      </w:r>
      <w:r>
        <w:rPr>
          <w:rFonts w:ascii="微软雅黑" w:eastAsia="微软雅黑" w:hAnsi="微软雅黑" w:cs="微软雅黑"/>
          <w:color w:val="1C1F23"/>
          <w:sz w:val="24"/>
          <w:szCs w:val="28"/>
          <w:shd w:val="clear" w:color="auto" w:fill="FFFFFF"/>
        </w:rPr>
        <w:t>核心成员在AI技术、大数据分析等领域有着深厚的专业知识和丰富的实践经验。为了确保项目的高效推进，团队建立了敏捷开发流程。</w:t>
      </w:r>
      <w:r w:rsidR="004E5D24">
        <w:rPr>
          <w:rFonts w:ascii="微软雅黑" w:eastAsia="微软雅黑" w:hAnsi="微软雅黑" w:cs="微软雅黑" w:hint="eastAsia"/>
          <w:color w:val="1C1F23"/>
          <w:sz w:val="24"/>
          <w:szCs w:val="28"/>
          <w:shd w:val="clear" w:color="auto" w:fill="FFFFFF"/>
        </w:rPr>
        <w:t>不断</w:t>
      </w:r>
      <w:r>
        <w:rPr>
          <w:rFonts w:ascii="微软雅黑" w:eastAsia="微软雅黑" w:hAnsi="微软雅黑" w:cs="微软雅黑"/>
          <w:color w:val="1C1F23"/>
          <w:sz w:val="24"/>
          <w:szCs w:val="28"/>
          <w:shd w:val="clear" w:color="auto" w:fill="FFFFFF"/>
        </w:rPr>
        <w:t>进行版本迭代，在迭代过程中，快速响应市场需求和</w:t>
      </w:r>
      <w:r w:rsidR="004E5D24">
        <w:rPr>
          <w:rFonts w:ascii="微软雅黑" w:eastAsia="微软雅黑" w:hAnsi="微软雅黑" w:cs="微软雅黑" w:hint="eastAsia"/>
          <w:color w:val="1C1F23"/>
          <w:sz w:val="24"/>
          <w:szCs w:val="28"/>
          <w:shd w:val="clear" w:color="auto" w:fill="FFFFFF"/>
        </w:rPr>
        <w:t>测试</w:t>
      </w:r>
      <w:r>
        <w:rPr>
          <w:rFonts w:ascii="微软雅黑" w:eastAsia="微软雅黑" w:hAnsi="微软雅黑" w:cs="微软雅黑"/>
          <w:color w:val="1C1F23"/>
          <w:sz w:val="24"/>
          <w:szCs w:val="28"/>
          <w:shd w:val="clear" w:color="auto" w:fill="FFFFFF"/>
        </w:rPr>
        <w:t>反馈，及时优化系统功能和修复问题。每月进行</w:t>
      </w:r>
      <w:r w:rsidR="004E5D24">
        <w:rPr>
          <w:rFonts w:ascii="微软雅黑" w:eastAsia="微软雅黑" w:hAnsi="微软雅黑" w:cs="微软雅黑" w:hint="eastAsia"/>
          <w:color w:val="1C1F23"/>
          <w:sz w:val="24"/>
          <w:szCs w:val="28"/>
          <w:shd w:val="clear" w:color="auto" w:fill="FFFFFF"/>
        </w:rPr>
        <w:t>更全面的</w:t>
      </w:r>
      <w:r>
        <w:rPr>
          <w:rFonts w:ascii="微软雅黑" w:eastAsia="微软雅黑" w:hAnsi="微软雅黑" w:cs="微软雅黑"/>
          <w:color w:val="1C1F23"/>
          <w:sz w:val="24"/>
          <w:szCs w:val="28"/>
          <w:shd w:val="clear" w:color="auto" w:fill="FFFFFF"/>
        </w:rPr>
        <w:t>测试</w:t>
      </w:r>
      <w:r w:rsidR="004E5D24">
        <w:rPr>
          <w:rFonts w:ascii="微软雅黑" w:eastAsia="微软雅黑" w:hAnsi="微软雅黑" w:cs="微软雅黑" w:hint="eastAsia"/>
          <w:color w:val="1C1F23"/>
          <w:sz w:val="24"/>
          <w:szCs w:val="28"/>
          <w:shd w:val="clear" w:color="auto" w:fill="FFFFFF"/>
        </w:rPr>
        <w:t>，</w:t>
      </w:r>
      <w:r>
        <w:rPr>
          <w:rFonts w:ascii="微软雅黑" w:eastAsia="微软雅黑" w:hAnsi="微软雅黑" w:cs="微软雅黑"/>
          <w:color w:val="1C1F23"/>
          <w:sz w:val="24"/>
          <w:szCs w:val="28"/>
          <w:shd w:val="clear" w:color="auto" w:fill="FFFFFF"/>
        </w:rPr>
        <w:t>收集意见和建议，确保系统的功能和性能符合客户的期望，提高客户满意度。</w:t>
      </w:r>
    </w:p>
    <w:p w14:paraId="66C1C240" w14:textId="3F0EAD8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在品质控制方面，采用</w:t>
      </w:r>
      <w:r w:rsidR="004E5D24">
        <w:rPr>
          <w:rFonts w:ascii="微软雅黑" w:eastAsia="微软雅黑" w:hAnsi="微软雅黑" w:cs="微软雅黑" w:hint="eastAsia"/>
          <w:color w:val="1C1F23"/>
          <w:sz w:val="24"/>
          <w:szCs w:val="28"/>
          <w:shd w:val="clear" w:color="auto" w:fill="FFFFFF"/>
        </w:rPr>
        <w:t>多种技术</w:t>
      </w:r>
      <w:r>
        <w:rPr>
          <w:rFonts w:ascii="微软雅黑" w:eastAsia="微软雅黑" w:hAnsi="微软雅黑" w:cs="微软雅黑"/>
          <w:color w:val="1C1F23"/>
          <w:sz w:val="24"/>
          <w:szCs w:val="28"/>
          <w:shd w:val="clear" w:color="auto" w:fill="FFFFFF"/>
        </w:rPr>
        <w:t>技术保障数据安全，在数据分析和处理过程中，最大限度地保护数据隐私。这些措施不仅确保了系统的稳定性，还使系统符合相关法规和行业标准，为项目的长期发展奠定了坚实的基础。</w:t>
      </w:r>
    </w:p>
    <w:p w14:paraId="3245F4C2" w14:textId="4A8C4739" w:rsidR="00086162" w:rsidRDefault="004E5D24">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hint="eastAsia"/>
          <w:color w:val="1C1F23"/>
          <w:sz w:val="24"/>
          <w:szCs w:val="28"/>
          <w:shd w:val="clear" w:color="auto" w:fill="FFFFFF"/>
        </w:rPr>
        <w:t>“重塑零售Retail ReImagined (ReRI)”AI</w:t>
      </w:r>
      <w:r>
        <w:rPr>
          <w:rFonts w:ascii="微软雅黑" w:eastAsia="微软雅黑" w:hAnsi="微软雅黑" w:cs="微软雅黑"/>
          <w:color w:val="1C1F23"/>
          <w:sz w:val="24"/>
          <w:szCs w:val="28"/>
          <w:shd w:val="clear" w:color="auto" w:fill="FFFFFF"/>
        </w:rPr>
        <w:t>智能零售系统</w:t>
      </w:r>
      <w:r w:rsidR="005936B9">
        <w:rPr>
          <w:rFonts w:ascii="微软雅黑" w:eastAsia="微软雅黑" w:hAnsi="微软雅黑" w:cs="微软雅黑"/>
          <w:color w:val="1C1F23"/>
          <w:sz w:val="24"/>
          <w:szCs w:val="28"/>
          <w:shd w:val="clear" w:color="auto" w:fill="FFFFFF"/>
        </w:rPr>
        <w:t>以智能化、可视化、便捷化为显著特征，为零售企业提供全方位的核心服务。在商品管理方面，通过AI商品识别技术实现了商品的快速录入、动态盘点和货架陈列监控。</w:t>
      </w:r>
      <w:r w:rsidR="005936B9">
        <w:rPr>
          <w:rFonts w:ascii="微软雅黑" w:eastAsia="微软雅黑" w:hAnsi="微软雅黑" w:cs="微软雅黑"/>
          <w:color w:val="1C1F23"/>
          <w:sz w:val="24"/>
          <w:szCs w:val="28"/>
          <w:shd w:val="clear" w:color="auto" w:fill="FFFFFF"/>
        </w:rPr>
        <w:lastRenderedPageBreak/>
        <w:t>与传统的人工管理方式相比，大大节省了人力成本和时间成本，提高了管理效率和准确性。例如，在一家大型超市中，传统人工盘点一次商品需要耗费大量人力和数天时间，且容易出现错误，而使用该系统，只需几名工作人员操作设备，数小时内就能完成全面准确的盘点工作。</w:t>
      </w:r>
    </w:p>
    <w:p w14:paraId="40CB7258" w14:textId="5ABC4BEC"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在库存优化方面，智能库存预测模型根据准确的预测结果自动生成补货计划，帮助企业降低库存周转率。企业可以根据系统的建议，合理安排库存，减少库存积压，避免缺货现象的发生，提高资金的使用效率。通过优化库存管理，库存资金占用减少，同时缺货率下降了，有效提升店铺的盈利能力。</w:t>
      </w:r>
    </w:p>
    <w:p w14:paraId="57EE78D4" w14:textId="04B9904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销售分析是系统的重要功能之一，AI销售分析模块对客流、交易、库存等数据进行深度挖掘。通过先进的数据挖掘算法和可视化技术，生成直观、清晰的可视化报表，为管理者提供全面、准确的数据信息。同时，系统还能根据数据分析结果提供专业的运营建议，帮助管理者制定科学合理的促销策略，如确定促销商品、促销时间和促销方式等，优化商品定价，实现利润最大化。</w:t>
      </w:r>
    </w:p>
    <w:p w14:paraId="729E3534"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从市场前景来看，预计未来三年，系统将覆盖10%的中小型企业市场。随着智能零售技术的不断普及和市场认知度的提高，越来越多的中小型企业将认识到该系统的价值，它将逐渐成为零售数字化转型的标配工具。为了保持在行业内的技术前沿地位，项目团队制定了详细的技术改进计划，每年投入1000万元用于研发。持续提升算法性能，进一步提高商品识别准确率、库存预测精度和推荐系统的精准度。同时，不断探索创新功能，如引入元宇宙购物等新兴概念，为消费者带来全新的购物体验，满足消费者日益多样化的需求，增强系统的市场竞争力。</w:t>
      </w:r>
    </w:p>
    <w:p w14:paraId="3A6C0414" w14:textId="77777777" w:rsidR="00086162" w:rsidRDefault="00086162">
      <w:pPr>
        <w:spacing w:line="360" w:lineRule="auto"/>
        <w:rPr>
          <w:rFonts w:ascii="微软雅黑" w:eastAsia="微软雅黑" w:hAnsi="微软雅黑" w:cs="微软雅黑" w:hint="eastAsia"/>
          <w:color w:val="1C1F23"/>
          <w:sz w:val="28"/>
          <w:szCs w:val="28"/>
          <w:shd w:val="clear" w:color="auto" w:fill="FFFFFF"/>
        </w:rPr>
      </w:pPr>
    </w:p>
    <w:p w14:paraId="5CE5343A" w14:textId="77777777" w:rsidR="00086162" w:rsidRDefault="00086162">
      <w:pPr>
        <w:rPr>
          <w:rFonts w:ascii="微软雅黑" w:eastAsia="微软雅黑" w:hAnsi="微软雅黑" w:cs="微软雅黑" w:hint="eastAsia"/>
          <w:color w:val="1C1F23"/>
          <w:sz w:val="28"/>
          <w:szCs w:val="28"/>
          <w:shd w:val="clear" w:color="auto" w:fill="FFFFFF"/>
        </w:rPr>
      </w:pPr>
    </w:p>
    <w:p w14:paraId="6011816A" w14:textId="77777777" w:rsidR="00086162" w:rsidRPr="000F53BE" w:rsidRDefault="005936B9">
      <w:pPr>
        <w:numPr>
          <w:ilvl w:val="0"/>
          <w:numId w:val="5"/>
        </w:numPr>
        <w:rPr>
          <w:rFonts w:ascii="微软雅黑" w:eastAsia="微软雅黑" w:hAnsi="微软雅黑" w:cs="微软雅黑" w:hint="eastAsia"/>
          <w:b/>
          <w:bCs/>
          <w:sz w:val="32"/>
          <w:szCs w:val="32"/>
        </w:rPr>
      </w:pPr>
      <w:r w:rsidRPr="000F53BE">
        <w:rPr>
          <w:rFonts w:ascii="微软雅黑" w:eastAsia="微软雅黑" w:hAnsi="微软雅黑" w:cs="微软雅黑"/>
          <w:b/>
          <w:bCs/>
          <w:sz w:val="32"/>
          <w:szCs w:val="32"/>
        </w:rPr>
        <w:t>市场营销</w:t>
      </w:r>
    </w:p>
    <w:p w14:paraId="1A9EB260" w14:textId="77777777" w:rsidR="00086162" w:rsidRDefault="00086162">
      <w:pPr>
        <w:rPr>
          <w:szCs w:val="28"/>
        </w:rPr>
      </w:pPr>
    </w:p>
    <w:p w14:paraId="552DD1CF" w14:textId="130165C6"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在当今竞争激烈且充满机遇的商业环境中，智能零售市场正以前所未有的速度蓬勃发展。“</w:t>
      </w:r>
      <w:r w:rsidR="004E5D24">
        <w:rPr>
          <w:rFonts w:ascii="微软雅黑" w:eastAsia="微软雅黑" w:hAnsi="微软雅黑" w:cs="微软雅黑" w:hint="eastAsia"/>
          <w:color w:val="1C1F23"/>
          <w:sz w:val="24"/>
          <w:szCs w:val="28"/>
          <w:shd w:val="clear" w:color="auto" w:fill="FFFFFF"/>
        </w:rPr>
        <w:t>重塑零售Retail ReImagined (ReRI)”AI</w:t>
      </w:r>
      <w:r w:rsidR="004E5D24">
        <w:rPr>
          <w:rFonts w:ascii="微软雅黑" w:eastAsia="微软雅黑" w:hAnsi="微软雅黑" w:cs="微软雅黑"/>
          <w:color w:val="1C1F23"/>
          <w:sz w:val="24"/>
          <w:szCs w:val="28"/>
          <w:shd w:val="clear" w:color="auto" w:fill="FFFFFF"/>
        </w:rPr>
        <w:t>智能零售系统</w:t>
      </w:r>
      <w:r>
        <w:rPr>
          <w:rFonts w:ascii="微软雅黑" w:eastAsia="微软雅黑" w:hAnsi="微软雅黑" w:cs="微软雅黑"/>
          <w:color w:val="1C1F23"/>
          <w:sz w:val="24"/>
          <w:szCs w:val="28"/>
          <w:shd w:val="clear" w:color="auto" w:fill="FFFFFF"/>
        </w:rPr>
        <w:t>想要在这片市场中脱颖而出并占据一席之地，精准有效的市场营销策略至关重要。这不仅关乎产品的推广和销售，更与品牌的树立以及长期的市场竞争优势紧密相连。</w:t>
      </w:r>
    </w:p>
    <w:p w14:paraId="59D6D03C"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精准定位目标市场是市场营销的基石。经过深入的市场调研和分析，项目将目标市场细分为三个主要领域：中小型企业、大型企业以及电商平台。</w:t>
      </w:r>
    </w:p>
    <w:p w14:paraId="20FF6611"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中小型企业在零售行业中占据着庞大的数量，它们往往面临着资金有限、技术能力不足但又渴望提升运营效率、增强市场竞争力的困境。针对这一群体，项目推出轻量化云端版系统。这种版本的优势在于成本较低，企业无需投入大量资金用于硬件设备购置和复杂的系统搭建，只需通过云端订阅的方式，就能轻松使用系统的各项功能。对于资金紧张的小型便利店来说，轻量化云端版系统能够帮助它们实现基本的商品管理、库存优化以及销售分析功能，在不增加过多成本的情况下提升店铺运营水平，吸引更多顾客，增加销售额。</w:t>
      </w:r>
    </w:p>
    <w:p w14:paraId="00FB4C9B" w14:textId="11CB7CE3"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大型企业通常拥有复杂的业务体系和庞大的运营规模，对智能化的要求更为全面和深入。它们追求全链路数据闭环，期望通过智能零售技术实现从供应链前端的采购、生产，到后端的销售、客户服务以及数据分析的一体化管理，从而优化整个业务流程，提升运营效率和决策的科学性。为满足大型企业的这些需求，项目提供定制化私有云方案。根据大型零售集团的具体业务流程、管理模式以及数据安全要求，进行个性化的系统开发和部署。</w:t>
      </w:r>
    </w:p>
    <w:p w14:paraId="43B69327" w14:textId="37AA0D42"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lastRenderedPageBreak/>
        <w:t>电商平台在互联网经济的浪潮中竞争激烈，用户粘性和购物体验是其制胜的关键。精准的商品推荐和高效的仓储优化能够显著提升用户的购物满意度，增加用户在平台上的停留时间和购买频率。因此，项目为电商平台提供专门的推荐与仓储优化模块。推荐模块通过对用户行为数据的深度分析，运用先进的深度学习算法，实现“千人千面”的个性化推荐，让用户在海量商品中快速找到心仪的产品。仓储优化模块则帮助电商平台合理规划仓库布局，优化库存管理，提高货物的出入库效率，降低仓储成本。</w:t>
      </w:r>
    </w:p>
    <w:p w14:paraId="4E380587"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在竞争激烈的智能零售市场中，制定有效的竞争策略是项目取得成功的关键。差异化定价是项目的重要竞争手段之一。通过对市场上同类产品的价格调研和成本分析，项目将产品价格定位在竞品的60% - 70%。这种价格优势能够吸引大量对成本较为敏感的客户，尤其是中小型企业。对于这些企业来说，在功能相近的情况下，更低的价格意味着更低的运营成本和更高的投资回报率。 技术服务捆绑也是项目的一大竞争优势。项目为客户提供免费的运维和培训服务。在运维方面，专业的技术团队随时待命，及时解决系统在运行过程中出现的问题，确保系统的稳定运行。无论是软件故障还是硬件问题，都能在最短时间内得到解决，减少对客户业务的影响。在培训方面，针对不同客户的需求和使用场景，制定个性化的培训方案。通过线上线下相结合的培训方式，帮助客户的员工快速熟悉系统的操作和使用技巧，充分发挥系统的功能。对于新入职的员工，也能提供及时的培训，确保他们能够迅速上手。</w:t>
      </w:r>
    </w:p>
    <w:p w14:paraId="5638E07C"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生态合作是项目构建竞争壁垒的重要途径。项目与云服务商、设备厂商等建立紧密的合作关系。与云服务商合作，如阿里云，借助其强大的云计算能力和广泛的市场渠道，实现系统的快速部署和推广。云服务商可以将项目的系统</w:t>
      </w:r>
      <w:r>
        <w:rPr>
          <w:rFonts w:ascii="微软雅黑" w:eastAsia="微软雅黑" w:hAnsi="微软雅黑" w:cs="微软雅黑"/>
          <w:color w:val="1C1F23"/>
          <w:sz w:val="24"/>
          <w:szCs w:val="28"/>
          <w:shd w:val="clear" w:color="auto" w:fill="FFFFFF"/>
        </w:rPr>
        <w:lastRenderedPageBreak/>
        <w:t>预装在其云服务平台上，为用户提供一站式的智能零售解决方案。与设备厂商合作，如华为、海康威视等，将系统与硬件设备进行深度集成。例如，将AI商品识别功能集成到智能摄像头中，实现设备的智能化升级，为客户提供更加便捷、高效的产品体验。通过这种生态合作，不仅能够提升项目的产品竞争力，还能拓展市场渠道，实现互利共赢。</w:t>
      </w:r>
    </w:p>
    <w:p w14:paraId="5F08EA15"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在当今数字化时代，多元化的营销渠道对于产品的推广至关重要。行业展会是项目展示产品实力和品牌形象的重要平台。像中国国际零售博览会这样的行业盛会，汇聚了全球零售行业的专家、企业代表以及潜在客户。项目通过精心设计展位，展示系统的核心功能和应用案例，吸引众多参会者的关注。在展会上，专业的销售人员和技术人员与客户进行面对面的交流，解答客户的疑问，收集客户的反馈，为进一步的合作奠定基础。通过参加行业展会，项目能够提升品牌知名度，拓展客户资源，了解行业最新动态和竞争对手的情况。</w:t>
      </w:r>
    </w:p>
    <w:p w14:paraId="74091D30"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线上广告在项目的营销中也占据着重要地位。随着互联网的普及，越来越多的客户通过网络获取信息。项目通过在官方网站、社交媒体平台以及搜索引擎等渠道投放广告，扩大品牌影响力。官方网站作为项目的线上窗口，详细介绍了系统的功能、特点、应用案例以及客户服务等信息。通过优化网站设计和内容，提高网站的用户体验，吸引潜在客户的访问。在社交媒体平台上，如微信公众号、微博、抖音等，项目定期发布有趣、有价值的内容，包括产品介绍、行业资讯、成功案例分享等，吸引用户的关注和互动。通过搜索引擎广告，如百度推广，当用户搜索与智能零售相关的关键词时，项目的广告能够及时展示在搜索结果页面，提高品牌的曝光率。</w:t>
      </w:r>
    </w:p>
    <w:p w14:paraId="1CB1BA6B"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合作伙伴推荐是项目获取客户的有效途径之一。通过与云服务商、设备厂</w:t>
      </w:r>
      <w:r>
        <w:rPr>
          <w:rFonts w:ascii="微软雅黑" w:eastAsia="微软雅黑" w:hAnsi="微软雅黑" w:cs="微软雅黑"/>
          <w:color w:val="1C1F23"/>
          <w:sz w:val="24"/>
          <w:szCs w:val="28"/>
          <w:shd w:val="clear" w:color="auto" w:fill="FFFFFF"/>
        </w:rPr>
        <w:lastRenderedPageBreak/>
        <w:t>商、行业协会等合作伙伴建立良好的合作关系，借助他们的渠道和资源进行产品推广。云服务商和设备厂商在为客户提供产品和服务的过程中，向客户推荐项目的系统，由于合作伙伴在行业内具有较高的信誉度，客户对推荐的产品往往更容易接受。行业协会则可以通过组织行业活动、发布行业报告等方式，为项目提供宣传和推广的机会，帮助项目与更多潜在客户建立联系。</w:t>
      </w:r>
    </w:p>
    <w:p w14:paraId="694957A3"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为了确保市场营销策略的有效实施，项目制定了明确的市场份额目标。计划在未来3年内实现15%的市场份额。为了实现这一目标，项目将不断优化产品和服务，根据市场需求和客户反馈，持续改进系统的功能和性能。加强市场推广力度，增加在行业展会、线上广告等方面的投入，拓展合作伙伴关系，扩大市场覆盖范围。同时，注重客户关系管理，提高客户满意度和忠诚度，通过客户口碑传播，吸引更多新客户。在第一年，重点是提高品牌知名度，通过参加行业展会和线上广告宣传，让更多的潜在客户了解项目的产品和服务。在第二年，加大市场推广力度，与更多的合作伙伴建立合作关系，拓展销售渠道，提高产品的市场占有率。在第三年，进一步优化产品和服务，提升客户满意度，巩固市场地位，实现15%市场份额的目标。</w:t>
      </w:r>
    </w:p>
    <w:p w14:paraId="3DB3EDF8" w14:textId="77777777" w:rsidR="00086162" w:rsidRDefault="005936B9">
      <w:pPr>
        <w:spacing w:line="360" w:lineRule="auto"/>
        <w:ind w:firstLineChars="200" w:firstLine="480"/>
        <w:jc w:val="left"/>
        <w:rPr>
          <w:rFonts w:ascii="微软雅黑" w:eastAsia="微软雅黑" w:hAnsi="微软雅黑" w:cs="微软雅黑" w:hint="eastAsia"/>
          <w:color w:val="1C1F23"/>
          <w:sz w:val="24"/>
          <w:szCs w:val="28"/>
          <w:shd w:val="clear" w:color="auto" w:fill="FFFFFF"/>
        </w:rPr>
      </w:pPr>
      <w:r>
        <w:rPr>
          <w:rFonts w:ascii="微软雅黑" w:eastAsia="微软雅黑" w:hAnsi="微软雅黑" w:cs="微软雅黑"/>
          <w:color w:val="1C1F23"/>
          <w:sz w:val="24"/>
          <w:szCs w:val="28"/>
          <w:shd w:val="clear" w:color="auto" w:fill="FFFFFF"/>
        </w:rPr>
        <w:t>在市场营销过程中，项目还将密切关注市场动态和竞争对手的情况。及时调整市场营销策略，以适应市场变化和竞争挑战。随着智能零售技术的不断发展和市场需求的变化，不断推出新的功能和应用场景，保持产品的竞争力。同时，通过对竞争对手的分析，学习借鉴他们的优点，改进自身的不足，在市场竞争中占据优势地位。</w:t>
      </w:r>
    </w:p>
    <w:p w14:paraId="3ABD1032" w14:textId="77777777" w:rsidR="00086162" w:rsidRDefault="00086162">
      <w:pPr>
        <w:rPr>
          <w:rFonts w:ascii="微软雅黑" w:eastAsia="微软雅黑" w:hAnsi="微软雅黑" w:cs="微软雅黑" w:hint="eastAsia"/>
          <w:color w:val="1C1F23"/>
          <w:sz w:val="28"/>
          <w:szCs w:val="28"/>
          <w:shd w:val="clear" w:color="auto" w:fill="FFFFFF"/>
        </w:rPr>
      </w:pPr>
    </w:p>
    <w:p w14:paraId="0223247C" w14:textId="77777777" w:rsidR="00086162" w:rsidRDefault="00086162">
      <w:pPr>
        <w:rPr>
          <w:rFonts w:ascii="微软雅黑" w:eastAsia="微软雅黑" w:hAnsi="微软雅黑" w:cs="微软雅黑" w:hint="eastAsia"/>
          <w:color w:val="1C1F23"/>
          <w:sz w:val="28"/>
          <w:szCs w:val="28"/>
          <w:shd w:val="clear" w:color="auto" w:fill="FFFFFF"/>
        </w:rPr>
      </w:pPr>
    </w:p>
    <w:p w14:paraId="193B661E" w14:textId="77777777" w:rsidR="00086162" w:rsidRDefault="005936B9">
      <w:pPr>
        <w:numPr>
          <w:ilvl w:val="0"/>
          <w:numId w:val="5"/>
        </w:numPr>
        <w:rPr>
          <w:rFonts w:ascii="微软雅黑" w:eastAsia="微软雅黑" w:hAnsi="微软雅黑" w:cs="微软雅黑"/>
          <w:b/>
          <w:bCs/>
          <w:sz w:val="32"/>
          <w:szCs w:val="32"/>
        </w:rPr>
      </w:pPr>
      <w:r w:rsidRPr="000F53BE">
        <w:rPr>
          <w:rFonts w:ascii="微软雅黑" w:eastAsia="微软雅黑" w:hAnsi="微软雅黑" w:cs="微软雅黑"/>
          <w:b/>
          <w:bCs/>
          <w:sz w:val="32"/>
          <w:szCs w:val="32"/>
        </w:rPr>
        <w:lastRenderedPageBreak/>
        <w:t>创业团队</w:t>
      </w:r>
    </w:p>
    <w:p w14:paraId="5AA0B39C" w14:textId="1D538F71" w:rsidR="00776D60" w:rsidRPr="000F53BE" w:rsidRDefault="00776D60" w:rsidP="00776D60">
      <w:pPr>
        <w:rPr>
          <w:rFonts w:hint="eastAsia"/>
        </w:rPr>
      </w:pPr>
    </w:p>
    <w:p w14:paraId="2C1D6D35" w14:textId="77777777" w:rsidR="00086162" w:rsidRDefault="005936B9">
      <w:pPr>
        <w:spacing w:before="120" w:line="360" w:lineRule="auto"/>
        <w:rPr>
          <w:rFonts w:ascii="微软雅黑" w:eastAsia="微软雅黑" w:hAnsi="微软雅黑" w:cs="微软雅黑" w:hint="eastAsia"/>
          <w:sz w:val="24"/>
          <w:shd w:val="clear" w:color="auto" w:fill="FFFFFF"/>
        </w:rPr>
      </w:pPr>
      <w:r>
        <w:rPr>
          <w:rFonts w:ascii="微软雅黑" w:eastAsia="微软雅黑" w:hAnsi="微软雅黑" w:cs="微软雅黑"/>
          <w:b/>
          <w:sz w:val="24"/>
          <w:shd w:val="clear" w:color="auto" w:fill="FFFFFF"/>
        </w:rPr>
        <w:t>管理团队优势与不足之处</w:t>
      </w:r>
      <w:r>
        <w:rPr>
          <w:rFonts w:ascii="微软雅黑" w:eastAsia="微软雅黑" w:hAnsi="微软雅黑" w:cs="微软雅黑"/>
          <w:sz w:val="24"/>
          <w:shd w:val="clear" w:color="auto" w:fill="FFFFFF"/>
        </w:rPr>
        <w:t>：</w:t>
      </w:r>
    </w:p>
    <w:p w14:paraId="7FF35AA6" w14:textId="77777777" w:rsidR="00086162" w:rsidRDefault="005936B9">
      <w:pPr>
        <w:spacing w:before="120" w:line="360" w:lineRule="auto"/>
        <w:ind w:firstLineChars="200" w:firstLine="480"/>
        <w:rPr>
          <w:rFonts w:ascii="微软雅黑" w:eastAsia="微软雅黑" w:hAnsi="微软雅黑" w:cs="微软雅黑" w:hint="eastAsia"/>
          <w:sz w:val="24"/>
        </w:rPr>
      </w:pPr>
      <w:r>
        <w:rPr>
          <w:rFonts w:ascii="微软雅黑" w:eastAsia="微软雅黑" w:hAnsi="微软雅黑" w:cs="微软雅黑"/>
          <w:b/>
          <w:sz w:val="24"/>
          <w:shd w:val="clear" w:color="auto" w:fill="FFFFFF"/>
        </w:rPr>
        <w:t>优势</w:t>
      </w:r>
      <w:r>
        <w:rPr>
          <w:rFonts w:ascii="微软雅黑" w:eastAsia="微软雅黑" w:hAnsi="微软雅黑" w:cs="微软雅黑"/>
          <w:sz w:val="24"/>
          <w:shd w:val="clear" w:color="auto" w:fill="FFFFFF"/>
        </w:rPr>
        <w:t>：核心成员兼具深厚技术背景与丰富零售行业实战经验，能精准把握技术落地与零售需求结合点；团队协作高效，采用扁平化管理与跨部门定期复盘机制，确保需求快速响应。</w:t>
      </w:r>
    </w:p>
    <w:p w14:paraId="35E98EB0" w14:textId="77777777" w:rsidR="00086162" w:rsidRDefault="005936B9">
      <w:pPr>
        <w:spacing w:before="60" w:line="360" w:lineRule="auto"/>
        <w:ind w:firstLineChars="200" w:firstLine="480"/>
        <w:rPr>
          <w:rFonts w:ascii="微软雅黑" w:eastAsia="微软雅黑" w:hAnsi="微软雅黑" w:cs="微软雅黑" w:hint="eastAsia"/>
          <w:sz w:val="24"/>
        </w:rPr>
      </w:pPr>
      <w:r>
        <w:rPr>
          <w:rFonts w:ascii="微软雅黑" w:eastAsia="微软雅黑" w:hAnsi="微软雅黑" w:cs="微软雅黑"/>
          <w:b/>
          <w:sz w:val="24"/>
          <w:shd w:val="clear" w:color="auto" w:fill="FFFFFF"/>
        </w:rPr>
        <w:t>不足</w:t>
      </w:r>
      <w:r>
        <w:rPr>
          <w:rFonts w:ascii="微软雅黑" w:eastAsia="微软雅黑" w:hAnsi="微软雅黑" w:cs="微软雅黑"/>
          <w:sz w:val="24"/>
          <w:shd w:val="clear" w:color="auto" w:fill="FFFFFF"/>
        </w:rPr>
        <w:t>：随着业务快速扩张，需持续加强中层管理人才储备，以应对团队规模扩大后的精细化管理需求。</w:t>
      </w:r>
    </w:p>
    <w:p w14:paraId="5C13BD7E" w14:textId="77777777" w:rsidR="00086162" w:rsidRDefault="005936B9">
      <w:pPr>
        <w:spacing w:before="120" w:line="360" w:lineRule="auto"/>
        <w:rPr>
          <w:rFonts w:ascii="微软雅黑" w:eastAsia="微软雅黑" w:hAnsi="微软雅黑" w:cs="微软雅黑" w:hint="eastAsia"/>
          <w:sz w:val="24"/>
          <w:shd w:val="clear" w:color="auto" w:fill="FFFFFF"/>
        </w:rPr>
      </w:pPr>
      <w:r>
        <w:rPr>
          <w:rFonts w:ascii="微软雅黑" w:eastAsia="微软雅黑" w:hAnsi="微软雅黑" w:cs="微软雅黑"/>
          <w:b/>
          <w:sz w:val="24"/>
          <w:shd w:val="clear" w:color="auto" w:fill="FFFFFF"/>
        </w:rPr>
        <w:t>人才战略与激励制度</w:t>
      </w:r>
      <w:r>
        <w:rPr>
          <w:rFonts w:ascii="微软雅黑" w:eastAsia="微软雅黑" w:hAnsi="微软雅黑" w:cs="微软雅黑"/>
          <w:sz w:val="24"/>
          <w:shd w:val="clear" w:color="auto" w:fill="FFFFFF"/>
        </w:rPr>
        <w:t>：</w:t>
      </w:r>
    </w:p>
    <w:p w14:paraId="7C597684" w14:textId="77777777" w:rsidR="00086162" w:rsidRDefault="005936B9">
      <w:pPr>
        <w:spacing w:before="120" w:line="360" w:lineRule="auto"/>
        <w:ind w:firstLineChars="200" w:firstLine="480"/>
        <w:rPr>
          <w:rFonts w:ascii="微软雅黑" w:eastAsia="微软雅黑" w:hAnsi="微软雅黑" w:cs="微软雅黑" w:hint="eastAsia"/>
          <w:sz w:val="24"/>
        </w:rPr>
      </w:pPr>
      <w:r>
        <w:rPr>
          <w:rFonts w:ascii="微软雅黑" w:eastAsia="微软雅黑" w:hAnsi="微软雅黑" w:cs="微软雅黑"/>
          <w:sz w:val="24"/>
          <w:shd w:val="clear" w:color="auto" w:fill="FFFFFF"/>
        </w:rPr>
        <w:t>实施核心人才股权激励计划，预留 15% 期权池，向研发骨干、资深行业专家倾斜。</w:t>
      </w:r>
    </w:p>
    <w:p w14:paraId="0F24ADCD" w14:textId="77777777" w:rsidR="00086162" w:rsidRDefault="005936B9">
      <w:pPr>
        <w:spacing w:before="60" w:line="360" w:lineRule="auto"/>
        <w:ind w:firstLineChars="200" w:firstLine="480"/>
        <w:rPr>
          <w:rFonts w:ascii="微软雅黑" w:eastAsia="微软雅黑" w:hAnsi="微软雅黑" w:cs="微软雅黑" w:hint="eastAsia"/>
          <w:sz w:val="24"/>
        </w:rPr>
      </w:pPr>
      <w:r>
        <w:rPr>
          <w:rFonts w:ascii="微软雅黑" w:eastAsia="微软雅黑" w:hAnsi="微软雅黑" w:cs="微软雅黑"/>
          <w:sz w:val="24"/>
          <w:shd w:val="clear" w:color="auto" w:fill="FFFFFF"/>
        </w:rPr>
        <w:t>建立 “技术 / 管理” 双通道晋升机制，匹配不同人才职业发展需求，提升团队归属感。</w:t>
      </w:r>
    </w:p>
    <w:p w14:paraId="7C7C2D44" w14:textId="30354B15" w:rsidR="00086162" w:rsidRDefault="005936B9" w:rsidP="005936B9">
      <w:pPr>
        <w:spacing w:before="60" w:line="360" w:lineRule="auto"/>
        <w:ind w:firstLineChars="200" w:firstLine="480"/>
        <w:rPr>
          <w:rFonts w:ascii="微软雅黑" w:eastAsia="微软雅黑" w:hAnsi="微软雅黑" w:cs="微软雅黑" w:hint="eastAsia"/>
          <w:b/>
          <w:sz w:val="24"/>
          <w:shd w:val="clear" w:color="auto" w:fill="FFFFFF"/>
        </w:rPr>
      </w:pPr>
      <w:r>
        <w:rPr>
          <w:rFonts w:ascii="微软雅黑" w:eastAsia="微软雅黑" w:hAnsi="微软雅黑" w:cs="微软雅黑"/>
          <w:sz w:val="24"/>
          <w:shd w:val="clear" w:color="auto" w:fill="FFFFFF"/>
        </w:rPr>
        <w:t>提供具有行业竞争力的薪酬福利，包括技术培训、</w:t>
      </w:r>
      <w:proofErr w:type="gramStart"/>
      <w:r>
        <w:rPr>
          <w:rFonts w:ascii="微软雅黑" w:eastAsia="微软雅黑" w:hAnsi="微软雅黑" w:cs="微软雅黑"/>
          <w:sz w:val="24"/>
          <w:shd w:val="clear" w:color="auto" w:fill="FFFFFF"/>
        </w:rPr>
        <w:t>项目跟投等</w:t>
      </w:r>
      <w:proofErr w:type="gramEnd"/>
      <w:r>
        <w:rPr>
          <w:rFonts w:ascii="微软雅黑" w:eastAsia="微软雅黑" w:hAnsi="微软雅黑" w:cs="微软雅黑"/>
          <w:sz w:val="24"/>
          <w:shd w:val="clear" w:color="auto" w:fill="FFFFFF"/>
        </w:rPr>
        <w:t>，吸引零售科技领域高端人才。</w:t>
      </w:r>
    </w:p>
    <w:p w14:paraId="75056A06" w14:textId="77777777" w:rsidR="005936B9" w:rsidRDefault="005936B9" w:rsidP="005936B9">
      <w:pPr>
        <w:spacing w:before="60" w:line="360" w:lineRule="auto"/>
        <w:rPr>
          <w:rFonts w:ascii="微软雅黑" w:eastAsia="微软雅黑" w:hAnsi="微软雅黑" w:cs="微软雅黑" w:hint="eastAsia"/>
          <w:color w:val="1C1F23"/>
          <w:sz w:val="28"/>
          <w:szCs w:val="28"/>
          <w:shd w:val="clear" w:color="auto" w:fill="FFFFFF"/>
        </w:rPr>
      </w:pPr>
    </w:p>
    <w:p w14:paraId="42E187BC" w14:textId="77777777" w:rsidR="00086162" w:rsidRDefault="00086162">
      <w:pPr>
        <w:rPr>
          <w:rFonts w:ascii="微软雅黑" w:eastAsia="微软雅黑" w:hAnsi="微软雅黑" w:cs="微软雅黑" w:hint="eastAsia"/>
          <w:color w:val="1C1F23"/>
          <w:sz w:val="28"/>
          <w:szCs w:val="28"/>
          <w:shd w:val="clear" w:color="auto" w:fill="FFFFFF"/>
        </w:rPr>
      </w:pPr>
    </w:p>
    <w:p w14:paraId="6120FEDA" w14:textId="77777777" w:rsidR="00086162" w:rsidRPr="000F53BE" w:rsidRDefault="005936B9">
      <w:pPr>
        <w:numPr>
          <w:ilvl w:val="0"/>
          <w:numId w:val="5"/>
        </w:numPr>
        <w:rPr>
          <w:rFonts w:ascii="微软雅黑" w:eastAsia="微软雅黑" w:hAnsi="微软雅黑" w:cs="微软雅黑" w:hint="eastAsia"/>
          <w:b/>
          <w:bCs/>
          <w:sz w:val="32"/>
          <w:szCs w:val="32"/>
        </w:rPr>
      </w:pPr>
      <w:r w:rsidRPr="000F53BE">
        <w:rPr>
          <w:rFonts w:ascii="微软雅黑" w:eastAsia="微软雅黑" w:hAnsi="微软雅黑" w:cs="微软雅黑"/>
          <w:b/>
          <w:bCs/>
          <w:sz w:val="32"/>
          <w:szCs w:val="32"/>
        </w:rPr>
        <w:t>财务预测</w:t>
      </w:r>
    </w:p>
    <w:p w14:paraId="49DDDCF1" w14:textId="77777777" w:rsidR="00086162" w:rsidRDefault="00086162">
      <w:pPr>
        <w:rPr>
          <w:szCs w:val="28"/>
        </w:rPr>
      </w:pPr>
    </w:p>
    <w:p w14:paraId="5F71EB08"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本章节基于市场规模测算、成本结构分析及业务拓展计划，对未来三年财务状况进行系统性预测，核心数据经行业基准数据校准，确保预测合理性与可实现性。</w:t>
      </w:r>
    </w:p>
    <w:p w14:paraId="305277CF" w14:textId="77777777" w:rsidR="00086162" w:rsidRDefault="00086162">
      <w:pPr>
        <w:rPr>
          <w:rFonts w:ascii="微软雅黑" w:eastAsia="微软雅黑" w:hAnsi="微软雅黑" w:cs="微软雅黑" w:hint="eastAsia"/>
          <w:sz w:val="28"/>
          <w:szCs w:val="28"/>
        </w:rPr>
      </w:pPr>
    </w:p>
    <w:p w14:paraId="66CB1B3C" w14:textId="77777777" w:rsidR="00086162" w:rsidRDefault="005936B9">
      <w:pPr>
        <w:pStyle w:val="2"/>
        <w:rPr>
          <w:rFonts w:ascii="微软雅黑" w:eastAsia="微软雅黑" w:hAnsi="微软雅黑" w:cs="微软雅黑" w:hint="eastAsia"/>
          <w:szCs w:val="28"/>
        </w:rPr>
      </w:pPr>
      <w:r>
        <w:rPr>
          <w:rFonts w:ascii="微软雅黑" w:eastAsia="微软雅黑" w:hAnsi="微软雅黑" w:cs="微软雅黑"/>
          <w:szCs w:val="28"/>
        </w:rPr>
        <w:t>分年度财务核心指标</w:t>
      </w:r>
    </w:p>
    <w:p w14:paraId="18E0C13D" w14:textId="77777777" w:rsidR="00086162" w:rsidRDefault="00086162">
      <w:pPr>
        <w:pStyle w:val="2"/>
        <w:rPr>
          <w:rFonts w:ascii="微软雅黑" w:eastAsia="微软雅黑" w:hAnsi="微软雅黑" w:cs="微软雅黑" w:hint="eastAsia"/>
          <w:sz w:val="24"/>
        </w:rPr>
      </w:pPr>
    </w:p>
    <w:tbl>
      <w:tblPr>
        <w:tblStyle w:val="a8"/>
        <w:tblW w:w="0" w:type="auto"/>
        <w:jc w:val="center"/>
        <w:tblLayout w:type="fixed"/>
        <w:tblLook w:val="04A0" w:firstRow="1" w:lastRow="0" w:firstColumn="1" w:lastColumn="0" w:noHBand="0" w:noVBand="1"/>
      </w:tblPr>
      <w:tblGrid>
        <w:gridCol w:w="1171"/>
        <w:gridCol w:w="2343"/>
        <w:gridCol w:w="2343"/>
        <w:gridCol w:w="2423"/>
      </w:tblGrid>
      <w:tr w:rsidR="00086162" w14:paraId="6D07F1CD" w14:textId="77777777">
        <w:trPr>
          <w:jc w:val="center"/>
        </w:trPr>
        <w:tc>
          <w:tcPr>
            <w:tcW w:w="1171" w:type="dxa"/>
          </w:tcPr>
          <w:p w14:paraId="0161FEFB"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b/>
                <w:sz w:val="24"/>
              </w:rPr>
              <w:t>项目</w:t>
            </w:r>
          </w:p>
        </w:tc>
        <w:tc>
          <w:tcPr>
            <w:tcW w:w="2343" w:type="dxa"/>
          </w:tcPr>
          <w:p w14:paraId="277F910B"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b/>
                <w:color w:val="000000"/>
                <w:sz w:val="24"/>
              </w:rPr>
              <w:t>2025 年</w:t>
            </w:r>
          </w:p>
        </w:tc>
        <w:tc>
          <w:tcPr>
            <w:tcW w:w="2343" w:type="dxa"/>
          </w:tcPr>
          <w:p w14:paraId="63EC0CC4"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b/>
                <w:color w:val="000000"/>
                <w:sz w:val="24"/>
              </w:rPr>
              <w:t>2026 年</w:t>
            </w:r>
          </w:p>
        </w:tc>
        <w:tc>
          <w:tcPr>
            <w:tcW w:w="2423" w:type="dxa"/>
          </w:tcPr>
          <w:p w14:paraId="71B2A244"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b/>
                <w:color w:val="000000"/>
                <w:sz w:val="24"/>
              </w:rPr>
              <w:t>2027 年</w:t>
            </w:r>
          </w:p>
        </w:tc>
      </w:tr>
      <w:tr w:rsidR="00086162" w14:paraId="4CFB3055" w14:textId="77777777">
        <w:trPr>
          <w:jc w:val="center"/>
        </w:trPr>
        <w:tc>
          <w:tcPr>
            <w:tcW w:w="1171" w:type="dxa"/>
          </w:tcPr>
          <w:p w14:paraId="64D44346"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b/>
                <w:sz w:val="24"/>
              </w:rPr>
              <w:t>营业收入</w:t>
            </w:r>
          </w:p>
        </w:tc>
        <w:tc>
          <w:tcPr>
            <w:tcW w:w="2343" w:type="dxa"/>
          </w:tcPr>
          <w:p w14:paraId="3E25D3BC"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5,000 万元</w:t>
            </w:r>
          </w:p>
        </w:tc>
        <w:tc>
          <w:tcPr>
            <w:tcW w:w="2343" w:type="dxa"/>
          </w:tcPr>
          <w:p w14:paraId="4C389E13"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15,000 万元</w:t>
            </w:r>
          </w:p>
        </w:tc>
        <w:tc>
          <w:tcPr>
            <w:tcW w:w="2423" w:type="dxa"/>
          </w:tcPr>
          <w:p w14:paraId="33152362"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30,000 万元</w:t>
            </w:r>
          </w:p>
        </w:tc>
      </w:tr>
      <w:tr w:rsidR="00086162" w14:paraId="27FB0290" w14:textId="77777777">
        <w:trPr>
          <w:jc w:val="center"/>
        </w:trPr>
        <w:tc>
          <w:tcPr>
            <w:tcW w:w="1171" w:type="dxa"/>
          </w:tcPr>
          <w:p w14:paraId="5B79FC87"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b/>
                <w:sz w:val="24"/>
              </w:rPr>
              <w:t>收入结构</w:t>
            </w:r>
          </w:p>
        </w:tc>
        <w:tc>
          <w:tcPr>
            <w:tcW w:w="2343" w:type="dxa"/>
          </w:tcPr>
          <w:p w14:paraId="71D9A41A"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云端订阅：40%（2,000 万）</w:t>
            </w:r>
          </w:p>
          <w:p w14:paraId="45796A36"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定制化开发：50%（2,500 万）</w:t>
            </w:r>
          </w:p>
          <w:p w14:paraId="5DEC81B1"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技术授权：10%（500 万）</w:t>
            </w:r>
          </w:p>
        </w:tc>
        <w:tc>
          <w:tcPr>
            <w:tcW w:w="2343" w:type="dxa"/>
          </w:tcPr>
          <w:p w14:paraId="5538489A"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云端订阅：30%（4,500 万）</w:t>
            </w:r>
          </w:p>
          <w:p w14:paraId="6B462BF6"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定制化开发：60%（9,000 万）</w:t>
            </w:r>
          </w:p>
          <w:p w14:paraId="7E116B68"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技术授权：10%（1,500 万）</w:t>
            </w:r>
          </w:p>
        </w:tc>
        <w:tc>
          <w:tcPr>
            <w:tcW w:w="2423" w:type="dxa"/>
          </w:tcPr>
          <w:p w14:paraId="7D527C79"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云端订阅：25%（7,500 万）</w:t>
            </w:r>
          </w:p>
          <w:p w14:paraId="607E2C5C"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定制化开发：65%（19,500 万）</w:t>
            </w:r>
          </w:p>
          <w:p w14:paraId="6378AFBE"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技术授权：10%（3,000 万）</w:t>
            </w:r>
          </w:p>
        </w:tc>
      </w:tr>
      <w:tr w:rsidR="00086162" w14:paraId="4BA527C5" w14:textId="77777777">
        <w:trPr>
          <w:jc w:val="center"/>
        </w:trPr>
        <w:tc>
          <w:tcPr>
            <w:tcW w:w="1171" w:type="dxa"/>
          </w:tcPr>
          <w:p w14:paraId="639E0F6C"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b/>
                <w:sz w:val="24"/>
              </w:rPr>
              <w:t>毛利率</w:t>
            </w:r>
          </w:p>
        </w:tc>
        <w:tc>
          <w:tcPr>
            <w:tcW w:w="2343" w:type="dxa"/>
          </w:tcPr>
          <w:p w14:paraId="41C29C84"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60%</w:t>
            </w:r>
          </w:p>
        </w:tc>
        <w:tc>
          <w:tcPr>
            <w:tcW w:w="2343" w:type="dxa"/>
          </w:tcPr>
          <w:p w14:paraId="61FB5E93"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65%</w:t>
            </w:r>
          </w:p>
        </w:tc>
        <w:tc>
          <w:tcPr>
            <w:tcW w:w="2423" w:type="dxa"/>
          </w:tcPr>
          <w:p w14:paraId="03681974"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70%</w:t>
            </w:r>
          </w:p>
        </w:tc>
      </w:tr>
      <w:tr w:rsidR="00086162" w14:paraId="06C682D6" w14:textId="77777777">
        <w:trPr>
          <w:jc w:val="center"/>
        </w:trPr>
        <w:tc>
          <w:tcPr>
            <w:tcW w:w="1171" w:type="dxa"/>
          </w:tcPr>
          <w:p w14:paraId="19F385FD"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b/>
                <w:sz w:val="24"/>
              </w:rPr>
              <w:t>净利润</w:t>
            </w:r>
          </w:p>
        </w:tc>
        <w:tc>
          <w:tcPr>
            <w:tcW w:w="2343" w:type="dxa"/>
          </w:tcPr>
          <w:p w14:paraId="2E67F116"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800 万元</w:t>
            </w:r>
          </w:p>
        </w:tc>
        <w:tc>
          <w:tcPr>
            <w:tcW w:w="2343" w:type="dxa"/>
          </w:tcPr>
          <w:p w14:paraId="649898FB"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4,500 万元</w:t>
            </w:r>
          </w:p>
        </w:tc>
        <w:tc>
          <w:tcPr>
            <w:tcW w:w="2423" w:type="dxa"/>
          </w:tcPr>
          <w:p w14:paraId="4D31B3AB"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10,000 万元</w:t>
            </w:r>
          </w:p>
        </w:tc>
      </w:tr>
      <w:tr w:rsidR="00086162" w14:paraId="19096948" w14:textId="77777777">
        <w:trPr>
          <w:jc w:val="center"/>
        </w:trPr>
        <w:tc>
          <w:tcPr>
            <w:tcW w:w="1171" w:type="dxa"/>
          </w:tcPr>
          <w:p w14:paraId="08960BCF"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b/>
                <w:sz w:val="24"/>
              </w:rPr>
              <w:t>净利润率</w:t>
            </w:r>
          </w:p>
        </w:tc>
        <w:tc>
          <w:tcPr>
            <w:tcW w:w="2343" w:type="dxa"/>
          </w:tcPr>
          <w:p w14:paraId="7F4FC349"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16%</w:t>
            </w:r>
          </w:p>
        </w:tc>
        <w:tc>
          <w:tcPr>
            <w:tcW w:w="2343" w:type="dxa"/>
          </w:tcPr>
          <w:p w14:paraId="3203C57A"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30%</w:t>
            </w:r>
          </w:p>
        </w:tc>
        <w:tc>
          <w:tcPr>
            <w:tcW w:w="2423" w:type="dxa"/>
          </w:tcPr>
          <w:p w14:paraId="55BB99D5"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33%</w:t>
            </w:r>
          </w:p>
        </w:tc>
      </w:tr>
      <w:tr w:rsidR="00086162" w14:paraId="57742F01" w14:textId="77777777">
        <w:trPr>
          <w:jc w:val="center"/>
        </w:trPr>
        <w:tc>
          <w:tcPr>
            <w:tcW w:w="1171" w:type="dxa"/>
          </w:tcPr>
          <w:p w14:paraId="1918AE06"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b/>
                <w:sz w:val="24"/>
              </w:rPr>
              <w:t>客户数量</w:t>
            </w:r>
          </w:p>
        </w:tc>
        <w:tc>
          <w:tcPr>
            <w:tcW w:w="2343" w:type="dxa"/>
          </w:tcPr>
          <w:p w14:paraId="62D8DEDD"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中小型企业：2,000 家</w:t>
            </w:r>
          </w:p>
          <w:p w14:paraId="34EAB773"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大型企业：50 家</w:t>
            </w:r>
          </w:p>
        </w:tc>
        <w:tc>
          <w:tcPr>
            <w:tcW w:w="2343" w:type="dxa"/>
          </w:tcPr>
          <w:p w14:paraId="2B8C9796"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中小型企业：6,000 家</w:t>
            </w:r>
          </w:p>
          <w:p w14:paraId="4BA0230B"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大型企业：150 家</w:t>
            </w:r>
          </w:p>
        </w:tc>
        <w:tc>
          <w:tcPr>
            <w:tcW w:w="2423" w:type="dxa"/>
          </w:tcPr>
          <w:p w14:paraId="596D36C2"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中小型企业：12,000 家</w:t>
            </w:r>
          </w:p>
          <w:p w14:paraId="4DDAA18B"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大型企业：300 家</w:t>
            </w:r>
          </w:p>
        </w:tc>
      </w:tr>
      <w:tr w:rsidR="00086162" w14:paraId="49C20A0A" w14:textId="77777777">
        <w:trPr>
          <w:jc w:val="center"/>
        </w:trPr>
        <w:tc>
          <w:tcPr>
            <w:tcW w:w="1171" w:type="dxa"/>
          </w:tcPr>
          <w:p w14:paraId="1F3C2D94"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b/>
                <w:sz w:val="24"/>
              </w:rPr>
              <w:t>研发投入占比</w:t>
            </w:r>
          </w:p>
        </w:tc>
        <w:tc>
          <w:tcPr>
            <w:tcW w:w="2343" w:type="dxa"/>
          </w:tcPr>
          <w:p w14:paraId="62AD560A"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40%（2,000 万）</w:t>
            </w:r>
          </w:p>
        </w:tc>
        <w:tc>
          <w:tcPr>
            <w:tcW w:w="2343" w:type="dxa"/>
          </w:tcPr>
          <w:p w14:paraId="2ECA9E37"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35%（5,250 万）</w:t>
            </w:r>
          </w:p>
        </w:tc>
        <w:tc>
          <w:tcPr>
            <w:tcW w:w="2423" w:type="dxa"/>
          </w:tcPr>
          <w:p w14:paraId="2E2482FE" w14:textId="77777777" w:rsidR="00086162" w:rsidRDefault="005936B9">
            <w:pPr>
              <w:spacing w:line="420" w:lineRule="auto"/>
              <w:jc w:val="center"/>
              <w:rPr>
                <w:rFonts w:ascii="微软雅黑" w:eastAsia="微软雅黑" w:hAnsi="微软雅黑" w:cs="微软雅黑" w:hint="eastAsia"/>
                <w:sz w:val="24"/>
              </w:rPr>
            </w:pPr>
            <w:r>
              <w:rPr>
                <w:rFonts w:ascii="微软雅黑" w:eastAsia="微软雅黑" w:hAnsi="微软雅黑" w:cs="微软雅黑"/>
                <w:color w:val="000000"/>
                <w:sz w:val="24"/>
              </w:rPr>
              <w:t>30%（9,000 万）</w:t>
            </w:r>
          </w:p>
        </w:tc>
      </w:tr>
    </w:tbl>
    <w:p w14:paraId="3407EB37" w14:textId="77777777" w:rsidR="00086162" w:rsidRDefault="00086162">
      <w:pPr>
        <w:pStyle w:val="2"/>
        <w:rPr>
          <w:rFonts w:ascii="微软雅黑" w:eastAsia="微软雅黑" w:hAnsi="微软雅黑" w:cs="微软雅黑" w:hint="eastAsia"/>
          <w:szCs w:val="28"/>
        </w:rPr>
      </w:pPr>
    </w:p>
    <w:p w14:paraId="2ED75EB2" w14:textId="77777777" w:rsidR="00086162" w:rsidRDefault="005936B9">
      <w:pPr>
        <w:pStyle w:val="2"/>
        <w:rPr>
          <w:rFonts w:ascii="微软雅黑" w:eastAsia="微软雅黑" w:hAnsi="微软雅黑" w:cs="微软雅黑" w:hint="eastAsia"/>
          <w:szCs w:val="28"/>
        </w:rPr>
      </w:pPr>
      <w:r>
        <w:rPr>
          <w:rFonts w:ascii="微软雅黑" w:eastAsia="微软雅黑" w:hAnsi="微软雅黑" w:cs="微软雅黑"/>
          <w:szCs w:val="28"/>
        </w:rPr>
        <w:t>收入结构与增长驱动</w:t>
      </w:r>
    </w:p>
    <w:p w14:paraId="1758919B" w14:textId="77777777" w:rsidR="00086162" w:rsidRDefault="00086162">
      <w:pPr>
        <w:rPr>
          <w:b/>
          <w:szCs w:val="28"/>
        </w:rPr>
      </w:pPr>
    </w:p>
    <w:p w14:paraId="3BD6B0F7" w14:textId="77777777" w:rsidR="00086162" w:rsidRDefault="005936B9">
      <w:pPr>
        <w:spacing w:line="360" w:lineRule="auto"/>
        <w:jc w:val="left"/>
        <w:rPr>
          <w:rFonts w:ascii="微软雅黑" w:eastAsia="微软雅黑" w:hAnsi="微软雅黑" w:cs="微软雅黑" w:hint="eastAsia"/>
          <w:sz w:val="24"/>
          <w:szCs w:val="28"/>
        </w:rPr>
      </w:pPr>
      <w:r>
        <w:rPr>
          <w:rFonts w:ascii="微软雅黑" w:eastAsia="微软雅黑" w:hAnsi="微软雅黑" w:cs="微软雅黑"/>
          <w:b/>
          <w:sz w:val="24"/>
          <w:szCs w:val="28"/>
        </w:rPr>
        <w:t>1. 云端订阅模式（标准化产品）</w:t>
      </w:r>
    </w:p>
    <w:p w14:paraId="364FBC69"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针对500万中小型零售企业，推出“SmartRetail AI基础版”，年费9,800元/门店（竞品均价1.6万元），2025年目标渗透率0.4%（2,000家门店），收入2,000万元。随市场认知度提升，2027年客户数增至1.2万家，收入达7,500万元，占比25%。</w:t>
      </w:r>
    </w:p>
    <w:p w14:paraId="2BFBE954"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附加“AI销售分析”“智能推荐升级”等增值模块（单价3,000-5,000元/模块），预计2026年增值服务收入占订阅收入的20%。</w:t>
      </w:r>
    </w:p>
    <w:p w14:paraId="7A33058B" w14:textId="77777777" w:rsidR="00086162" w:rsidRDefault="00086162">
      <w:pPr>
        <w:spacing w:line="360" w:lineRule="auto"/>
        <w:jc w:val="left"/>
        <w:rPr>
          <w:rFonts w:ascii="微软雅黑" w:eastAsia="微软雅黑" w:hAnsi="微软雅黑" w:cs="微软雅黑" w:hint="eastAsia"/>
          <w:sz w:val="24"/>
          <w:szCs w:val="28"/>
        </w:rPr>
      </w:pPr>
    </w:p>
    <w:p w14:paraId="12689105" w14:textId="77777777" w:rsidR="00086162" w:rsidRDefault="005936B9">
      <w:pPr>
        <w:spacing w:line="360" w:lineRule="auto"/>
        <w:jc w:val="left"/>
        <w:rPr>
          <w:rFonts w:ascii="微软雅黑" w:eastAsia="微软雅黑" w:hAnsi="微软雅黑" w:cs="微软雅黑" w:hint="eastAsia"/>
          <w:sz w:val="24"/>
          <w:szCs w:val="28"/>
        </w:rPr>
      </w:pPr>
      <w:r>
        <w:rPr>
          <w:rFonts w:ascii="微软雅黑" w:eastAsia="微软雅黑" w:hAnsi="微软雅黑" w:cs="微软雅黑"/>
          <w:b/>
          <w:sz w:val="24"/>
          <w:szCs w:val="28"/>
        </w:rPr>
        <w:t>2. 定制化开发模式（大型企业解决方案）</w:t>
      </w:r>
    </w:p>
    <w:p w14:paraId="50903978"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为沃尔玛、永辉等大型集团提供私有云部署与深度业务适配，单个项目客单价50-100万元（含三年运维服务），2025年签约50家，收入2,500万元。2027年随全链路解决方案成熟，客单价提升至80-150万元，签约300家，收入1.95亿元，占比65%。</w:t>
      </w:r>
    </w:p>
    <w:p w14:paraId="47F98377"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项目实施周期6-12个月，首付30%、验收付50%、运维期付20%，确保现金流稳定。</w:t>
      </w:r>
    </w:p>
    <w:p w14:paraId="4A354206" w14:textId="77777777" w:rsidR="00086162" w:rsidRDefault="00086162">
      <w:pPr>
        <w:spacing w:line="360" w:lineRule="auto"/>
        <w:jc w:val="left"/>
        <w:rPr>
          <w:rFonts w:ascii="微软雅黑" w:eastAsia="微软雅黑" w:hAnsi="微软雅黑" w:cs="微软雅黑" w:hint="eastAsia"/>
          <w:sz w:val="24"/>
          <w:szCs w:val="28"/>
        </w:rPr>
      </w:pPr>
    </w:p>
    <w:p w14:paraId="7832B931" w14:textId="77777777" w:rsidR="00086162" w:rsidRDefault="005936B9">
      <w:p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3. 技术授权模式（生态合作)</w:t>
      </w:r>
    </w:p>
    <w:p w14:paraId="4CF784E9" w14:textId="4A289CFC"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向硬件厂商授权AI商品识别、库存预测API，按设备出货量收取授权费（单价50-100元/台），2025年预计接入10万台设备，收入500万元，2027年达30万台，收入3,000万元。</w:t>
      </w:r>
    </w:p>
    <w:p w14:paraId="4EB2BF14" w14:textId="77777777" w:rsidR="00086162" w:rsidRDefault="00086162">
      <w:pPr>
        <w:jc w:val="left"/>
        <w:rPr>
          <w:rFonts w:ascii="微软雅黑" w:eastAsia="微软雅黑" w:hAnsi="微软雅黑" w:cs="微软雅黑" w:hint="eastAsia"/>
          <w:sz w:val="28"/>
          <w:szCs w:val="28"/>
        </w:rPr>
      </w:pPr>
    </w:p>
    <w:p w14:paraId="3A593357" w14:textId="77777777" w:rsidR="00086162" w:rsidRDefault="005936B9">
      <w:pPr>
        <w:pStyle w:val="2"/>
        <w:jc w:val="left"/>
        <w:rPr>
          <w:rFonts w:ascii="微软雅黑" w:eastAsia="微软雅黑" w:hAnsi="微软雅黑" w:cs="微软雅黑" w:hint="eastAsia"/>
          <w:szCs w:val="28"/>
        </w:rPr>
      </w:pPr>
      <w:r>
        <w:rPr>
          <w:rFonts w:ascii="微软雅黑" w:eastAsia="微软雅黑" w:hAnsi="微软雅黑" w:cs="微软雅黑"/>
          <w:szCs w:val="28"/>
        </w:rPr>
        <w:t>成本结构与毛利率提升逻辑</w:t>
      </w:r>
    </w:p>
    <w:p w14:paraId="0B13589D" w14:textId="77777777" w:rsidR="00086162" w:rsidRDefault="00086162">
      <w:pPr>
        <w:jc w:val="left"/>
        <w:rPr>
          <w:szCs w:val="28"/>
        </w:rPr>
      </w:pPr>
    </w:p>
    <w:p w14:paraId="003B47DF" w14:textId="77777777" w:rsidR="00086162" w:rsidRDefault="005936B9">
      <w:p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1. 核心成本项</w:t>
      </w:r>
    </w:p>
    <w:p w14:paraId="7D40D867"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技术研发（占比40%-30%）：</w:t>
      </w:r>
      <w:r>
        <w:rPr>
          <w:rFonts w:ascii="微软雅黑" w:eastAsia="微软雅黑" w:hAnsi="微软雅黑" w:cs="微软雅黑"/>
          <w:sz w:val="24"/>
          <w:szCs w:val="28"/>
        </w:rPr>
        <w:t>2025年投入2,000万元（主要用于YOLOv9算法研发、边缘计算硬件适配），2027年增至9,000万元，占比随规模效应下降。</w:t>
      </w:r>
    </w:p>
    <w:p w14:paraId="3BBACF92"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市场推广（占比30%-25%）：</w:t>
      </w:r>
      <w:r>
        <w:rPr>
          <w:rFonts w:ascii="微软雅黑" w:eastAsia="微软雅黑" w:hAnsi="微软雅黑" w:cs="微软雅黑"/>
          <w:sz w:val="24"/>
          <w:szCs w:val="28"/>
        </w:rPr>
        <w:t>2025年投入1,500万元（行业展会、线上广告、渠道佣金），2027年增至7,500万元，聚焦头部客户案例打造与生态合作引流。</w:t>
      </w:r>
    </w:p>
    <w:p w14:paraId="08B9E856"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团队建设（占比20%-15%）：</w:t>
      </w:r>
      <w:r>
        <w:rPr>
          <w:rFonts w:ascii="微软雅黑" w:eastAsia="微软雅黑" w:hAnsi="微软雅黑" w:cs="微软雅黑"/>
          <w:sz w:val="24"/>
          <w:szCs w:val="28"/>
        </w:rPr>
        <w:t>2025年招聘50名研发人员（人均年薪40万元），人力成本2,000万元，2027年团队规模达150人，成本4,500万元，通过期权激励降低现金支出。</w:t>
      </w:r>
    </w:p>
    <w:p w14:paraId="5F12EBFB"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数据设备采购（占比10%-10%）：</w:t>
      </w:r>
      <w:r>
        <w:rPr>
          <w:rFonts w:ascii="微软雅黑" w:eastAsia="微软雅黑" w:hAnsi="微软雅黑" w:cs="微软雅黑"/>
          <w:sz w:val="24"/>
          <w:szCs w:val="28"/>
        </w:rPr>
        <w:t>年均投入500-3,000万元，用于高性能服务器集群扩容、AI训练数据采购（公开数据集+合作企业脱敏数据）。</w:t>
      </w:r>
    </w:p>
    <w:p w14:paraId="73F3D39F" w14:textId="77777777" w:rsidR="00086162" w:rsidRDefault="00086162">
      <w:pPr>
        <w:spacing w:line="360" w:lineRule="auto"/>
        <w:jc w:val="left"/>
        <w:rPr>
          <w:rFonts w:ascii="微软雅黑" w:eastAsia="微软雅黑" w:hAnsi="微软雅黑" w:cs="微软雅黑" w:hint="eastAsia"/>
          <w:sz w:val="24"/>
          <w:szCs w:val="28"/>
        </w:rPr>
      </w:pPr>
    </w:p>
    <w:p w14:paraId="6C0A79FD" w14:textId="77777777" w:rsidR="00086162" w:rsidRDefault="005936B9">
      <w:pPr>
        <w:numPr>
          <w:ilvl w:val="0"/>
          <w:numId w:val="6"/>
        </w:num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毛利率提升路径</w:t>
      </w:r>
    </w:p>
    <w:p w14:paraId="68F6C93B"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2025年：</w:t>
      </w:r>
      <w:r>
        <w:rPr>
          <w:rFonts w:ascii="微软雅黑" w:eastAsia="微软雅黑" w:hAnsi="微软雅黑" w:cs="微软雅黑"/>
          <w:sz w:val="24"/>
          <w:szCs w:val="28"/>
        </w:rPr>
        <w:t>标准化产品初期研发成本高（占收入40%），毛利率60%，主要来自定制化业务（毛利率75%）支撑。</w:t>
      </w:r>
    </w:p>
    <w:p w14:paraId="5E92D30B"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2026年：</w:t>
      </w:r>
      <w:r>
        <w:rPr>
          <w:rFonts w:ascii="微软雅黑" w:eastAsia="微软雅黑" w:hAnsi="微软雅黑" w:cs="微软雅黑"/>
          <w:sz w:val="24"/>
          <w:szCs w:val="28"/>
        </w:rPr>
        <w:t>云端订阅规模效应显现（单客户边际成本趋近于零），叠加定制化项目交付效率提升（周期缩短20%），毛利率提升至65%。</w:t>
      </w:r>
    </w:p>
    <w:p w14:paraId="41B73B71"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2027年：</w:t>
      </w:r>
      <w:r>
        <w:rPr>
          <w:rFonts w:ascii="微软雅黑" w:eastAsia="微软雅黑" w:hAnsi="微软雅黑" w:cs="微软雅黑"/>
          <w:sz w:val="24"/>
          <w:szCs w:val="28"/>
        </w:rPr>
        <w:t>高毛利定制化业务占比达65%，技术授权收入纯利率超80%，整体毛利率突破70%，达行业领先水平（对标商汤科技智能商业板块68%毛</w:t>
      </w:r>
      <w:r>
        <w:rPr>
          <w:rFonts w:ascii="微软雅黑" w:eastAsia="微软雅黑" w:hAnsi="微软雅黑" w:cs="微软雅黑"/>
          <w:sz w:val="24"/>
          <w:szCs w:val="28"/>
        </w:rPr>
        <w:lastRenderedPageBreak/>
        <w:t>利率）。</w:t>
      </w:r>
    </w:p>
    <w:p w14:paraId="2D702DDA" w14:textId="77777777" w:rsidR="00086162" w:rsidRDefault="00086162">
      <w:pPr>
        <w:jc w:val="left"/>
        <w:rPr>
          <w:rFonts w:ascii="微软雅黑" w:eastAsia="微软雅黑" w:hAnsi="微软雅黑" w:cs="微软雅黑" w:hint="eastAsia"/>
          <w:sz w:val="28"/>
          <w:szCs w:val="28"/>
        </w:rPr>
      </w:pPr>
    </w:p>
    <w:p w14:paraId="439BC8D4" w14:textId="77777777" w:rsidR="00086162" w:rsidRDefault="005936B9">
      <w:pPr>
        <w:pStyle w:val="2"/>
        <w:jc w:val="left"/>
        <w:rPr>
          <w:rFonts w:ascii="微软雅黑" w:eastAsia="微软雅黑" w:hAnsi="微软雅黑" w:cs="微软雅黑" w:hint="eastAsia"/>
          <w:szCs w:val="28"/>
        </w:rPr>
      </w:pPr>
      <w:r>
        <w:rPr>
          <w:rFonts w:ascii="微软雅黑" w:eastAsia="微软雅黑" w:hAnsi="微软雅黑" w:cs="微软雅黑"/>
          <w:szCs w:val="28"/>
        </w:rPr>
        <w:t>资产负债与现金流预测</w:t>
      </w:r>
    </w:p>
    <w:p w14:paraId="4A74558A" w14:textId="77777777" w:rsidR="00086162" w:rsidRDefault="00086162">
      <w:pPr>
        <w:jc w:val="left"/>
        <w:rPr>
          <w:szCs w:val="28"/>
        </w:rPr>
      </w:pPr>
    </w:p>
    <w:p w14:paraId="6C0277E1" w14:textId="77777777" w:rsidR="00086162" w:rsidRDefault="005936B9">
      <w:p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1. 资产负债表关键科目</w:t>
      </w:r>
    </w:p>
    <w:p w14:paraId="35BDF065"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流动资产：</w:t>
      </w:r>
      <w:r>
        <w:rPr>
          <w:rFonts w:ascii="微软雅黑" w:eastAsia="微软雅黑" w:hAnsi="微软雅黑" w:cs="微软雅黑"/>
          <w:sz w:val="24"/>
          <w:szCs w:val="28"/>
        </w:rPr>
        <w:t>2025年货币资金5,000万元（融资到位），应收账款800万元（主要为大型企业项目分期款）；2027年货币资金增至1.5亿元，应收账款3,000万元（账期控制在90天内）。</w:t>
      </w:r>
    </w:p>
    <w:p w14:paraId="52BC1DB2"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非流动资产：</w:t>
      </w:r>
      <w:r>
        <w:rPr>
          <w:rFonts w:ascii="微软雅黑" w:eastAsia="微软雅黑" w:hAnsi="微软雅黑" w:cs="微软雅黑"/>
          <w:sz w:val="24"/>
          <w:szCs w:val="28"/>
        </w:rPr>
        <w:t>研发设备与数据资产（含5项发明专利、12项软件著作权）估值2,000万元，2027年增至5,000万元。</w:t>
      </w:r>
    </w:p>
    <w:p w14:paraId="15CC08B0"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负债：</w:t>
      </w:r>
      <w:r>
        <w:rPr>
          <w:rFonts w:ascii="微软雅黑" w:eastAsia="微软雅黑" w:hAnsi="微软雅黑" w:cs="微软雅黑"/>
          <w:sz w:val="24"/>
          <w:szCs w:val="28"/>
        </w:rPr>
        <w:t>应付账款1,000万元（硬件采购款），预收款项1,500万元（大型项目首付款），资产负债率维持30%以下，财务结构稳健。</w:t>
      </w:r>
    </w:p>
    <w:p w14:paraId="4F76054E" w14:textId="77777777" w:rsidR="00086162" w:rsidRDefault="00086162">
      <w:pPr>
        <w:spacing w:line="360" w:lineRule="auto"/>
        <w:jc w:val="left"/>
        <w:rPr>
          <w:rFonts w:ascii="微软雅黑" w:eastAsia="微软雅黑" w:hAnsi="微软雅黑" w:cs="微软雅黑" w:hint="eastAsia"/>
          <w:sz w:val="24"/>
          <w:szCs w:val="28"/>
        </w:rPr>
      </w:pPr>
    </w:p>
    <w:p w14:paraId="7DB6521B" w14:textId="77777777" w:rsidR="00086162" w:rsidRDefault="005936B9">
      <w:p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2. 现金流量表核心指标</w:t>
      </w:r>
    </w:p>
    <w:p w14:paraId="5678CEAB"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经营活动现金流：</w:t>
      </w:r>
      <w:r>
        <w:rPr>
          <w:rFonts w:ascii="微软雅黑" w:eastAsia="微软雅黑" w:hAnsi="微软雅黑" w:cs="微软雅黑"/>
          <w:sz w:val="24"/>
          <w:szCs w:val="28"/>
        </w:rPr>
        <w:t>2025年净流出500万元（研发投入集中支出），2026年净流入3,000万元，2027年达8,000万元（随订阅收入占比提升，现金流稳定性增强）。</w:t>
      </w:r>
    </w:p>
    <w:p w14:paraId="739D4F82"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投资活动现金流：</w:t>
      </w:r>
      <w:r>
        <w:rPr>
          <w:rFonts w:ascii="微软雅黑" w:eastAsia="微软雅黑" w:hAnsi="微软雅黑" w:cs="微软雅黑"/>
          <w:sz w:val="24"/>
          <w:szCs w:val="28"/>
        </w:rPr>
        <w:t>年均投入2,000万元用于服务器扩容与实验室升级，构建技术基础设施壁垒。</w:t>
      </w:r>
    </w:p>
    <w:p w14:paraId="750022D0"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筹资活动现金流：</w:t>
      </w:r>
      <w:r>
        <w:rPr>
          <w:rFonts w:ascii="微软雅黑" w:eastAsia="微软雅黑" w:hAnsi="微软雅黑" w:cs="微软雅黑"/>
          <w:sz w:val="24"/>
          <w:szCs w:val="28"/>
        </w:rPr>
        <w:t>2025年融资5,000万元（股权融资为主），2028年计划IPO募资5亿元，用于全球化布局与元宇宙购物等前沿技术研发。</w:t>
      </w:r>
    </w:p>
    <w:p w14:paraId="214477AE" w14:textId="77777777" w:rsidR="00086162" w:rsidRDefault="00086162">
      <w:pPr>
        <w:jc w:val="left"/>
        <w:rPr>
          <w:rFonts w:ascii="微软雅黑" w:eastAsia="微软雅黑" w:hAnsi="微软雅黑" w:cs="微软雅黑" w:hint="eastAsia"/>
          <w:sz w:val="28"/>
          <w:szCs w:val="28"/>
        </w:rPr>
      </w:pPr>
    </w:p>
    <w:p w14:paraId="5AB01A43" w14:textId="77777777" w:rsidR="00086162" w:rsidRDefault="005936B9">
      <w:pPr>
        <w:pStyle w:val="2"/>
        <w:jc w:val="left"/>
        <w:rPr>
          <w:rFonts w:ascii="微软雅黑" w:eastAsia="微软雅黑" w:hAnsi="微软雅黑" w:cs="微软雅黑" w:hint="eastAsia"/>
          <w:szCs w:val="28"/>
        </w:rPr>
      </w:pPr>
      <w:r>
        <w:rPr>
          <w:rFonts w:ascii="微软雅黑" w:eastAsia="微软雅黑" w:hAnsi="微软雅黑" w:cs="微软雅黑"/>
          <w:szCs w:val="28"/>
        </w:rPr>
        <w:lastRenderedPageBreak/>
        <w:t>投资者回报与退出机制</w:t>
      </w:r>
    </w:p>
    <w:p w14:paraId="30EC6431" w14:textId="77777777" w:rsidR="00086162" w:rsidRDefault="00086162">
      <w:pPr>
        <w:jc w:val="left"/>
        <w:rPr>
          <w:szCs w:val="28"/>
        </w:rPr>
      </w:pPr>
    </w:p>
    <w:p w14:paraId="77CC7C32" w14:textId="77777777" w:rsidR="00086162" w:rsidRDefault="005936B9">
      <w:pPr>
        <w:numPr>
          <w:ilvl w:val="0"/>
          <w:numId w:val="2"/>
        </w:num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回报周期与倍数</w:t>
      </w:r>
    </w:p>
    <w:p w14:paraId="7AC5868B"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短期（1-2年）：</w:t>
      </w:r>
      <w:r>
        <w:rPr>
          <w:rFonts w:ascii="微软雅黑" w:eastAsia="微软雅黑" w:hAnsi="微软雅黑" w:cs="微软雅黑"/>
          <w:sz w:val="24"/>
          <w:szCs w:val="28"/>
        </w:rPr>
        <w:t>2026年实现盈利，按投后估值5亿元计算，天使轮投资者估值回报1.5倍（净利润4,500万元对应PE 11倍，低于行业平均15倍）。</w:t>
      </w:r>
    </w:p>
    <w:p w14:paraId="06C7706B"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中期（3-5年）：</w:t>
      </w:r>
      <w:r>
        <w:rPr>
          <w:rFonts w:ascii="微软雅黑" w:eastAsia="微软雅黑" w:hAnsi="微软雅黑" w:cs="微软雅黑"/>
          <w:sz w:val="24"/>
          <w:szCs w:val="28"/>
        </w:rPr>
        <w:t>2028年IPO后，按30亿元市值（对应2027年净利润30倍PE）计算，早期投资者回报超6倍，核心团队持股70%确保控制权稳定。</w:t>
      </w:r>
    </w:p>
    <w:p w14:paraId="2C307E55"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长期（5年+）：</w:t>
      </w:r>
      <w:r>
        <w:rPr>
          <w:rFonts w:ascii="微软雅黑" w:eastAsia="微软雅黑" w:hAnsi="微软雅黑" w:cs="微软雅黑"/>
          <w:sz w:val="24"/>
          <w:szCs w:val="28"/>
        </w:rPr>
        <w:t>通过利润分红（每年净利润的20%用于分红）实现持续收益，预计2029年起年分红额超2,000万元。</w:t>
      </w:r>
    </w:p>
    <w:p w14:paraId="5B6B44F7" w14:textId="77777777" w:rsidR="00086162" w:rsidRDefault="00086162">
      <w:pPr>
        <w:spacing w:line="360" w:lineRule="auto"/>
        <w:jc w:val="left"/>
        <w:rPr>
          <w:rFonts w:ascii="微软雅黑" w:eastAsia="微软雅黑" w:hAnsi="微软雅黑" w:cs="微软雅黑" w:hint="eastAsia"/>
          <w:sz w:val="24"/>
          <w:szCs w:val="28"/>
        </w:rPr>
      </w:pPr>
    </w:p>
    <w:p w14:paraId="3D419983" w14:textId="77777777" w:rsidR="00086162" w:rsidRDefault="005936B9">
      <w:pPr>
        <w:numPr>
          <w:ilvl w:val="0"/>
          <w:numId w:val="2"/>
        </w:num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多元化退出渠道</w:t>
      </w:r>
    </w:p>
    <w:p w14:paraId="18AB1201"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股票上市：</w:t>
      </w:r>
      <w:r>
        <w:rPr>
          <w:rFonts w:ascii="微软雅黑" w:eastAsia="微软雅黑" w:hAnsi="微软雅黑" w:cs="微软雅黑"/>
          <w:sz w:val="24"/>
          <w:szCs w:val="28"/>
        </w:rPr>
        <w:t>计划2028年在深交所创业板IPO，上市后锁定期1年，随后可通过二级市场减持。</w:t>
      </w:r>
    </w:p>
    <w:p w14:paraId="75DE7AEA"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股权转让：</w:t>
      </w:r>
      <w:r>
        <w:rPr>
          <w:rFonts w:ascii="微软雅黑" w:eastAsia="微软雅黑" w:hAnsi="微软雅黑" w:cs="微软雅黑"/>
          <w:sz w:val="24"/>
          <w:szCs w:val="28"/>
        </w:rPr>
        <w:t>优先向零售科技领域战略投资者（如阿里巴巴、京东）转让股权，依托其生态资源实现协同退出。</w:t>
      </w:r>
    </w:p>
    <w:p w14:paraId="731E58F1"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股权回购：</w:t>
      </w:r>
      <w:r>
        <w:rPr>
          <w:rFonts w:ascii="微软雅黑" w:eastAsia="微软雅黑" w:hAnsi="微软雅黑" w:cs="微软雅黑"/>
          <w:sz w:val="24"/>
          <w:szCs w:val="28"/>
        </w:rPr>
        <w:t>若3年内未达上市条件，公司以年化8%溢价回购投资者股权，保障最低收益。</w:t>
      </w:r>
    </w:p>
    <w:p w14:paraId="6E471227"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利润分红：</w:t>
      </w:r>
      <w:r>
        <w:rPr>
          <w:rFonts w:ascii="微软雅黑" w:eastAsia="微软雅黑" w:hAnsi="微软雅黑" w:cs="微软雅黑"/>
          <w:sz w:val="24"/>
          <w:szCs w:val="28"/>
        </w:rPr>
        <w:t>针对优先股投资者，每年按投资额的5%进行固定分红，强化风险保障。</w:t>
      </w:r>
    </w:p>
    <w:p w14:paraId="37906512" w14:textId="77777777" w:rsidR="00086162" w:rsidRDefault="00086162">
      <w:pPr>
        <w:jc w:val="left"/>
        <w:rPr>
          <w:rFonts w:ascii="微软雅黑" w:eastAsia="微软雅黑" w:hAnsi="微软雅黑" w:cs="微软雅黑" w:hint="eastAsia"/>
          <w:sz w:val="28"/>
          <w:szCs w:val="28"/>
        </w:rPr>
      </w:pPr>
    </w:p>
    <w:p w14:paraId="3982239A" w14:textId="77777777" w:rsidR="00086162" w:rsidRDefault="005936B9">
      <w:pPr>
        <w:pStyle w:val="2"/>
        <w:jc w:val="left"/>
        <w:rPr>
          <w:rFonts w:ascii="微软雅黑" w:eastAsia="微软雅黑" w:hAnsi="微软雅黑" w:cs="微软雅黑" w:hint="eastAsia"/>
          <w:szCs w:val="28"/>
        </w:rPr>
      </w:pPr>
      <w:r>
        <w:rPr>
          <w:rFonts w:ascii="微软雅黑" w:eastAsia="微软雅黑" w:hAnsi="微软雅黑" w:cs="微软雅黑"/>
          <w:szCs w:val="28"/>
        </w:rPr>
        <w:lastRenderedPageBreak/>
        <w:t>关键财务假设与敏感性分析</w:t>
      </w:r>
    </w:p>
    <w:p w14:paraId="509CB066" w14:textId="77777777" w:rsidR="00086162" w:rsidRDefault="00086162">
      <w:pPr>
        <w:jc w:val="left"/>
        <w:rPr>
          <w:szCs w:val="28"/>
        </w:rPr>
      </w:pPr>
    </w:p>
    <w:p w14:paraId="262810A6" w14:textId="77777777" w:rsidR="00086162" w:rsidRDefault="005936B9">
      <w:pPr>
        <w:numPr>
          <w:ilvl w:val="0"/>
          <w:numId w:val="3"/>
        </w:num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核心假设</w:t>
      </w:r>
    </w:p>
    <w:p w14:paraId="6A1370BE"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市场渗透率：</w:t>
      </w:r>
      <w:r>
        <w:rPr>
          <w:rFonts w:ascii="微软雅黑" w:eastAsia="微软雅黑" w:hAnsi="微软雅黑" w:cs="微软雅黑"/>
          <w:sz w:val="24"/>
          <w:szCs w:val="28"/>
        </w:rPr>
        <w:t>中小型企业年渗透2%、大型企业年签约100家，符合《中国智能零售白皮书》预测的“中小企业数字化率年增3个百分点”趋势。</w:t>
      </w:r>
    </w:p>
    <w:p w14:paraId="06D90AF5"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客单价增速：</w:t>
      </w:r>
      <w:r>
        <w:rPr>
          <w:rFonts w:ascii="微软雅黑" w:eastAsia="微软雅黑" w:hAnsi="微软雅黑" w:cs="微软雅黑"/>
          <w:sz w:val="24"/>
          <w:szCs w:val="28"/>
        </w:rPr>
        <w:t>定制化业务随需求深化年均提价10%，云端订阅保持价格竞争力（竞品降价时同步调整，幅度不超过15%）。</w:t>
      </w:r>
    </w:p>
    <w:p w14:paraId="4F861BFD"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研发效率：</w:t>
      </w:r>
      <w:r>
        <w:rPr>
          <w:rFonts w:ascii="微软雅黑" w:eastAsia="微软雅黑" w:hAnsi="微软雅黑" w:cs="微软雅黑"/>
          <w:sz w:val="24"/>
          <w:szCs w:val="28"/>
        </w:rPr>
        <w:t>算法优化使人力成本占研发投入比例从70%降至60%，第三方数据采购成本年降20%（得益于生态合作深化）。</w:t>
      </w:r>
    </w:p>
    <w:p w14:paraId="66ECA195" w14:textId="77777777" w:rsidR="00086162" w:rsidRDefault="00086162">
      <w:pPr>
        <w:spacing w:line="360" w:lineRule="auto"/>
        <w:jc w:val="left"/>
        <w:rPr>
          <w:rFonts w:ascii="微软雅黑" w:eastAsia="微软雅黑" w:hAnsi="微软雅黑" w:cs="微软雅黑" w:hint="eastAsia"/>
          <w:sz w:val="24"/>
          <w:szCs w:val="28"/>
        </w:rPr>
      </w:pPr>
    </w:p>
    <w:p w14:paraId="1EFFC7D1" w14:textId="77777777" w:rsidR="00086162" w:rsidRDefault="005936B9">
      <w:pPr>
        <w:numPr>
          <w:ilvl w:val="0"/>
          <w:numId w:val="3"/>
        </w:num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敏感性测试</w:t>
      </w:r>
    </w:p>
    <w:p w14:paraId="55A16BF9"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若市场渗透率下降10%，2027年营业收入降至2.7亿元，净利润降至8,500万元，仍保持25%以上净利润率。</w:t>
      </w:r>
    </w:p>
    <w:p w14:paraId="2CB82180"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若研发成本超支15%，通过定制化业务毛利率提升（从70%至72%）与云端订阅提价5%，可抵消成本压力，确保毛利率波动不超过3个百分点。</w:t>
      </w:r>
    </w:p>
    <w:p w14:paraId="2EE9F083" w14:textId="77777777" w:rsidR="00086162" w:rsidRDefault="00086162">
      <w:pPr>
        <w:jc w:val="left"/>
        <w:rPr>
          <w:rFonts w:ascii="微软雅黑" w:eastAsia="微软雅黑" w:hAnsi="微软雅黑" w:cs="微软雅黑" w:hint="eastAsia"/>
          <w:sz w:val="28"/>
          <w:szCs w:val="28"/>
        </w:rPr>
      </w:pPr>
    </w:p>
    <w:p w14:paraId="5FBC903A" w14:textId="77777777" w:rsidR="00086162" w:rsidRDefault="005936B9">
      <w:pPr>
        <w:pStyle w:val="2"/>
        <w:jc w:val="left"/>
        <w:rPr>
          <w:rFonts w:ascii="微软雅黑" w:eastAsia="微软雅黑" w:hAnsi="微软雅黑" w:cs="微软雅黑" w:hint="eastAsia"/>
          <w:szCs w:val="28"/>
        </w:rPr>
      </w:pPr>
      <w:r>
        <w:rPr>
          <w:rFonts w:ascii="微软雅黑" w:eastAsia="微软雅黑" w:hAnsi="微软雅黑" w:cs="微软雅黑"/>
          <w:szCs w:val="28"/>
        </w:rPr>
        <w:t>财务风险控制</w:t>
      </w:r>
    </w:p>
    <w:p w14:paraId="5FF5FB94" w14:textId="77777777" w:rsidR="00086162" w:rsidRDefault="00086162">
      <w:pPr>
        <w:jc w:val="left"/>
        <w:rPr>
          <w:szCs w:val="28"/>
        </w:rPr>
      </w:pPr>
    </w:p>
    <w:p w14:paraId="7AC135ED" w14:textId="77777777" w:rsidR="00086162" w:rsidRDefault="005936B9">
      <w:pPr>
        <w:numPr>
          <w:ilvl w:val="0"/>
          <w:numId w:val="1"/>
        </w:num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预算管控：</w:t>
      </w:r>
    </w:p>
    <w:p w14:paraId="613ECB25"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采用零基预算法，每月召开财务复盘会，重点监控研发投入产出比（目标每万元研发投入带来2.5元收入）、客户获取成本（中小型企业≤500元/家）。</w:t>
      </w:r>
    </w:p>
    <w:p w14:paraId="410422A2" w14:textId="77777777" w:rsidR="00086162" w:rsidRDefault="00086162">
      <w:pPr>
        <w:spacing w:line="360" w:lineRule="auto"/>
        <w:ind w:firstLineChars="200" w:firstLine="480"/>
        <w:jc w:val="left"/>
        <w:rPr>
          <w:rFonts w:ascii="微软雅黑" w:eastAsia="微软雅黑" w:hAnsi="微软雅黑" w:cs="微软雅黑" w:hint="eastAsia"/>
          <w:sz w:val="24"/>
          <w:szCs w:val="28"/>
        </w:rPr>
      </w:pPr>
    </w:p>
    <w:p w14:paraId="56B172AC" w14:textId="77777777" w:rsidR="00086162" w:rsidRDefault="005936B9">
      <w:pPr>
        <w:numPr>
          <w:ilvl w:val="0"/>
          <w:numId w:val="1"/>
        </w:num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lastRenderedPageBreak/>
        <w:t>现金流管理：</w:t>
      </w:r>
    </w:p>
    <w:p w14:paraId="708917CF"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大型项目预收30%首付款，云端订阅支持年/季付（年付享9折优惠），2025年目标预收账款占流动负债40%以上。</w:t>
      </w:r>
    </w:p>
    <w:p w14:paraId="56634C8B" w14:textId="77777777" w:rsidR="00086162" w:rsidRDefault="00086162">
      <w:pPr>
        <w:spacing w:line="360" w:lineRule="auto"/>
        <w:ind w:firstLineChars="200" w:firstLine="480"/>
        <w:jc w:val="left"/>
        <w:rPr>
          <w:rFonts w:ascii="微软雅黑" w:eastAsia="微软雅黑" w:hAnsi="微软雅黑" w:cs="微软雅黑" w:hint="eastAsia"/>
          <w:sz w:val="24"/>
          <w:szCs w:val="28"/>
        </w:rPr>
      </w:pPr>
    </w:p>
    <w:p w14:paraId="3A7C6383" w14:textId="77777777" w:rsidR="00086162" w:rsidRDefault="005936B9">
      <w:pPr>
        <w:numPr>
          <w:ilvl w:val="0"/>
          <w:numId w:val="1"/>
        </w:num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税务筹划：</w:t>
      </w:r>
    </w:p>
    <w:p w14:paraId="51026B76"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利用“高新技术企业”税收优惠（所得税减按15%征收），研发费用加计扣除政策（按175%抵扣应纳税所得额），2025年预计节税200万元。</w:t>
      </w:r>
    </w:p>
    <w:p w14:paraId="64E163A8" w14:textId="77777777" w:rsidR="00086162" w:rsidRDefault="00086162">
      <w:pPr>
        <w:jc w:val="left"/>
        <w:rPr>
          <w:rFonts w:ascii="微软雅黑" w:eastAsia="微软雅黑" w:hAnsi="微软雅黑" w:cs="微软雅黑" w:hint="eastAsia"/>
          <w:sz w:val="28"/>
          <w:szCs w:val="28"/>
        </w:rPr>
      </w:pPr>
    </w:p>
    <w:p w14:paraId="35B92369" w14:textId="77777777" w:rsidR="00086162" w:rsidRDefault="00086162">
      <w:pPr>
        <w:jc w:val="left"/>
        <w:rPr>
          <w:rFonts w:ascii="微软雅黑" w:eastAsia="微软雅黑" w:hAnsi="微软雅黑" w:cs="微软雅黑" w:hint="eastAsia"/>
          <w:sz w:val="28"/>
          <w:szCs w:val="28"/>
        </w:rPr>
      </w:pPr>
    </w:p>
    <w:p w14:paraId="1A9044E5" w14:textId="77777777" w:rsidR="00086162" w:rsidRPr="000F53BE" w:rsidRDefault="005936B9">
      <w:pPr>
        <w:numPr>
          <w:ilvl w:val="0"/>
          <w:numId w:val="4"/>
        </w:numPr>
        <w:jc w:val="left"/>
        <w:rPr>
          <w:rFonts w:ascii="微软雅黑" w:eastAsia="微软雅黑" w:hAnsi="微软雅黑" w:cs="微软雅黑" w:hint="eastAsia"/>
          <w:b/>
          <w:bCs/>
          <w:sz w:val="32"/>
          <w:szCs w:val="32"/>
        </w:rPr>
      </w:pPr>
      <w:r w:rsidRPr="000F53BE">
        <w:rPr>
          <w:rFonts w:ascii="微软雅黑" w:eastAsia="微软雅黑" w:hAnsi="微软雅黑" w:cs="微软雅黑"/>
          <w:b/>
          <w:bCs/>
          <w:sz w:val="32"/>
          <w:szCs w:val="32"/>
        </w:rPr>
        <w:t>风险分析与对策</w:t>
      </w:r>
    </w:p>
    <w:p w14:paraId="2BAFBF30" w14:textId="77777777" w:rsidR="00086162" w:rsidRDefault="00086162">
      <w:pPr>
        <w:jc w:val="left"/>
        <w:rPr>
          <w:szCs w:val="28"/>
        </w:rPr>
      </w:pPr>
    </w:p>
    <w:p w14:paraId="10465E8B" w14:textId="77777777" w:rsidR="00086162" w:rsidRDefault="005936B9">
      <w:pPr>
        <w:spacing w:line="360" w:lineRule="auto"/>
        <w:ind w:firstLineChars="200" w:firstLine="480"/>
        <w:jc w:val="left"/>
        <w:rPr>
          <w:rFonts w:ascii="微软雅黑" w:eastAsia="微软雅黑" w:hAnsi="微软雅黑" w:cs="微软雅黑" w:hint="eastAsia"/>
          <w:sz w:val="28"/>
          <w:szCs w:val="28"/>
        </w:rPr>
      </w:pPr>
      <w:r>
        <w:rPr>
          <w:rFonts w:ascii="微软雅黑" w:eastAsia="微软雅黑" w:hAnsi="微软雅黑" w:cs="微软雅黑"/>
          <w:sz w:val="24"/>
          <w:szCs w:val="28"/>
        </w:rPr>
        <w:t>智能零售行业技术迭代快、市场竞争激烈，项目可能面临技术、市场、管理、财务等多维度风险。团队通过系统化风险评估，制定针对性应对策略，确保风险可控、业务稳健发展。</w:t>
      </w:r>
    </w:p>
    <w:p w14:paraId="76A5C69F" w14:textId="77777777" w:rsidR="00086162" w:rsidRDefault="00086162">
      <w:pPr>
        <w:jc w:val="left"/>
        <w:rPr>
          <w:rFonts w:ascii="微软雅黑" w:eastAsia="微软雅黑" w:hAnsi="微软雅黑" w:cs="微软雅黑" w:hint="eastAsia"/>
          <w:sz w:val="28"/>
          <w:szCs w:val="28"/>
        </w:rPr>
      </w:pPr>
    </w:p>
    <w:p w14:paraId="50C1B094" w14:textId="77777777" w:rsidR="00086162" w:rsidRDefault="005936B9">
      <w:pPr>
        <w:pStyle w:val="2"/>
        <w:jc w:val="left"/>
        <w:rPr>
          <w:rFonts w:ascii="微软雅黑" w:eastAsia="微软雅黑" w:hAnsi="微软雅黑" w:cs="微软雅黑" w:hint="eastAsia"/>
          <w:szCs w:val="28"/>
        </w:rPr>
      </w:pPr>
      <w:r>
        <w:rPr>
          <w:rFonts w:ascii="微软雅黑" w:eastAsia="微软雅黑" w:hAnsi="微软雅黑" w:cs="微软雅黑"/>
          <w:szCs w:val="28"/>
        </w:rPr>
        <w:t>技术风险与对策</w:t>
      </w:r>
    </w:p>
    <w:p w14:paraId="31A0107B" w14:textId="77777777" w:rsidR="00086162" w:rsidRDefault="00086162">
      <w:pPr>
        <w:jc w:val="left"/>
        <w:rPr>
          <w:szCs w:val="28"/>
        </w:rPr>
      </w:pPr>
    </w:p>
    <w:p w14:paraId="64A51C0B" w14:textId="77777777" w:rsidR="00086162" w:rsidRDefault="005936B9">
      <w:p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1. 核心技术研发不及预期</w:t>
      </w:r>
    </w:p>
    <w:p w14:paraId="2D31B846"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风险描述：</w:t>
      </w:r>
      <w:r>
        <w:rPr>
          <w:rFonts w:ascii="微软雅黑" w:eastAsia="微软雅黑" w:hAnsi="微软雅黑" w:cs="微软雅黑"/>
          <w:sz w:val="24"/>
          <w:szCs w:val="28"/>
        </w:rPr>
        <w:t>AI算法优化难度超预期（如YOLOv8在复杂光照下的识别准确率波动、LSTM模型对极端促销场景的预测偏差），边缘计算与云端协同技术存在兼容性问题，可能导致产品性能不达标或交付延期。</w:t>
      </w:r>
    </w:p>
    <w:p w14:paraId="67772CF2"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应对措施：</w:t>
      </w:r>
      <w:r>
        <w:rPr>
          <w:rFonts w:ascii="微软雅黑" w:eastAsia="微软雅黑" w:hAnsi="微软雅黑" w:cs="微软雅黑"/>
          <w:sz w:val="24"/>
          <w:szCs w:val="28"/>
        </w:rPr>
        <w:t>设立前沿技术预研小组（10人专职团队），聚焦YOLO算法优化、多模态融合（RFID+视觉识别）、联邦学习等技术方向，提前6-12个</w:t>
      </w:r>
      <w:r>
        <w:rPr>
          <w:rFonts w:ascii="微软雅黑" w:eastAsia="微软雅黑" w:hAnsi="微软雅黑" w:cs="微软雅黑"/>
          <w:sz w:val="24"/>
          <w:szCs w:val="28"/>
        </w:rPr>
        <w:lastRenderedPageBreak/>
        <w:t>月布局下一代技术，降低核心模块研发风险。</w:t>
      </w:r>
    </w:p>
    <w:p w14:paraId="62041FBF"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与清华大学、中科院等高校建立联合实验室，定向攻关算法鲁棒性与算力优化问题，每年投入500万元研发预算，确保技术储备领先行业1-2年。</w:t>
      </w:r>
    </w:p>
    <w:p w14:paraId="5342C870"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采用模块化开发架构，将库存预测、商品识别等核心功能解耦，单个模块的技术瓶颈不影响整体系统交付，通过灰度测试逐步迭代上线。</w:t>
      </w:r>
    </w:p>
    <w:p w14:paraId="441059AA" w14:textId="77777777" w:rsidR="00086162" w:rsidRDefault="00086162">
      <w:pPr>
        <w:spacing w:line="360" w:lineRule="auto"/>
        <w:jc w:val="left"/>
        <w:rPr>
          <w:rFonts w:ascii="微软雅黑" w:eastAsia="微软雅黑" w:hAnsi="微软雅黑" w:cs="微软雅黑" w:hint="eastAsia"/>
          <w:sz w:val="24"/>
          <w:szCs w:val="28"/>
        </w:rPr>
      </w:pPr>
    </w:p>
    <w:p w14:paraId="424C9497" w14:textId="77777777" w:rsidR="00086162" w:rsidRDefault="005936B9">
      <w:p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2. 数据安全与合规风险</w:t>
      </w:r>
    </w:p>
    <w:p w14:paraId="0EED49CA" w14:textId="77777777" w:rsidR="00086162" w:rsidRDefault="005936B9">
      <w:pPr>
        <w:spacing w:line="360" w:lineRule="auto"/>
        <w:ind w:firstLineChars="200" w:firstLine="480"/>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风险描述：</w:t>
      </w:r>
    </w:p>
    <w:p w14:paraId="40347132"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《个人信息保护法》《数据安全法》对用户行为数据、商品数据的采集与存储提出严格要求，若数据加密或脱敏处理不当，可能引发合规审查风险或用户隐私泄露。</w:t>
      </w:r>
    </w:p>
    <w:p w14:paraId="36E76873" w14:textId="77777777" w:rsidR="00086162" w:rsidRDefault="005936B9">
      <w:pPr>
        <w:spacing w:line="360" w:lineRule="auto"/>
        <w:jc w:val="left"/>
        <w:rPr>
          <w:rFonts w:ascii="微软雅黑" w:eastAsia="微软雅黑" w:hAnsi="微软雅黑" w:cs="微软雅黑" w:hint="eastAsia"/>
          <w:sz w:val="24"/>
          <w:szCs w:val="28"/>
        </w:rPr>
      </w:pPr>
      <w:r>
        <w:rPr>
          <w:rFonts w:ascii="微软雅黑" w:eastAsia="微软雅黑" w:hAnsi="微软雅黑" w:cs="微软雅黑"/>
          <w:sz w:val="24"/>
          <w:szCs w:val="28"/>
        </w:rPr>
        <w:t>应对措施：</w:t>
      </w:r>
    </w:p>
    <w:p w14:paraId="669EE316"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通ISO 27001信息安全管理体系认证，采用差分隐私技术对用户行为数据进行匿名化处理，敏感数据存储于阿里云加密云端，符合GDPR与国内法规要求。</w:t>
      </w:r>
    </w:p>
    <w:p w14:paraId="787A9EA0"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设立专职数据合规官，定期进行内部审计与第三方安全测评，确保数据采集“最小必要”原则，用户可随时撤回数据授权。</w:t>
      </w:r>
    </w:p>
    <w:p w14:paraId="132465F3" w14:textId="77777777" w:rsidR="00086162" w:rsidRDefault="00086162">
      <w:pPr>
        <w:jc w:val="left"/>
        <w:rPr>
          <w:rFonts w:ascii="微软雅黑" w:eastAsia="微软雅黑" w:hAnsi="微软雅黑" w:cs="微软雅黑" w:hint="eastAsia"/>
          <w:sz w:val="28"/>
          <w:szCs w:val="28"/>
        </w:rPr>
      </w:pPr>
    </w:p>
    <w:p w14:paraId="7667DEA3" w14:textId="77777777" w:rsidR="00086162" w:rsidRDefault="005936B9">
      <w:pPr>
        <w:pStyle w:val="2"/>
        <w:jc w:val="left"/>
        <w:rPr>
          <w:rFonts w:ascii="微软雅黑" w:eastAsia="微软雅黑" w:hAnsi="微软雅黑" w:cs="微软雅黑" w:hint="eastAsia"/>
          <w:szCs w:val="28"/>
        </w:rPr>
      </w:pPr>
      <w:r>
        <w:rPr>
          <w:rFonts w:ascii="微软雅黑" w:eastAsia="微软雅黑" w:hAnsi="微软雅黑" w:cs="微软雅黑"/>
          <w:szCs w:val="28"/>
        </w:rPr>
        <w:t>市场风险与对策</w:t>
      </w:r>
    </w:p>
    <w:p w14:paraId="09D4F85F" w14:textId="77777777" w:rsidR="00086162" w:rsidRDefault="00086162">
      <w:pPr>
        <w:jc w:val="left"/>
        <w:rPr>
          <w:szCs w:val="28"/>
        </w:rPr>
      </w:pPr>
    </w:p>
    <w:p w14:paraId="4A491061" w14:textId="77777777" w:rsidR="00086162" w:rsidRDefault="005936B9">
      <w:p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1.市场竞争加剧导致份额流失</w:t>
      </w:r>
    </w:p>
    <w:p w14:paraId="70063818"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风险描述：</w:t>
      </w:r>
      <w:r>
        <w:rPr>
          <w:rFonts w:ascii="微软雅黑" w:eastAsia="微软雅黑" w:hAnsi="微软雅黑" w:cs="微软雅黑"/>
          <w:sz w:val="24"/>
          <w:szCs w:val="28"/>
        </w:rPr>
        <w:t>商汤、旷视等科技公司加速布局零售AI模块，传统ERP厂商（如石基信息）整合单点功能推出低价套餐，可能挤压项目市场空间。</w:t>
      </w:r>
    </w:p>
    <w:p w14:paraId="39A2EF46" w14:textId="77777777" w:rsidR="00086162" w:rsidRDefault="005936B9">
      <w:pPr>
        <w:spacing w:line="360" w:lineRule="auto"/>
        <w:jc w:val="left"/>
        <w:rPr>
          <w:rFonts w:ascii="微软雅黑" w:eastAsia="微软雅黑" w:hAnsi="微软雅黑" w:cs="微软雅黑" w:hint="eastAsia"/>
          <w:sz w:val="24"/>
          <w:szCs w:val="28"/>
        </w:rPr>
      </w:pPr>
      <w:r>
        <w:rPr>
          <w:rFonts w:ascii="微软雅黑" w:eastAsia="微软雅黑" w:hAnsi="微软雅黑" w:cs="微软雅黑"/>
          <w:sz w:val="24"/>
          <w:szCs w:val="28"/>
        </w:rPr>
        <w:lastRenderedPageBreak/>
        <w:t>应对措施：</w:t>
      </w:r>
    </w:p>
    <w:p w14:paraId="3AC22254"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差异化产品定位：</w:t>
      </w:r>
      <w:r>
        <w:rPr>
          <w:rFonts w:ascii="微软雅黑" w:eastAsia="微软雅黑" w:hAnsi="微软雅黑" w:cs="微软雅黑"/>
          <w:sz w:val="24"/>
          <w:szCs w:val="28"/>
        </w:rPr>
        <w:t>强化“全链路解决方案”优势，对比竞品单一功能硬件/软件，突出数据闭环能力（如商品管理-库存预测-推荐系统的协同效应），试点显示全链路部署可提升客户复购率20%，形成不可替代性。</w:t>
      </w:r>
    </w:p>
    <w:p w14:paraId="44ABB872"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动态定价策略：</w:t>
      </w:r>
      <w:r>
        <w:rPr>
          <w:rFonts w:ascii="微软雅黑" w:eastAsia="微软雅黑" w:hAnsi="微软雅黑" w:cs="微软雅黑"/>
          <w:sz w:val="24"/>
          <w:szCs w:val="28"/>
        </w:rPr>
        <w:t>针对中小型企业推出“基础版云端订阅”（价格为竞品60%），附加“按需付费”增值模块（如AI销售分析）；为大型企业提供“定制化私有云+长期技术服务”，毛利率保持70%以上，避免价格战。</w:t>
      </w:r>
    </w:p>
    <w:p w14:paraId="0ACFD5A5" w14:textId="1928C926"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生态壁垒构建：</w:t>
      </w:r>
      <w:r>
        <w:rPr>
          <w:rFonts w:ascii="微软雅黑" w:eastAsia="微软雅黑" w:hAnsi="微软雅黑" w:cs="微软雅黑"/>
          <w:sz w:val="24"/>
          <w:szCs w:val="28"/>
        </w:rPr>
        <w:t>通过设备厂商预装、</w:t>
      </w:r>
      <w:proofErr w:type="gramStart"/>
      <w:r>
        <w:rPr>
          <w:rFonts w:ascii="微软雅黑" w:eastAsia="微软雅黑" w:hAnsi="微软雅黑" w:cs="微软雅黑"/>
          <w:sz w:val="24"/>
          <w:szCs w:val="28"/>
        </w:rPr>
        <w:t>云服务</w:t>
      </w:r>
      <w:proofErr w:type="gramEnd"/>
      <w:r>
        <w:rPr>
          <w:rFonts w:ascii="微软雅黑" w:eastAsia="微软雅黑" w:hAnsi="微软雅黑" w:cs="微软雅黑"/>
          <w:sz w:val="24"/>
          <w:szCs w:val="28"/>
        </w:rPr>
        <w:t>商推荐引流，2025年目标覆盖30%的渠道合作伙伴，</w:t>
      </w:r>
      <w:proofErr w:type="gramStart"/>
      <w:r>
        <w:rPr>
          <w:rFonts w:ascii="微软雅黑" w:eastAsia="微软雅黑" w:hAnsi="微软雅黑" w:cs="微软雅黑"/>
          <w:sz w:val="24"/>
          <w:szCs w:val="28"/>
        </w:rPr>
        <w:t>降低获客依赖</w:t>
      </w:r>
      <w:proofErr w:type="gramEnd"/>
      <w:r>
        <w:rPr>
          <w:rFonts w:ascii="微软雅黑" w:eastAsia="微软雅黑" w:hAnsi="微软雅黑" w:cs="微软雅黑"/>
          <w:sz w:val="24"/>
          <w:szCs w:val="28"/>
        </w:rPr>
        <w:t>度。</w:t>
      </w:r>
    </w:p>
    <w:p w14:paraId="6243C174" w14:textId="77777777" w:rsidR="00086162" w:rsidRDefault="00086162">
      <w:pPr>
        <w:spacing w:line="360" w:lineRule="auto"/>
        <w:jc w:val="left"/>
        <w:rPr>
          <w:rFonts w:ascii="微软雅黑" w:eastAsia="微软雅黑" w:hAnsi="微软雅黑" w:cs="微软雅黑" w:hint="eastAsia"/>
          <w:sz w:val="24"/>
          <w:szCs w:val="28"/>
        </w:rPr>
      </w:pPr>
    </w:p>
    <w:p w14:paraId="5C6166EA" w14:textId="77777777" w:rsidR="00086162" w:rsidRDefault="005936B9">
      <w:p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2. 客户数字化转型意愿低于预期</w:t>
      </w:r>
    </w:p>
    <w:p w14:paraId="1FB60ECE"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风险描述：</w:t>
      </w:r>
      <w:r>
        <w:rPr>
          <w:rFonts w:ascii="微软雅黑" w:eastAsia="微软雅黑" w:hAnsi="微软雅黑" w:cs="微软雅黑"/>
          <w:sz w:val="24"/>
          <w:szCs w:val="28"/>
        </w:rPr>
        <w:t>部分中小型零售企业因成本顾虑或技术认知不足，对智能化改造持观望态度，导致市场渗透速度放缓。</w:t>
      </w:r>
    </w:p>
    <w:p w14:paraId="2662A89D"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应对措施：</w:t>
      </w:r>
      <w:r>
        <w:rPr>
          <w:rFonts w:ascii="微软雅黑" w:eastAsia="微软雅黑" w:hAnsi="微软雅黑" w:cs="微软雅黑"/>
          <w:sz w:val="24"/>
          <w:szCs w:val="28"/>
        </w:rPr>
        <w:t>推出“轻量化试错方案”：提供30天免费试用版（限50家门店以内），同步输出《智能零售ROI测算报告》，用试点数据证明库存周转率提升40%、人力成本下降25%的实际价值。</w:t>
      </w:r>
    </w:p>
    <w:p w14:paraId="31EB5638"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组建行业专家顾问团（含沃尔玛、永辉前高管），针对不同业态（超市、便利店、电商）定制解决方案，通过成功案例（如某区域连锁超市部署后缺货率下降15%）增强客户信任。</w:t>
      </w:r>
    </w:p>
    <w:p w14:paraId="2C576B40" w14:textId="77777777" w:rsidR="00086162" w:rsidRDefault="00086162">
      <w:pPr>
        <w:jc w:val="left"/>
        <w:rPr>
          <w:rFonts w:ascii="微软雅黑" w:eastAsia="微软雅黑" w:hAnsi="微软雅黑" w:cs="微软雅黑" w:hint="eastAsia"/>
          <w:sz w:val="28"/>
          <w:szCs w:val="28"/>
        </w:rPr>
      </w:pPr>
    </w:p>
    <w:p w14:paraId="30BA45FA" w14:textId="77777777" w:rsidR="00086162" w:rsidRDefault="005936B9">
      <w:pPr>
        <w:pStyle w:val="2"/>
        <w:jc w:val="left"/>
        <w:rPr>
          <w:rFonts w:ascii="微软雅黑" w:eastAsia="微软雅黑" w:hAnsi="微软雅黑" w:cs="微软雅黑" w:hint="eastAsia"/>
          <w:szCs w:val="28"/>
        </w:rPr>
      </w:pPr>
      <w:r>
        <w:rPr>
          <w:rFonts w:ascii="微软雅黑" w:eastAsia="微软雅黑" w:hAnsi="微软雅黑" w:cs="微软雅黑"/>
          <w:szCs w:val="28"/>
        </w:rPr>
        <w:t>管理风险与对策</w:t>
      </w:r>
    </w:p>
    <w:p w14:paraId="751B457C" w14:textId="77777777" w:rsidR="00086162" w:rsidRDefault="00086162">
      <w:pPr>
        <w:jc w:val="left"/>
        <w:rPr>
          <w:szCs w:val="28"/>
        </w:rPr>
      </w:pPr>
    </w:p>
    <w:p w14:paraId="324592B2" w14:textId="77777777" w:rsidR="00086162" w:rsidRDefault="005936B9">
      <w:p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1. 快速扩张引发的团队管理挑战</w:t>
      </w:r>
    </w:p>
    <w:p w14:paraId="321978D4"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lastRenderedPageBreak/>
        <w:t>风险描述：计划三年招聘100名研发人员，可能出现组织架构僵化、跨部门协作效率下降、核心成员流失等问题。</w:t>
      </w:r>
    </w:p>
    <w:p w14:paraId="163D1F68" w14:textId="77777777" w:rsidR="00086162" w:rsidRDefault="005936B9">
      <w:pPr>
        <w:spacing w:line="360" w:lineRule="auto"/>
        <w:jc w:val="left"/>
        <w:rPr>
          <w:rFonts w:ascii="微软雅黑" w:eastAsia="微软雅黑" w:hAnsi="微软雅黑" w:cs="微软雅黑" w:hint="eastAsia"/>
          <w:sz w:val="24"/>
          <w:szCs w:val="28"/>
        </w:rPr>
      </w:pPr>
      <w:r>
        <w:rPr>
          <w:rFonts w:ascii="微软雅黑" w:eastAsia="微软雅黑" w:hAnsi="微软雅黑" w:cs="微软雅黑"/>
          <w:sz w:val="24"/>
          <w:szCs w:val="28"/>
        </w:rPr>
        <w:t>应对措施：采用扁平化管理架构，技术、市场、客户服务三大部门直接向创始人汇报，通过OKR明确季度目标，每周召开跨部门对齐会，降低沟通损耗。</w:t>
      </w:r>
    </w:p>
    <w:p w14:paraId="41EA89B6"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实施核心人才股权激励计划”：预留15%期权池，向研发骨干、资深行业专家倾斜，同时建立“双通道晋升机制”（技术/管理），提升团队归属感。</w:t>
      </w:r>
    </w:p>
    <w:p w14:paraId="5DB1D60B"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引入数字化管理工具（如飞书OKR、Jira项目管理），实时追踪项目进度，通过匿名调研系统定期评估员工满意度，及时优化管理流程。</w:t>
      </w:r>
    </w:p>
    <w:p w14:paraId="0A6D566A" w14:textId="77777777" w:rsidR="00086162" w:rsidRDefault="00086162">
      <w:pPr>
        <w:spacing w:line="360" w:lineRule="auto"/>
        <w:jc w:val="left"/>
        <w:rPr>
          <w:rFonts w:ascii="微软雅黑" w:eastAsia="微软雅黑" w:hAnsi="微软雅黑" w:cs="微软雅黑" w:hint="eastAsia"/>
          <w:sz w:val="24"/>
          <w:szCs w:val="28"/>
        </w:rPr>
      </w:pPr>
    </w:p>
    <w:p w14:paraId="1F98E1FF" w14:textId="77777777" w:rsidR="00086162" w:rsidRDefault="005936B9">
      <w:p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2. 跨领域协作效率风险</w:t>
      </w:r>
    </w:p>
    <w:p w14:paraId="4722C409"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风险描述：</w:t>
      </w:r>
      <w:r>
        <w:rPr>
          <w:rFonts w:ascii="微软雅黑" w:eastAsia="微软雅黑" w:hAnsi="微软雅黑" w:cs="微软雅黑"/>
          <w:sz w:val="24"/>
          <w:szCs w:val="28"/>
        </w:rPr>
        <w:t xml:space="preserve">技术团队与零售业务团队对需求理解存在偏差（如算法模型未充分考虑线下促销场景），可能导致产品功能与实际业务脱节。  </w:t>
      </w:r>
    </w:p>
    <w:p w14:paraId="1BC7634A"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应对措施：</w:t>
      </w:r>
      <w:r>
        <w:rPr>
          <w:rFonts w:ascii="微软雅黑" w:eastAsia="微软雅黑" w:hAnsi="微软雅黑" w:cs="微软雅黑"/>
          <w:sz w:val="24"/>
          <w:szCs w:val="28"/>
        </w:rPr>
        <w:t>设立业务-技术转化中台：由兼具零售经验与技术背景的资深成员（如COO王芳）牵头，负责将客户需求转化为技术可执行方案，避免“闭门造车”。</w:t>
      </w:r>
    </w:p>
    <w:p w14:paraId="4B38D570"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要求技术团队每月参与2次门店实地调研，业务团队定期参加技术复盘会，通过“场景化需求评审”确保产品贴合实际运营，如库存预测模型纳入天气、促销活动等动态变量。</w:t>
      </w:r>
    </w:p>
    <w:p w14:paraId="5E61156F" w14:textId="77777777" w:rsidR="00086162" w:rsidRDefault="00086162">
      <w:pPr>
        <w:jc w:val="left"/>
        <w:rPr>
          <w:rFonts w:ascii="微软雅黑" w:eastAsia="微软雅黑" w:hAnsi="微软雅黑" w:cs="微软雅黑" w:hint="eastAsia"/>
          <w:sz w:val="28"/>
          <w:szCs w:val="28"/>
        </w:rPr>
      </w:pPr>
    </w:p>
    <w:p w14:paraId="4D8024CE" w14:textId="77777777" w:rsidR="00086162" w:rsidRDefault="005936B9">
      <w:pPr>
        <w:pStyle w:val="2"/>
        <w:jc w:val="left"/>
        <w:rPr>
          <w:rFonts w:ascii="微软雅黑" w:eastAsia="微软雅黑" w:hAnsi="微软雅黑" w:cs="微软雅黑" w:hint="eastAsia"/>
          <w:szCs w:val="28"/>
        </w:rPr>
      </w:pPr>
      <w:r>
        <w:rPr>
          <w:rFonts w:ascii="微软雅黑" w:eastAsia="微软雅黑" w:hAnsi="微软雅黑" w:cs="微软雅黑"/>
          <w:szCs w:val="28"/>
        </w:rPr>
        <w:t>财务风险与对策</w:t>
      </w:r>
    </w:p>
    <w:p w14:paraId="4810D8BD" w14:textId="77777777" w:rsidR="00086162" w:rsidRDefault="00086162">
      <w:pPr>
        <w:jc w:val="left"/>
        <w:rPr>
          <w:szCs w:val="28"/>
        </w:rPr>
      </w:pPr>
    </w:p>
    <w:p w14:paraId="4957A5B3" w14:textId="77777777" w:rsidR="00086162" w:rsidRDefault="005936B9">
      <w:p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1. 资金使用效率与盈利周期风险</w:t>
      </w:r>
    </w:p>
    <w:p w14:paraId="427C921A"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风险描述：</w:t>
      </w:r>
      <w:r>
        <w:rPr>
          <w:rFonts w:ascii="微软雅黑" w:eastAsia="微软雅黑" w:hAnsi="微软雅黑" w:cs="微软雅黑"/>
          <w:sz w:val="24"/>
          <w:szCs w:val="28"/>
        </w:rPr>
        <w:t>融资5000万元若过度集中于技术研发（占比40%），可能导</w:t>
      </w:r>
      <w:r>
        <w:rPr>
          <w:rFonts w:ascii="微软雅黑" w:eastAsia="微软雅黑" w:hAnsi="微软雅黑" w:cs="微软雅黑"/>
          <w:sz w:val="24"/>
          <w:szCs w:val="28"/>
        </w:rPr>
        <w:lastRenderedPageBreak/>
        <w:t>致市场推广滞后；初期客户付费转化率低，可能延长盈利周期。</w:t>
      </w:r>
    </w:p>
    <w:p w14:paraId="3FFDD3A0"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应对措施：</w:t>
      </w:r>
      <w:r>
        <w:rPr>
          <w:rFonts w:ascii="微软雅黑" w:eastAsia="微软雅黑" w:hAnsi="微软雅黑" w:cs="微软雅黑"/>
          <w:sz w:val="24"/>
          <w:szCs w:val="28"/>
        </w:rPr>
        <w:t>建立分阶段预算管控机制：2025年前聚焦试点打磨与渠道拓展（市场推广占比30%），2026年起随产品成熟度提升增加研发投入，确保资金分配与业务节奏匹配。</w:t>
      </w:r>
    </w:p>
    <w:p w14:paraId="07AC7559"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优化收入结构：</w:t>
      </w:r>
      <w:r>
        <w:rPr>
          <w:rFonts w:ascii="微软雅黑" w:eastAsia="微软雅黑" w:hAnsi="微软雅黑" w:cs="微软雅黑"/>
          <w:sz w:val="24"/>
          <w:szCs w:val="28"/>
        </w:rPr>
        <w:t>除定制化开发、云端订阅外，推出“技术授权”模式（向硬件厂商收取API使用费），2025年目标非订阅收入占比达20%，分散单一业务依赖风险。</w:t>
      </w:r>
    </w:p>
    <w:p w14:paraId="7E1E9119" w14:textId="77777777" w:rsidR="00086162" w:rsidRDefault="00086162">
      <w:pPr>
        <w:spacing w:line="360" w:lineRule="auto"/>
        <w:jc w:val="left"/>
        <w:rPr>
          <w:rFonts w:ascii="微软雅黑" w:eastAsia="微软雅黑" w:hAnsi="微软雅黑" w:cs="微软雅黑" w:hint="eastAsia"/>
          <w:sz w:val="24"/>
          <w:szCs w:val="28"/>
        </w:rPr>
      </w:pPr>
    </w:p>
    <w:p w14:paraId="75B16E01" w14:textId="77777777" w:rsidR="00086162" w:rsidRDefault="005936B9">
      <w:pPr>
        <w:spacing w:line="360" w:lineRule="auto"/>
        <w:jc w:val="left"/>
        <w:rPr>
          <w:rFonts w:ascii="微软雅黑" w:eastAsia="微软雅黑" w:hAnsi="微软雅黑" w:cs="微软雅黑" w:hint="eastAsia"/>
          <w:sz w:val="24"/>
          <w:szCs w:val="28"/>
        </w:rPr>
      </w:pPr>
      <w:r>
        <w:rPr>
          <w:rFonts w:ascii="微软雅黑" w:eastAsia="微软雅黑" w:hAnsi="微软雅黑" w:cs="微软雅黑"/>
          <w:b/>
          <w:sz w:val="24"/>
          <w:szCs w:val="28"/>
        </w:rPr>
        <w:t xml:space="preserve">2. 外部融资环境变化 </w:t>
      </w:r>
      <w:r>
        <w:rPr>
          <w:rFonts w:ascii="微软雅黑" w:eastAsia="微软雅黑" w:hAnsi="微软雅黑" w:cs="微软雅黑"/>
          <w:sz w:val="24"/>
          <w:szCs w:val="28"/>
        </w:rPr>
        <w:t xml:space="preserve"> </w:t>
      </w:r>
    </w:p>
    <w:p w14:paraId="32D61B5E"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风险描述：</w:t>
      </w:r>
      <w:r>
        <w:rPr>
          <w:rFonts w:ascii="微软雅黑" w:eastAsia="微软雅黑" w:hAnsi="微软雅黑" w:cs="微软雅黑"/>
          <w:sz w:val="24"/>
          <w:szCs w:val="28"/>
        </w:rPr>
        <w:t xml:space="preserve">资本市场对科技项目估值波动，可能影响后续融资进度与成本。  </w:t>
      </w:r>
    </w:p>
    <w:p w14:paraId="5AE4BA7E"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应对措施：</w:t>
      </w:r>
      <w:r>
        <w:rPr>
          <w:rFonts w:ascii="微软雅黑" w:eastAsia="微软雅黑" w:hAnsi="微软雅黑" w:cs="微软雅黑"/>
          <w:sz w:val="24"/>
          <w:szCs w:val="28"/>
        </w:rPr>
        <w:t xml:space="preserve">优先引入战略投资者（如零售科技领域头部企业），除资金外获取行业资源与背书，降低对财务投资的依赖。  </w:t>
      </w:r>
    </w:p>
    <w:p w14:paraId="13D34958"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保持稳健的现金流管理：通过预收款（大型项目首付30%）、客户分期付费等方式优化现金流，确保现有资金可支撑18个月运营，抵御融资窗口期风险。</w:t>
      </w:r>
    </w:p>
    <w:p w14:paraId="2BB17915" w14:textId="77777777" w:rsidR="00086162" w:rsidRDefault="00086162">
      <w:pPr>
        <w:jc w:val="left"/>
        <w:rPr>
          <w:rFonts w:ascii="微软雅黑" w:eastAsia="微软雅黑" w:hAnsi="微软雅黑" w:cs="微软雅黑" w:hint="eastAsia"/>
          <w:sz w:val="28"/>
          <w:szCs w:val="28"/>
        </w:rPr>
      </w:pPr>
    </w:p>
    <w:p w14:paraId="527ED260" w14:textId="77777777" w:rsidR="00086162" w:rsidRDefault="005936B9">
      <w:pPr>
        <w:pStyle w:val="2"/>
        <w:jc w:val="left"/>
        <w:rPr>
          <w:rFonts w:ascii="微软雅黑" w:eastAsia="微软雅黑" w:hAnsi="微软雅黑" w:cs="微软雅黑" w:hint="eastAsia"/>
          <w:szCs w:val="28"/>
        </w:rPr>
      </w:pPr>
      <w:r>
        <w:rPr>
          <w:rFonts w:ascii="微软雅黑" w:eastAsia="微软雅黑" w:hAnsi="微软雅黑" w:cs="微软雅黑"/>
          <w:szCs w:val="28"/>
        </w:rPr>
        <w:t>应急响应机制</w:t>
      </w:r>
    </w:p>
    <w:p w14:paraId="66598C1B" w14:textId="77777777" w:rsidR="00086162" w:rsidRDefault="00086162">
      <w:pPr>
        <w:jc w:val="left"/>
        <w:rPr>
          <w:szCs w:val="28"/>
        </w:rPr>
      </w:pPr>
    </w:p>
    <w:p w14:paraId="1460E2D8" w14:textId="77777777" w:rsidR="00086162" w:rsidRDefault="005936B9">
      <w:pPr>
        <w:spacing w:line="360" w:lineRule="auto"/>
        <w:jc w:val="left"/>
        <w:rPr>
          <w:rFonts w:ascii="微软雅黑" w:eastAsia="微软雅黑" w:hAnsi="微软雅黑" w:cs="微软雅黑" w:hint="eastAsia"/>
          <w:sz w:val="24"/>
          <w:szCs w:val="28"/>
        </w:rPr>
      </w:pPr>
      <w:r>
        <w:rPr>
          <w:rFonts w:ascii="微软雅黑" w:eastAsia="微软雅黑" w:hAnsi="微软雅黑" w:cs="微软雅黑"/>
          <w:b/>
          <w:sz w:val="24"/>
          <w:szCs w:val="28"/>
        </w:rPr>
        <w:t>建立三级风险预警体系：</w:t>
      </w:r>
    </w:p>
    <w:p w14:paraId="63EB35AF"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一级风险（高影响）：</w:t>
      </w:r>
      <w:r>
        <w:rPr>
          <w:rFonts w:ascii="微软雅黑" w:eastAsia="微软雅黑" w:hAnsi="微软雅黑" w:cs="微软雅黑"/>
          <w:sz w:val="24"/>
          <w:szCs w:val="28"/>
        </w:rPr>
        <w:t xml:space="preserve">如核心技术泄露、重大合规事故，24小时内启动应急预案，联合外部法律顾问与技术专家处理；  </w:t>
      </w:r>
    </w:p>
    <w:p w14:paraId="517763C6"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二级风险（中影响）：</w:t>
      </w:r>
      <w:r>
        <w:rPr>
          <w:rFonts w:ascii="微软雅黑" w:eastAsia="微软雅黑" w:hAnsi="微软雅黑" w:cs="微软雅黑"/>
          <w:sz w:val="24"/>
          <w:szCs w:val="28"/>
        </w:rPr>
        <w:t>如客户集中投诉、关键成员离职，48小时内召开专</w:t>
      </w:r>
      <w:r>
        <w:rPr>
          <w:rFonts w:ascii="微软雅黑" w:eastAsia="微软雅黑" w:hAnsi="微软雅黑" w:cs="微软雅黑"/>
          <w:sz w:val="24"/>
          <w:szCs w:val="28"/>
        </w:rPr>
        <w:lastRenderedPageBreak/>
        <w:t xml:space="preserve">项会议，3个工作日内制定解决方案；  </w:t>
      </w:r>
    </w:p>
    <w:p w14:paraId="6C3B7DAA"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b/>
          <w:sz w:val="24"/>
          <w:szCs w:val="28"/>
        </w:rPr>
        <w:t>三级风险（低影响）：</w:t>
      </w:r>
      <w:r>
        <w:rPr>
          <w:rFonts w:ascii="微软雅黑" w:eastAsia="微软雅黑" w:hAnsi="微软雅黑" w:cs="微软雅黑"/>
          <w:sz w:val="24"/>
          <w:szCs w:val="28"/>
        </w:rPr>
        <w:t xml:space="preserve">如技术模块小范围故障、市场推广效果未达预期，由部门负责人在周例会上同步进展，确保风险透明化。  </w:t>
      </w:r>
    </w:p>
    <w:p w14:paraId="4150E1B0" w14:textId="77777777" w:rsidR="00086162" w:rsidRDefault="00086162">
      <w:pPr>
        <w:spacing w:line="360" w:lineRule="auto"/>
        <w:jc w:val="left"/>
        <w:rPr>
          <w:rFonts w:ascii="微软雅黑" w:eastAsia="微软雅黑" w:hAnsi="微软雅黑" w:cs="微软雅黑" w:hint="eastAsia"/>
          <w:sz w:val="24"/>
          <w:szCs w:val="28"/>
        </w:rPr>
      </w:pPr>
    </w:p>
    <w:p w14:paraId="56EEEB63"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通过系统化风险管控与动态调整策略，项目将持续强化抗风险能力，保障技术落地与商业目标的稳步实现。</w:t>
      </w:r>
      <w:r>
        <w:rPr>
          <w:rFonts w:ascii="微软雅黑" w:eastAsia="微软雅黑" w:hAnsi="微软雅黑" w:cs="微软雅黑"/>
          <w:sz w:val="24"/>
          <w:szCs w:val="28"/>
        </w:rPr>
        <w:br/>
      </w:r>
    </w:p>
    <w:p w14:paraId="26C915A0" w14:textId="77777777" w:rsidR="00086162" w:rsidRDefault="00086162">
      <w:pPr>
        <w:spacing w:line="360" w:lineRule="auto"/>
        <w:jc w:val="left"/>
        <w:rPr>
          <w:rFonts w:ascii="微软雅黑" w:eastAsia="微软雅黑" w:hAnsi="微软雅黑" w:cs="微软雅黑" w:hint="eastAsia"/>
          <w:sz w:val="28"/>
          <w:szCs w:val="28"/>
        </w:rPr>
      </w:pPr>
    </w:p>
    <w:p w14:paraId="302127E9" w14:textId="73D0E6DB" w:rsidR="00086162" w:rsidRPr="005936B9" w:rsidRDefault="005936B9" w:rsidP="005936B9">
      <w:pPr>
        <w:numPr>
          <w:ilvl w:val="0"/>
          <w:numId w:val="4"/>
        </w:numPr>
        <w:jc w:val="left"/>
        <w:rPr>
          <w:rFonts w:ascii="微软雅黑" w:eastAsia="微软雅黑" w:hAnsi="微软雅黑" w:cs="微软雅黑" w:hint="eastAsia"/>
          <w:b/>
          <w:bCs/>
          <w:sz w:val="32"/>
          <w:szCs w:val="32"/>
        </w:rPr>
      </w:pPr>
      <w:r w:rsidRPr="000F53BE">
        <w:rPr>
          <w:rFonts w:ascii="微软雅黑" w:eastAsia="微软雅黑" w:hAnsi="微软雅黑" w:cs="微软雅黑"/>
          <w:b/>
          <w:bCs/>
          <w:sz w:val="32"/>
          <w:szCs w:val="32"/>
        </w:rPr>
        <w:t>其他说明</w:t>
      </w:r>
    </w:p>
    <w:p w14:paraId="0304DDCE" w14:textId="77777777" w:rsidR="00086162" w:rsidRDefault="005936B9">
      <w:pPr>
        <w:pStyle w:val="2"/>
        <w:jc w:val="left"/>
        <w:rPr>
          <w:rFonts w:ascii="微软雅黑" w:eastAsia="微软雅黑" w:hAnsi="微软雅黑" w:cs="微软雅黑" w:hint="eastAsia"/>
          <w:szCs w:val="28"/>
        </w:rPr>
      </w:pPr>
      <w:r>
        <w:rPr>
          <w:rFonts w:ascii="微软雅黑" w:eastAsia="微软雅黑" w:hAnsi="微软雅黑" w:cs="微软雅黑"/>
          <w:szCs w:val="28"/>
        </w:rPr>
        <w:t>投资人选择本项目的核心理由</w:t>
      </w:r>
    </w:p>
    <w:p w14:paraId="6CBDD83D" w14:textId="77777777" w:rsidR="00086162" w:rsidRDefault="00086162">
      <w:pPr>
        <w:jc w:val="left"/>
        <w:rPr>
          <w:szCs w:val="28"/>
        </w:rPr>
      </w:pPr>
    </w:p>
    <w:p w14:paraId="4A1D830A" w14:textId="77777777" w:rsidR="00086162" w:rsidRDefault="005936B9">
      <w:p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1. 稀缺的全链路智能化解决方案</w:t>
      </w:r>
    </w:p>
    <w:p w14:paraId="4862A425" w14:textId="0BAD1C79" w:rsidR="00086162" w:rsidRDefault="005936B9" w:rsidP="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区别于商汤、</w:t>
      </w:r>
      <w:proofErr w:type="gramStart"/>
      <w:r>
        <w:rPr>
          <w:rFonts w:ascii="微软雅黑" w:eastAsia="微软雅黑" w:hAnsi="微软雅黑" w:cs="微软雅黑"/>
          <w:sz w:val="24"/>
          <w:szCs w:val="28"/>
        </w:rPr>
        <w:t>旷</w:t>
      </w:r>
      <w:proofErr w:type="gramEnd"/>
      <w:r>
        <w:rPr>
          <w:rFonts w:ascii="微软雅黑" w:eastAsia="微软雅黑" w:hAnsi="微软雅黑" w:cs="微软雅黑"/>
          <w:sz w:val="24"/>
          <w:szCs w:val="28"/>
        </w:rPr>
        <w:t>视等聚焦单一模块（如视觉识别）的科技公司，以及石基信息等依赖渠道的传统IT厂商，本项目是市场少有的覆盖“商品管理-库存优化-销售分析-客户互动”全流程的智能零售系统，可帮助企业打破数据孤岛，实现人、货、场的高效协同。</w:t>
      </w:r>
    </w:p>
    <w:p w14:paraId="0B400952" w14:textId="77777777" w:rsidR="00086162" w:rsidRDefault="005936B9">
      <w:p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2. 明确的市场路径与高成长潜力</w:t>
      </w:r>
    </w:p>
    <w:p w14:paraId="32B23527" w14:textId="77777777"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项目精准卡位智能零售黄金发展期：全球市场规模2028年预计突破1000亿美元（年复合增长率22%），中国作为最大增量市场（预计2028年达350亿美元，CAGR 25%），500万中小型企业中30%有明确智能化需求，市场规模超百亿元。通过“云端订阅（中小型企业）+定制化私有云（大型企业）+模块适配（电商平台）”的分层策略，预计未来三年覆盖全国10%的智能零售市场，成为行业领先的全链路解决方案提供商。同时，技术研发持续投入（每年</w:t>
      </w:r>
      <w:r>
        <w:rPr>
          <w:rFonts w:ascii="微软雅黑" w:eastAsia="微软雅黑" w:hAnsi="微软雅黑" w:cs="微软雅黑"/>
          <w:sz w:val="24"/>
          <w:szCs w:val="28"/>
        </w:rPr>
        <w:lastRenderedPageBreak/>
        <w:t>1000万元）确保产品迭代，计划新增元宇宙购物等创新功能，打开长期增长空间。</w:t>
      </w:r>
    </w:p>
    <w:p w14:paraId="79ADF301" w14:textId="77777777" w:rsidR="00086162" w:rsidRDefault="00086162">
      <w:pPr>
        <w:spacing w:line="360" w:lineRule="auto"/>
        <w:jc w:val="left"/>
        <w:rPr>
          <w:rFonts w:ascii="微软雅黑" w:eastAsia="微软雅黑" w:hAnsi="微软雅黑" w:cs="微软雅黑" w:hint="eastAsia"/>
          <w:sz w:val="24"/>
          <w:szCs w:val="28"/>
        </w:rPr>
      </w:pPr>
    </w:p>
    <w:p w14:paraId="21506567" w14:textId="77777777" w:rsidR="00086162" w:rsidRDefault="005936B9">
      <w:pPr>
        <w:spacing w:line="360" w:lineRule="auto"/>
        <w:jc w:val="left"/>
        <w:rPr>
          <w:rFonts w:ascii="微软雅黑" w:eastAsia="微软雅黑" w:hAnsi="微软雅黑" w:cs="微软雅黑" w:hint="eastAsia"/>
          <w:b/>
          <w:sz w:val="24"/>
          <w:szCs w:val="28"/>
        </w:rPr>
      </w:pPr>
      <w:r>
        <w:rPr>
          <w:rFonts w:ascii="微软雅黑" w:eastAsia="微软雅黑" w:hAnsi="微软雅黑" w:cs="微软雅黑"/>
          <w:b/>
          <w:sz w:val="24"/>
          <w:szCs w:val="28"/>
        </w:rPr>
        <w:t>3. 高可信度的团队与稳健的风险控制</w:t>
      </w:r>
    </w:p>
    <w:p w14:paraId="244ED399" w14:textId="2919FA1F" w:rsidR="00086162" w:rsidRDefault="005936B9">
      <w:pPr>
        <w:spacing w:line="360" w:lineRule="auto"/>
        <w:ind w:firstLineChars="200" w:firstLine="480"/>
        <w:jc w:val="left"/>
        <w:rPr>
          <w:rFonts w:ascii="微软雅黑" w:eastAsia="微软雅黑" w:hAnsi="微软雅黑" w:cs="微软雅黑" w:hint="eastAsia"/>
          <w:sz w:val="24"/>
          <w:szCs w:val="28"/>
        </w:rPr>
      </w:pPr>
      <w:r>
        <w:rPr>
          <w:rFonts w:ascii="微软雅黑" w:eastAsia="微软雅黑" w:hAnsi="微软雅黑" w:cs="微软雅黑"/>
          <w:sz w:val="24"/>
          <w:szCs w:val="28"/>
        </w:rPr>
        <w:t>核心团队技术与业务能力互补，技术落地能力与知识产权储备扎实。风险应对机制完善：技术风险通过高校合作预研前沿算法，市场风险通过差异化定价与客户成功体系化解，管理风险通过OKR与期权激励保障团队稳定，财务风险通过预算管理与多元融资渠道控制，确保项目在技术、市场、管理各维度风险可控。</w:t>
      </w:r>
    </w:p>
    <w:p w14:paraId="7F184A61" w14:textId="77777777" w:rsidR="00086162" w:rsidRDefault="00086162">
      <w:pPr>
        <w:jc w:val="left"/>
        <w:rPr>
          <w:rFonts w:ascii="微软雅黑" w:eastAsia="微软雅黑" w:hAnsi="微软雅黑" w:cs="微软雅黑" w:hint="eastAsia"/>
          <w:sz w:val="24"/>
          <w:szCs w:val="28"/>
        </w:rPr>
      </w:pPr>
    </w:p>
    <w:p w14:paraId="61EA551C" w14:textId="77777777" w:rsidR="00086162" w:rsidRDefault="005936B9">
      <w:pPr>
        <w:pStyle w:val="2"/>
        <w:jc w:val="left"/>
        <w:rPr>
          <w:rFonts w:ascii="微软雅黑" w:eastAsia="微软雅黑" w:hAnsi="微软雅黑" w:cs="微软雅黑" w:hint="eastAsia"/>
          <w:szCs w:val="28"/>
        </w:rPr>
      </w:pPr>
      <w:r>
        <w:rPr>
          <w:rFonts w:ascii="微软雅黑" w:eastAsia="微软雅黑" w:hAnsi="微软雅黑" w:cs="微软雅黑"/>
          <w:szCs w:val="28"/>
        </w:rPr>
        <w:t>团队承诺与合规声明</w:t>
      </w:r>
    </w:p>
    <w:p w14:paraId="75D00655" w14:textId="77777777" w:rsidR="00086162" w:rsidRDefault="00086162">
      <w:pPr>
        <w:jc w:val="left"/>
        <w:rPr>
          <w:szCs w:val="28"/>
        </w:rPr>
      </w:pPr>
    </w:p>
    <w:p w14:paraId="488FF20D" w14:textId="77777777" w:rsidR="00086162" w:rsidRDefault="005936B9">
      <w:pPr>
        <w:spacing w:line="360" w:lineRule="auto"/>
        <w:ind w:firstLineChars="200" w:firstLine="480"/>
        <w:jc w:val="left"/>
        <w:rPr>
          <w:rFonts w:ascii="微软雅黑" w:eastAsia="微软雅黑" w:hAnsi="微软雅黑" w:cs="微软雅黑" w:hint="eastAsia"/>
          <w:sz w:val="28"/>
          <w:szCs w:val="28"/>
        </w:rPr>
      </w:pPr>
      <w:r>
        <w:rPr>
          <w:rFonts w:ascii="微软雅黑" w:eastAsia="微软雅黑" w:hAnsi="微软雅黑" w:cs="微软雅黑"/>
          <w:sz w:val="24"/>
          <w:szCs w:val="28"/>
        </w:rPr>
        <w:t>团队承诺商业计划书中所有数据与信息真实可靠，愿承担相应法律责任。项目严格遵守《个人信息保护法》等法规，通过ISO 27001信息安全认证与差分隐私技术保障数据安全，确保合规运营。未来将持续以开放透明的态度与投资者沟通，定期披露技术研发进展、市场拓展成果及财务状况，致力于成为零售科技领域值得信赖的长期合作伙伴。</w:t>
      </w:r>
    </w:p>
    <w:p w14:paraId="6CA21931" w14:textId="77777777" w:rsidR="00086162" w:rsidRDefault="00086162">
      <w:pPr>
        <w:rPr>
          <w:rFonts w:ascii="微软雅黑" w:eastAsia="微软雅黑" w:hAnsi="微软雅黑" w:cs="微软雅黑" w:hint="eastAsia"/>
          <w:color w:val="1C1F23"/>
          <w:sz w:val="28"/>
          <w:szCs w:val="28"/>
          <w:shd w:val="clear" w:color="auto" w:fill="FFFFFF"/>
        </w:rPr>
      </w:pPr>
    </w:p>
    <w:sectPr w:rsidR="000861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23B7FA" w14:textId="77777777" w:rsidR="00A14926" w:rsidRDefault="00A14926">
      <w:r>
        <w:separator/>
      </w:r>
    </w:p>
  </w:endnote>
  <w:endnote w:type="continuationSeparator" w:id="0">
    <w:p w14:paraId="24F8A5B6" w14:textId="77777777" w:rsidR="00A14926" w:rsidRDefault="00A14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方正小标宋简体">
    <w:altName w:val="微软雅黑"/>
    <w:panose1 w:val="02010601030101010101"/>
    <w:charset w:val="86"/>
    <w:family w:val="auto"/>
    <w:pitch w:val="variable"/>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Segoe UI Emoji">
    <w:panose1 w:val="020B0502040204020203"/>
    <w:charset w:val="00"/>
    <w:family w:val="swiss"/>
    <w:pitch w:val="variable"/>
    <w:sig w:usb0="00000003" w:usb1="02000000" w:usb2="08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B6EC34" w14:textId="77777777" w:rsidR="00A14926" w:rsidRDefault="00A14926">
      <w:r>
        <w:separator/>
      </w:r>
    </w:p>
  </w:footnote>
  <w:footnote w:type="continuationSeparator" w:id="0">
    <w:p w14:paraId="3E77CA2C" w14:textId="77777777" w:rsidR="00A14926" w:rsidRDefault="00A149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B15D7"/>
    <w:multiLevelType w:val="multilevel"/>
    <w:tmpl w:val="32880492"/>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1" w15:restartNumberingAfterBreak="0">
    <w:nsid w:val="3BAC6835"/>
    <w:multiLevelType w:val="multilevel"/>
    <w:tmpl w:val="F5FA0B30"/>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2" w15:restartNumberingAfterBreak="0">
    <w:nsid w:val="45644293"/>
    <w:multiLevelType w:val="multilevel"/>
    <w:tmpl w:val="78E66DD4"/>
    <w:lvl w:ilvl="0">
      <w:start w:val="1"/>
      <w:numFmt w:val="chineseCountingThousand"/>
      <w:lvlText w:val="%1、"/>
      <w:lvlJc w:val="left"/>
      <w:pPr>
        <w:ind w:left="462" w:hanging="462"/>
      </w:pPr>
    </w:lvl>
    <w:lvl w:ilvl="1">
      <w:start w:val="1"/>
      <w:numFmt w:val="decimal"/>
      <w:lvlText w:val="%2、"/>
      <w:lvlJc w:val="left"/>
      <w:pPr>
        <w:ind w:left="756" w:hanging="336"/>
      </w:pPr>
    </w:lvl>
    <w:lvl w:ilvl="2">
      <w:start w:val="1"/>
      <w:numFmt w:val="lowerLetter"/>
      <w:lvlText w:val="%3)"/>
      <w:lvlJc w:val="left"/>
      <w:pPr>
        <w:ind w:left="1176" w:hanging="336"/>
      </w:pPr>
    </w:lvl>
    <w:lvl w:ilvl="3">
      <w:start w:val="1"/>
      <w:numFmt w:val="chineseCountingThousand"/>
      <w:lvlText w:val="%4、"/>
      <w:lvlJc w:val="left"/>
      <w:pPr>
        <w:ind w:left="1722" w:hanging="462"/>
      </w:pPr>
    </w:lvl>
    <w:lvl w:ilvl="4">
      <w:start w:val="1"/>
      <w:numFmt w:val="decimal"/>
      <w:lvlText w:val="%5、"/>
      <w:lvlJc w:val="left"/>
      <w:pPr>
        <w:ind w:left="2016" w:hanging="336"/>
      </w:pPr>
    </w:lvl>
    <w:lvl w:ilvl="5">
      <w:start w:val="1"/>
      <w:numFmt w:val="lowerLetter"/>
      <w:lvlText w:val="%6)"/>
      <w:lvlJc w:val="left"/>
      <w:pPr>
        <w:ind w:left="2436" w:hanging="336"/>
      </w:pPr>
    </w:lvl>
    <w:lvl w:ilvl="6">
      <w:start w:val="1"/>
      <w:numFmt w:val="chineseCountingThousand"/>
      <w:lvlText w:val="%7、"/>
      <w:lvlJc w:val="left"/>
      <w:pPr>
        <w:ind w:left="2982" w:hanging="462"/>
      </w:pPr>
    </w:lvl>
    <w:lvl w:ilvl="7">
      <w:start w:val="1"/>
      <w:numFmt w:val="decimal"/>
      <w:lvlText w:val="%8、"/>
      <w:lvlJc w:val="left"/>
      <w:pPr>
        <w:ind w:left="3276" w:hanging="336"/>
      </w:pPr>
    </w:lvl>
    <w:lvl w:ilvl="8">
      <w:start w:val="1"/>
      <w:numFmt w:val="lowerLetter"/>
      <w:lvlText w:val="%9)"/>
      <w:lvlJc w:val="left"/>
      <w:pPr>
        <w:ind w:left="3696" w:hanging="336"/>
      </w:pPr>
    </w:lvl>
  </w:abstractNum>
  <w:abstractNum w:abstractNumId="3" w15:restartNumberingAfterBreak="0">
    <w:nsid w:val="4B72271A"/>
    <w:multiLevelType w:val="multilevel"/>
    <w:tmpl w:val="78A00224"/>
    <w:lvl w:ilvl="0">
      <w:start w:val="2"/>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abstractNum w:abstractNumId="4" w15:restartNumberingAfterBreak="0">
    <w:nsid w:val="606674A2"/>
    <w:multiLevelType w:val="multilevel"/>
    <w:tmpl w:val="61FA375E"/>
    <w:lvl w:ilvl="0">
      <w:start w:val="7"/>
      <w:numFmt w:val="chineseCountingThousand"/>
      <w:lvlText w:val="%1、"/>
      <w:lvlJc w:val="left"/>
      <w:pPr>
        <w:ind w:left="462" w:hanging="462"/>
      </w:pPr>
    </w:lvl>
    <w:lvl w:ilvl="1">
      <w:start w:val="1"/>
      <w:numFmt w:val="decimal"/>
      <w:lvlText w:val="%2、"/>
      <w:lvlJc w:val="left"/>
      <w:pPr>
        <w:ind w:left="756" w:hanging="336"/>
      </w:pPr>
    </w:lvl>
    <w:lvl w:ilvl="2">
      <w:start w:val="1"/>
      <w:numFmt w:val="lowerLetter"/>
      <w:lvlText w:val="%3)"/>
      <w:lvlJc w:val="left"/>
      <w:pPr>
        <w:ind w:left="1176" w:hanging="336"/>
      </w:pPr>
    </w:lvl>
    <w:lvl w:ilvl="3">
      <w:start w:val="1"/>
      <w:numFmt w:val="chineseCountingThousand"/>
      <w:lvlText w:val="%4、"/>
      <w:lvlJc w:val="left"/>
      <w:pPr>
        <w:ind w:left="1722" w:hanging="462"/>
      </w:pPr>
    </w:lvl>
    <w:lvl w:ilvl="4">
      <w:start w:val="1"/>
      <w:numFmt w:val="decimal"/>
      <w:lvlText w:val="%5、"/>
      <w:lvlJc w:val="left"/>
      <w:pPr>
        <w:ind w:left="2016" w:hanging="336"/>
      </w:pPr>
    </w:lvl>
    <w:lvl w:ilvl="5">
      <w:start w:val="1"/>
      <w:numFmt w:val="lowerLetter"/>
      <w:lvlText w:val="%6)"/>
      <w:lvlJc w:val="left"/>
      <w:pPr>
        <w:ind w:left="2436" w:hanging="336"/>
      </w:pPr>
    </w:lvl>
    <w:lvl w:ilvl="6">
      <w:start w:val="1"/>
      <w:numFmt w:val="chineseCountingThousand"/>
      <w:lvlText w:val="%7、"/>
      <w:lvlJc w:val="left"/>
      <w:pPr>
        <w:ind w:left="2982" w:hanging="462"/>
      </w:pPr>
    </w:lvl>
    <w:lvl w:ilvl="7">
      <w:start w:val="1"/>
      <w:numFmt w:val="decimal"/>
      <w:lvlText w:val="%8、"/>
      <w:lvlJc w:val="left"/>
      <w:pPr>
        <w:ind w:left="3276" w:hanging="336"/>
      </w:pPr>
    </w:lvl>
    <w:lvl w:ilvl="8">
      <w:start w:val="1"/>
      <w:numFmt w:val="lowerLetter"/>
      <w:lvlText w:val="%9)"/>
      <w:lvlJc w:val="left"/>
      <w:pPr>
        <w:ind w:left="3696" w:hanging="336"/>
      </w:pPr>
    </w:lvl>
  </w:abstractNum>
  <w:abstractNum w:abstractNumId="5" w15:restartNumberingAfterBreak="0">
    <w:nsid w:val="63FA36B6"/>
    <w:multiLevelType w:val="multilevel"/>
    <w:tmpl w:val="259AD204"/>
    <w:lvl w:ilvl="0">
      <w:start w:val="1"/>
      <w:numFmt w:val="decimal"/>
      <w:lvlText w:val="%1."/>
      <w:lvlJc w:val="left"/>
      <w:pPr>
        <w:ind w:left="336" w:hanging="336"/>
      </w:pPr>
    </w:lvl>
    <w:lvl w:ilvl="1">
      <w:start w:val="1"/>
      <w:numFmt w:val="lowerLetter"/>
      <w:lvlText w:val="%2."/>
      <w:lvlJc w:val="left"/>
      <w:pPr>
        <w:ind w:left="756" w:hanging="336"/>
      </w:pPr>
    </w:lvl>
    <w:lvl w:ilvl="2">
      <w:start w:val="1"/>
      <w:numFmt w:val="lowerRoman"/>
      <w:lvlText w:val="%3."/>
      <w:lvlJc w:val="left"/>
      <w:pPr>
        <w:ind w:left="1176" w:hanging="336"/>
      </w:pPr>
    </w:lvl>
    <w:lvl w:ilvl="3">
      <w:start w:val="1"/>
      <w:numFmt w:val="decimal"/>
      <w:lvlText w:val="%4."/>
      <w:lvlJc w:val="left"/>
      <w:pPr>
        <w:ind w:left="1596" w:hanging="336"/>
      </w:pPr>
    </w:lvl>
    <w:lvl w:ilvl="4">
      <w:start w:val="1"/>
      <w:numFmt w:val="lowerLetter"/>
      <w:lvlText w:val="%5."/>
      <w:lvlJc w:val="left"/>
      <w:pPr>
        <w:ind w:left="2016" w:hanging="336"/>
      </w:pPr>
    </w:lvl>
    <w:lvl w:ilvl="5">
      <w:start w:val="1"/>
      <w:numFmt w:val="lowerRoman"/>
      <w:lvlText w:val="%6."/>
      <w:lvlJc w:val="left"/>
      <w:pPr>
        <w:ind w:left="2436" w:hanging="336"/>
      </w:pPr>
    </w:lvl>
    <w:lvl w:ilvl="6">
      <w:start w:val="1"/>
      <w:numFmt w:val="decimal"/>
      <w:lvlText w:val="%7."/>
      <w:lvlJc w:val="left"/>
      <w:pPr>
        <w:ind w:left="2856" w:hanging="336"/>
      </w:pPr>
    </w:lvl>
    <w:lvl w:ilvl="7">
      <w:start w:val="1"/>
      <w:numFmt w:val="lowerLetter"/>
      <w:lvlText w:val="%8."/>
      <w:lvlJc w:val="left"/>
      <w:pPr>
        <w:ind w:left="3276" w:hanging="336"/>
      </w:pPr>
    </w:lvl>
    <w:lvl w:ilvl="8">
      <w:start w:val="1"/>
      <w:numFmt w:val="lowerRoman"/>
      <w:lvlText w:val="%9."/>
      <w:lvlJc w:val="left"/>
      <w:pPr>
        <w:ind w:left="3696" w:hanging="336"/>
      </w:pPr>
    </w:lvl>
  </w:abstractNum>
  <w:num w:numId="1" w16cid:durableId="1401323464">
    <w:abstractNumId w:val="5"/>
  </w:num>
  <w:num w:numId="2" w16cid:durableId="744257400">
    <w:abstractNumId w:val="1"/>
  </w:num>
  <w:num w:numId="3" w16cid:durableId="1684161850">
    <w:abstractNumId w:val="0"/>
  </w:num>
  <w:num w:numId="4" w16cid:durableId="519666307">
    <w:abstractNumId w:val="4"/>
  </w:num>
  <w:num w:numId="5" w16cid:durableId="497581517">
    <w:abstractNumId w:val="2"/>
  </w:num>
  <w:num w:numId="6" w16cid:durableId="10757869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DI3NmI0NDJmZmQ0MTQ2NmUzNmNkMzJlYTJjYWQyYmQifQ=="/>
    <w:docVar w:name="KSO_WPS_MARK_KEY" w:val="cc2b424d-7120-4b0f-b0bf-767ebf8a31cc"/>
  </w:docVars>
  <w:rsids>
    <w:rsidRoot w:val="36584044"/>
    <w:rsid w:val="00083E4E"/>
    <w:rsid w:val="00086162"/>
    <w:rsid w:val="000F53BE"/>
    <w:rsid w:val="001A6BC4"/>
    <w:rsid w:val="00343A60"/>
    <w:rsid w:val="00496D80"/>
    <w:rsid w:val="004C7431"/>
    <w:rsid w:val="004D0529"/>
    <w:rsid w:val="004E48FE"/>
    <w:rsid w:val="004E5D24"/>
    <w:rsid w:val="005270DD"/>
    <w:rsid w:val="005936B9"/>
    <w:rsid w:val="005A15E6"/>
    <w:rsid w:val="00776D60"/>
    <w:rsid w:val="007A5679"/>
    <w:rsid w:val="007D5235"/>
    <w:rsid w:val="007E56C0"/>
    <w:rsid w:val="00893774"/>
    <w:rsid w:val="00A0352A"/>
    <w:rsid w:val="00A14926"/>
    <w:rsid w:val="00C11EAE"/>
    <w:rsid w:val="00CC7650"/>
    <w:rsid w:val="00D400CC"/>
    <w:rsid w:val="00D64EF0"/>
    <w:rsid w:val="00E40297"/>
    <w:rsid w:val="00E639B5"/>
    <w:rsid w:val="00F95432"/>
    <w:rsid w:val="36584044"/>
    <w:rsid w:val="3D5A4E6E"/>
    <w:rsid w:val="3EC15F5C"/>
    <w:rsid w:val="46A42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9CDCA2"/>
  <w15:docId w15:val="{0635217C-CB19-4762-B0B3-665F88CFA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uiPriority w:val="9"/>
    <w:qFormat/>
    <w:pPr>
      <w:keepNext/>
      <w:keepLines/>
      <w:spacing w:line="408" w:lineRule="auto"/>
      <w:outlineLvl w:val="1"/>
    </w:pPr>
    <w:rPr>
      <w:b/>
      <w:bCs/>
      <w:color w:val="1A1A1A"/>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basedOn w:val="a0"/>
    <w:link w:val="a4"/>
    <w:rsid w:val="007A5679"/>
    <w:rPr>
      <w:rFonts w:asciiTheme="minorHAnsi" w:eastAsiaTheme="minorEastAsia" w:hAnsiTheme="minorHAnsi" w:cstheme="minorBidi"/>
      <w:kern w:val="2"/>
      <w:sz w:val="18"/>
      <w:szCs w:val="18"/>
    </w:rPr>
  </w:style>
  <w:style w:type="character" w:customStyle="1" w:styleId="a5">
    <w:name w:val="页眉 字符"/>
    <w:basedOn w:val="a0"/>
    <w:link w:val="a6"/>
    <w:rsid w:val="007A5679"/>
    <w:rPr>
      <w:rFonts w:asciiTheme="minorHAnsi" w:eastAsiaTheme="minorEastAsia" w:hAnsiTheme="minorHAnsi" w:cstheme="minorBidi"/>
      <w:kern w:val="2"/>
      <w:sz w:val="18"/>
      <w:szCs w:val="18"/>
    </w:rPr>
  </w:style>
  <w:style w:type="paragraph" w:styleId="a7">
    <w:name w:val="Title"/>
    <w:basedOn w:val="a"/>
    <w:next w:val="a"/>
    <w:uiPriority w:val="9"/>
    <w:qFormat/>
    <w:pPr>
      <w:keepNext/>
      <w:keepLines/>
      <w:spacing w:line="408" w:lineRule="auto"/>
      <w:jc w:val="center"/>
      <w:outlineLvl w:val="0"/>
    </w:pPr>
    <w:rPr>
      <w:b/>
      <w:bCs/>
      <w:color w:val="1A1A1A"/>
      <w:sz w:val="48"/>
      <w:szCs w:val="48"/>
    </w:rPr>
  </w:style>
  <w:style w:type="table" w:styleId="a8">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paragraph" w:styleId="a6">
    <w:name w:val="header"/>
    <w:basedOn w:val="a"/>
    <w:link w:val="a5"/>
    <w:rsid w:val="007A5679"/>
    <w:pPr>
      <w:tabs>
        <w:tab w:val="center" w:pos="4153"/>
        <w:tab w:val="right" w:pos="8306"/>
      </w:tabs>
      <w:snapToGrid w:val="0"/>
      <w:jc w:val="center"/>
    </w:pPr>
    <w:rPr>
      <w:sz w:val="18"/>
      <w:szCs w:val="18"/>
    </w:rPr>
  </w:style>
  <w:style w:type="paragraph" w:styleId="a4">
    <w:name w:val="footer"/>
    <w:basedOn w:val="a"/>
    <w:link w:val="a3"/>
    <w:rsid w:val="007A5679"/>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DFA67F8E-72F9-430F-ACA9-B125EA71C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35</Pages>
  <Words>18903</Words>
  <Characters>1808</Characters>
  <Application>Microsoft Office Word</Application>
  <DocSecurity>0</DocSecurity>
  <Lines>15</Lines>
  <Paragraphs>41</Paragraphs>
  <ScaleCrop>false</ScaleCrop>
  <Company/>
  <LinksUpToDate>false</LinksUpToDate>
  <CharactersWithSpaces>20670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Cloae Medica</cp:lastModifiedBy>
  <cp:revision>10</cp:revision>
  <cp:lastPrinted>2025-04-11T15:01:00Z</cp:lastPrinted>
  <dcterms:created xsi:type="dcterms:W3CDTF">2025-04-11T22:59:00Z</dcterms:created>
  <dcterms:modified xsi:type="dcterms:W3CDTF">2025-04-13T03:40:00Z</dcterms:modified>
</cp:coreProperties>
</file>