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pPr>
      <w:r>
        <w:t>Aura of Intelligence</w:t>
        <w:br/>
        <w:t>for Disaster Resilience</w:t>
        <w:br/>
        <w:t>and Recovery</w:t>
      </w:r>
    </w:p>
    <w:p>
      <w:pPr>
        <w:pStyle w:val="Subtitle"/>
      </w:pPr>
      <w:r>
        <w:t>Personal and community capability before during and after disaster</w:t>
      </w:r>
    </w:p>
    <w:p>
      <w:pPr>
        <w:spacing w:after="680"/>
      </w:pPr>
      <w:r>
        <w:t>A proposal for households, community organisations, volunteers, businesses and public agencies.</w:t>
      </w:r>
    </w:p>
    <w:p>
      <w:r>
        <w:rPr>
          <w:b/>
          <w:sz w:val="26"/>
        </w:rPr>
        <w:t>Luke Nathan Hayes</w:t>
      </w:r>
    </w:p>
    <w:p>
      <w:r>
        <w:t>27 October 2026</w:t>
      </w:r>
    </w:p>
    <w:p>
      <w:pPr>
        <w:spacing w:before="640"/>
      </w:pPr>
      <w:r>
        <w:rPr>
          <w:sz w:val="22"/>
        </w:rPr>
        <w:t>Beginning on Minjerribah and in Redlands</w:t>
        <w:br/>
        <w:t>With a development path through Queensland and Australia</w:t>
      </w:r>
    </w:p>
    <w:p>
      <w:pPr>
        <w:pStyle w:val="Heading1"/>
      </w:pPr>
      <w:r>
        <w:t>Purpose and the opportunity ahead</w:t>
      </w:r>
    </w:p>
    <w:p>
      <w:r>
        <w:t>Aura of Intelligence is a proposal for helping people develop a useful understanding of themselves and carry it into everyday life, community participation and times of disruption. For disaster resilience and recovery, that means connecting personal knowledge with dependable local information, practical learning and people who are ready to help. The intended result is greater capability before an event and better continuity through the months that follow.</w:t>
      </w:r>
    </w:p>
    <w:p>
      <w:r>
        <w:t>The technology transition gives this work urgency and possibility. Smartphones already put cameras, microphones, location tools and computing close to most people. An Australian Competition and Consumer Commission survey found that 94% of Australians aged 14 and older had a smartphone for personal use in October-November 2024. Wearables and connected equipment add further observations. [R1]</w:t>
      </w:r>
    </w:p>
    <w:p>
      <w:r>
        <w:t>Artificial intelligence, shortened to AI, offers new ways to explain information, organise records and assist with tasks. Superintelligence, or SI, describes possible capability beyond humans across many fields. Its timing remains uncertain. Preparing people to direct increasingly capable intelligence is useful now, particularly where disruption exposes gaps between information, understanding and actual help. [R2]</w:t>
      </w:r>
    </w:p>
    <w:p>
      <w:pPr>
        <w:pStyle w:val="Heading2"/>
      </w:pPr>
      <w:r>
        <w:t>Begin with the qualified self</w:t>
      </w:r>
    </w:p>
    <w:p>
      <w:r>
        <w:t>The qualified self is the person understood through their own explanations, values, abilities, relationships and experience. Measurements contribute observations; reflection gives them personal meaning. A developing digital twin represents selected aspects of body, mind and life in a form that a person and their chosen AI tools work with together. [P2]</w:t>
      </w:r>
    </w:p>
    <w:p>
      <w:r>
        <w:t>Self-sovereign data is foundational: people own their data and digital twins. They decide where records live and agree how they are used. The business proposition centres on useful services people choose, with practical ownership carried into storage, sharing and the ability to move between providers.</w:t>
      </w:r>
    </w:p>
    <w:p>
      <w:pPr>
        <w:pStyle w:val="Heading2"/>
      </w:pPr>
      <w:r>
        <w:t>A practical Protopian gambit</w:t>
      </w:r>
    </w:p>
    <w:p>
      <w:r>
        <w:t>My proposal is a considered bet on Joyful Responsible Abundance: worthwhile experiences, care for consequences and wider access to useful capability. A Protopian gambit pursues that direction through measured risks, learning and improvements that people are able to examine. A fair go includes support for people whose circumstances make preparation harder.</w:t>
      </w:r>
    </w:p>
    <w:p>
      <w:r>
        <w:t>The starting geography is Minjerribah, North Stradbroke Island, and Redlands, with wider Queensland and Australian use developed through local experience. Australia has less than six years before Brisbane 2032 to demonstrate a constructive relationship with AI and SI. The work begins with needs that already exist, including the next season of disruption. [P1]</w:t>
      </w:r>
    </w:p>
    <w:p>
      <w:pPr>
        <w:pStyle w:val="Heading1"/>
      </w:pPr>
      <w:r>
        <w:t>The foundation already in place</w:t>
      </w:r>
    </w:p>
    <w:p>
      <w:r>
        <w:t>Aura Disaster Resilience brings together an extensive public planning record for an everyday community service that remains useful through storms, fires and longer interruptions. It includes source documents, linked research questions, council-plan comparisons, kiosk design options and a proposed demonstration. These give interested people something concrete to examine and develop. [P1]</w:t>
      </w:r>
    </w:p>
    <w:p>
      <w:r>
        <w:t>The repository is a working design environment. Its research includes AI-generated possibilities, alongside identified source evidence and questions for human review. Preparing an option does not select it, establish a partnership or demonstrate its performance in the field. The current opportunity is to turn the strongest proposals into shared demonstrations and measured capability.</w:t>
      </w:r>
    </w:p>
    <w:p>
      <w:pPr>
        <w:pStyle w:val="Heading2"/>
      </w:pPr>
      <w:r>
        <w:t>Understand the different kinds of progress</w:t>
      </w:r>
    </w:p>
    <w:p>
      <w:r>
        <w:t>Aura Matrix Studio is a separate public browser application. It already provides editable personal records, organising tools and export functions that inform the personal Aura direction. Its current storage is a starting implementation. Protected integration, personal model training and dependable action across external services remain development work. [P3]</w:t>
      </w:r>
    </w:p>
    <w:p>
      <w:r>
        <w:t>The disaster project connects that personal direction with public information, equipment, communications, local support and continuing service. A household reflection tool, an outdoor kiosk and a receiving service each have different jobs. Their connection becomes dependable through tested behaviour and actual operating relationships.</w:t>
      </w:r>
    </w:p>
    <w:tbl>
      <w:tblPr>
        <w:tblW w:type="auto" w:w="0"/>
        <w:jc w:val="center"/>
        <w:tblLayout w:type="fixed"/>
        <w:tblLook w:firstColumn="1" w:firstRow="1" w:lastColumn="0" w:lastRow="0" w:noHBand="0" w:noVBand="1" w:val="04A0"/>
      </w:tblPr>
      <w:tblGrid>
        <w:gridCol w:w="3528"/>
        <w:gridCol w:w="6077"/>
      </w:tblGrid>
      <w:tr>
        <w:trPr>
          <w:cantSplit/>
          <w:tblHeader/>
        </w:trPr>
        <w:tc>
          <w:tcPr>
            <w:tcW w:type="dxa" w:w="35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Available foundation</w:t>
            </w:r>
          </w:p>
        </w:tc>
        <w:tc>
          <w:tcPr>
            <w:tcW w:type="dxa" w:w="60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Next development</w:t>
            </w:r>
          </w:p>
        </w:tc>
      </w:tr>
      <w:tr>
        <w:trPr>
          <w:cantSplit/>
        </w:trPr>
        <w:tc>
          <w:tcPr>
            <w:tcW w:type="dxa" w:w="35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Public research and design records</w:t>
            </w:r>
          </w:p>
        </w:tc>
        <w:tc>
          <w:tcPr>
            <w:tcW w:type="dxa" w:w="60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Choose a useful demonstration with interested participants.</w:t>
            </w:r>
          </w:p>
        </w:tc>
      </w:tr>
      <w:tr>
        <w:trPr>
          <w:cantSplit/>
        </w:trPr>
        <w:tc>
          <w:tcPr>
            <w:tcW w:type="dxa" w:w="35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Personal browser tools</w:t>
            </w:r>
          </w:p>
        </w:tc>
        <w:tc>
          <w:tcPr>
            <w:tcW w:type="dxa" w:w="60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Develop protected personal continuity for the proposed use.</w:t>
            </w:r>
          </w:p>
        </w:tc>
      </w:tr>
      <w:tr>
        <w:trPr>
          <w:cantSplit/>
        </w:trPr>
        <w:tc>
          <w:tcPr>
            <w:tcW w:type="dxa" w:w="35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Council and supplier comparisons</w:t>
            </w:r>
          </w:p>
        </w:tc>
        <w:tc>
          <w:tcPr>
            <w:tcW w:type="dxa" w:w="60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Explore a supported exchange with actual service owners.</w:t>
            </w:r>
          </w:p>
        </w:tc>
      </w:tr>
      <w:tr>
        <w:trPr>
          <w:cantSplit/>
        </w:trPr>
        <w:tc>
          <w:tcPr>
            <w:tcW w:type="dxa" w:w="35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Kiosk forms and service scenarios</w:t>
            </w:r>
          </w:p>
        </w:tc>
        <w:tc>
          <w:tcPr>
            <w:tcW w:type="dxa" w:w="60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Measure equipment and the complete human experience.</w:t>
            </w:r>
          </w:p>
        </w:tc>
      </w:tr>
    </w:tbl>
    <w:p>
      <w:pPr>
        <w:spacing w:after="20"/>
      </w:pPr>
    </w:p>
    <w:p>
      <w:pPr>
        <w:pStyle w:val="Heading2"/>
      </w:pPr>
      <w:r>
        <w:t>A credible next step</w:t>
      </w:r>
    </w:p>
    <w:p>
      <w:r>
        <w:t>The repository proposes a complete everyday-to-disaster demonstration using clearly labelled sample people, notices, requests and locations. People would try ordinary tasks, experience interruptions, hand work to another person and restore service. This offers a practical bridge between reading a proposal and considering a field trial. [P7]</w:t>
      </w:r>
    </w:p>
    <w:p>
      <w:r>
        <w:t>Expressions of interest are welcome. An early indication of a problem, resource or result worth pursuing helps choose the next demonstration and develop shared targets and terms.</w:t>
      </w:r>
    </w:p>
    <w:p>
      <w:r>
        <w:t>Council, agency, supplier and community roles remain proposed unless an existing public arrangement is identified. Participation develops through the people and organisations involved, with decisions recorded at the relevant stage.</w:t>
      </w:r>
    </w:p>
    <w:p>
      <w:pPr>
        <w:pStyle w:val="Heading1"/>
      </w:pPr>
      <w:r>
        <w:t>One personal relationship through changing circumstances</w:t>
      </w:r>
    </w:p>
    <w:p>
      <w:r>
        <w:t>A disaster affects a person whose life already contains relationships, commitments, abilities, worries and ambitions. Aura's whole-of-life direction is to preserve useful personal continuity through those changes. Preparation and recovery then build on what the person knows about themselves, rather than beginning with a new form every time a service changes.</w:t>
      </w:r>
    </w:p>
    <w:p>
      <w:r>
        <w:t>Someone may use a light personal account for contacts and practical preferences. Another person may develop a richer twin through reflection, earlier experiences, selected measurements and learning. The project's light-to-ultra-high-definition direction concerns the depth and usefulness of personal context. It is separate from screen quality, where computing runs or how much power a device uses. [P1-P2]</w:t>
      </w:r>
    </w:p>
    <w:p>
      <w:pPr>
        <w:pStyle w:val="Heading2"/>
      </w:pPr>
      <w:r>
        <w:t>Let experience improve the account</w:t>
      </w:r>
    </w:p>
    <w:p>
      <w:r>
        <w:t>The relationship develops through an ordinary cycle. A person explains their circumstances, tries something useful and reflects on what happened. Their Aura offers an interpretation with its sources. The person recognises, corrects or rejects it. Later encounters test whether that understanding helps.</w:t>
      </w:r>
    </w:p>
    <w:tbl>
      <w:tblPr>
        <w:tblW w:type="auto" w:w="0"/>
        <w:jc w:val="center"/>
        <w:tblLayout w:type="fixed"/>
        <w:tblLook w:firstColumn="1" w:firstRow="1" w:lastColumn="0" w:lastRow="0" w:noHBand="0" w:noVBand="1" w:val="04A0"/>
      </w:tblPr>
      <w:tblGrid>
        <w:gridCol w:w="1469"/>
        <w:gridCol w:w="4003"/>
        <w:gridCol w:w="4133"/>
      </w:tblGrid>
      <w:tr>
        <w:trPr>
          <w:cantSplit/>
          <w:tblHeader/>
        </w:trPr>
        <w:tc>
          <w:tcPr>
            <w:tcW w:type="dxa" w:w="146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Circumstance</w:t>
            </w:r>
          </w:p>
        </w:tc>
        <w:tc>
          <w:tcPr>
            <w:tcW w:type="dxa" w:w="400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Personal continuity</w:t>
            </w:r>
          </w:p>
        </w:tc>
        <w:tc>
          <w:tcPr>
            <w:tcW w:type="dxa" w:w="413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Community connection</w:t>
            </w:r>
          </w:p>
        </w:tc>
      </w:tr>
      <w:tr>
        <w:trPr>
          <w:cantSplit/>
        </w:trPr>
        <w:tc>
          <w:tcPr>
            <w:tcW w:type="dxa" w:w="146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Ordinary life</w:t>
            </w:r>
          </w:p>
        </w:tc>
        <w:tc>
          <w:tcPr>
            <w:tcW w:type="dxa" w:w="400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Interests, reflection and useful records.</w:t>
            </w:r>
          </w:p>
        </w:tc>
        <w:tc>
          <w:tcPr>
            <w:tcW w:type="dxa" w:w="413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Events, learning and shared work.</w:t>
            </w:r>
          </w:p>
        </w:tc>
      </w:tr>
      <w:tr>
        <w:trPr>
          <w:cantSplit/>
        </w:trPr>
        <w:tc>
          <w:tcPr>
            <w:tcW w:type="dxa" w:w="146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Preparedness</w:t>
            </w:r>
          </w:p>
        </w:tc>
        <w:tc>
          <w:tcPr>
            <w:tcW w:type="dxa" w:w="400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Chosen plans and unresolved questions.</w:t>
            </w:r>
          </w:p>
        </w:tc>
        <w:tc>
          <w:tcPr>
            <w:tcW w:type="dxa" w:w="413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People, sources and practical rehearsal.</w:t>
            </w:r>
          </w:p>
        </w:tc>
      </w:tr>
      <w:tr>
        <w:trPr>
          <w:cantSplit/>
        </w:trPr>
        <w:tc>
          <w:tcPr>
            <w:tcW w:type="dxa" w:w="146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Disruption</w:t>
            </w:r>
          </w:p>
        </w:tc>
        <w:tc>
          <w:tcPr>
            <w:tcW w:type="dxa" w:w="400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Relevant context and clear information.</w:t>
            </w:r>
          </w:p>
        </w:tc>
        <w:tc>
          <w:tcPr>
            <w:tcW w:type="dxa" w:w="413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Actual service updates and handovers.</w:t>
            </w:r>
          </w:p>
        </w:tc>
      </w:tr>
      <w:tr>
        <w:trPr>
          <w:cantSplit/>
        </w:trPr>
        <w:tc>
          <w:tcPr>
            <w:tcW w:type="dxa" w:w="146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Recovery</w:t>
            </w:r>
          </w:p>
        </w:tc>
        <w:tc>
          <w:tcPr>
            <w:tcW w:type="dxa" w:w="400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Changing priorities and next steps.</w:t>
            </w:r>
          </w:p>
        </w:tc>
        <w:tc>
          <w:tcPr>
            <w:tcW w:type="dxa" w:w="4133"/>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Follow-up, care and renewed participation.</w:t>
            </w:r>
          </w:p>
        </w:tc>
      </w:tr>
    </w:tbl>
    <w:p>
      <w:pPr>
        <w:spacing w:after="20"/>
      </w:pPr>
    </w:p>
    <w:p>
      <w:r>
        <w:t>A person who discovers that a written checklist helps them organise an unfamiliar task may retain that preference. Someone else finds that a conversation and demonstration work better. Those differences matter when a household prepares, a volunteer learns a role or a family returns to an interrupted routine.</w:t>
      </w:r>
    </w:p>
    <w:p>
      <w:pPr>
        <w:pStyle w:val="Heading2"/>
      </w:pPr>
      <w:r>
        <w:t>Keep public help easy to reach</w:t>
      </w:r>
    </w:p>
    <w:p>
      <w:r>
        <w:t>Public notices, service information and assistance pathways remain available through guest and assisted routes. A personal Aura is an optional way to make sense of relevant information. Association membership, personal profiling, biometrics and permission to use records for AI training are separate choices. [P1]</w:t>
      </w:r>
    </w:p>
    <w:p>
      <w:r>
        <w:t>An unfamiliar visitor may need one checked notice. A resident may want to carry an access question across several services. A steward may use an Aura to find a current procedure and prepare a handover. The depth of the relationship follows the person's purpose.</w:t>
      </w:r>
    </w:p>
    <w:p>
      <w:r>
        <w:t>The wider benefit sought is a person who learns through changing conditions and retains more useful understanding afterwards. Their Aura develops alongside them, while public organisations retain the responsibilities belonging to their services. The following sections explain how that relationship could become practical.</w:t>
      </w:r>
    </w:p>
    <w:p>
      <w:pPr>
        <w:pStyle w:val="Heading1"/>
      </w:pPr>
      <w:r>
        <w:t>Recording a minimum viable self</w:t>
      </w:r>
    </w:p>
    <w:p>
      <w:r>
        <w:t>Onboarding is the guided introduction through which a person meets Aura and decides what they want to develop. It records a minimum viable self: a first agreed representation of selected aspects of body, mind and life. The starting account is useful enough to begin with, while leaving room for uncertainty, missing information and later change. [P2-P3]</w:t>
      </w:r>
    </w:p>
    <w:p>
      <w:r>
        <w:t>A demonstration using sample material gives someone a way to understand the idea before supplying personal records. They see an observation, its source, an interpretation and a correction. They also see where records stay and how to retain a usable copy.</w:t>
      </w:r>
    </w:p>
    <w:p>
      <w:pPr>
        <w:pStyle w:val="Heading2"/>
      </w:pPr>
      <w:r>
        <w:t>Start with a real purpose</w:t>
      </w:r>
    </w:p>
    <w:p>
      <w:r>
        <w:t>A household might want help bringing a preparedness plan together. A carer might want a clearer way to explain essential support arrangements. A prospective steward may want to explore a practical role. These purposes guide the first conversation and the depth of information involved.</w:t>
      </w:r>
    </w:p>
    <w:tbl>
      <w:tblPr>
        <w:tblW w:type="auto" w:w="0"/>
        <w:jc w:val="center"/>
        <w:tblLayout w:type="fixed"/>
        <w:tblLook w:firstColumn="1" w:firstRow="1" w:lastColumn="0" w:lastRow="0" w:noHBand="0" w:noVBand="1" w:val="04A0"/>
      </w:tblPr>
      <w:tblGrid>
        <w:gridCol w:w="2520"/>
        <w:gridCol w:w="7085"/>
      </w:tblGrid>
      <w:tr>
        <w:trPr>
          <w:cantSplit/>
          <w:tblHeader/>
        </w:trPr>
        <w:tc>
          <w:tcPr>
            <w:tcW w:type="dxa" w:w="2520"/>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Part of the starting self</w:t>
            </w:r>
          </w:p>
        </w:tc>
        <w:tc>
          <w:tcPr>
            <w:tcW w:type="dxa" w:w="7085"/>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Useful context</w:t>
            </w:r>
          </w:p>
        </w:tc>
      </w:tr>
      <w:tr>
        <w:trPr>
          <w:cantSplit/>
        </w:trPr>
        <w:tc>
          <w:tcPr>
            <w:tcW w:type="dxa" w:w="2520"/>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Identity and present life</w:t>
            </w:r>
          </w:p>
        </w:tc>
        <w:tc>
          <w:tcPr>
            <w:tcW w:type="dxa" w:w="7085"/>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Chosen name, language, relationships and current circumstances.</w:t>
            </w:r>
          </w:p>
        </w:tc>
      </w:tr>
      <w:tr>
        <w:trPr>
          <w:cantSplit/>
        </w:trPr>
        <w:tc>
          <w:tcPr>
            <w:tcW w:type="dxa" w:w="2520"/>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Meaning and preferences</w:t>
            </w:r>
          </w:p>
        </w:tc>
        <w:tc>
          <w:tcPr>
            <w:tcW w:type="dxa" w:w="7085"/>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The person's own words for what helps and what matters.</w:t>
            </w:r>
          </w:p>
        </w:tc>
      </w:tr>
      <w:tr>
        <w:trPr>
          <w:cantSplit/>
        </w:trPr>
        <w:tc>
          <w:tcPr>
            <w:tcW w:type="dxa" w:w="2520"/>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Body and practical context</w:t>
            </w:r>
          </w:p>
        </w:tc>
        <w:tc>
          <w:tcPr>
            <w:tcW w:type="dxa" w:w="7085"/>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Relevant abilities, access or equipment needs, with their source.</w:t>
            </w:r>
          </w:p>
        </w:tc>
      </w:tr>
      <w:tr>
        <w:trPr>
          <w:cantSplit/>
        </w:trPr>
        <w:tc>
          <w:tcPr>
            <w:tcW w:type="dxa" w:w="2520"/>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Experience and capability</w:t>
            </w:r>
          </w:p>
        </w:tc>
        <w:tc>
          <w:tcPr>
            <w:tcW w:type="dxa" w:w="7085"/>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Earlier learning, useful skills and actual credentials.</w:t>
            </w:r>
          </w:p>
        </w:tc>
      </w:tr>
      <w:tr>
        <w:trPr>
          <w:cantSplit/>
        </w:trPr>
        <w:tc>
          <w:tcPr>
            <w:tcW w:type="dxa" w:w="2520"/>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Intentions and boundaries</w:t>
            </w:r>
          </w:p>
        </w:tc>
        <w:tc>
          <w:tcPr>
            <w:tcW w:type="dxa" w:w="7085"/>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Starting purpose, audiences and agreed uses of information.</w:t>
            </w:r>
          </w:p>
        </w:tc>
      </w:tr>
    </w:tbl>
    <w:p>
      <w:pPr>
        <w:spacing w:after="20"/>
      </w:pPr>
    </w:p>
    <w:p>
      <w:pPr>
        <w:pStyle w:val="Heading2"/>
      </w:pPr>
      <w:r>
        <w:t>Give records a source and a meaning</w:t>
      </w:r>
    </w:p>
    <w:p>
      <w:r>
        <w:t>A person's account, a document, a measurement and an AI interpretation retain their different origins. An uncertain recollection stays uncertain. Information supplied by another service keeps its author and date. The person reviews what Aura returns and changes what it has misunderstood.</w:t>
      </w:r>
    </w:p>
    <w:p>
      <w:r>
        <w:t>Optional photographs or body references have a stated purpose. They may support a developing personal twin, but an information enquiry has a much smaller requirement. Public disaster assistance remains available without completing a personal onboarding journey.</w:t>
      </w:r>
    </w:p>
    <w:p>
      <w:r>
        <w:t>A first account might reveal that someone wants to help with notices but feels unfamiliar with the equipment. That becomes a learning opportunity. It might also reveal that a planned contact is often away or that a preferred meeting place is difficult to reach. Those are questions to work through with the actual people involved.</w:t>
      </w:r>
    </w:p>
    <w:p>
      <w:r>
        <w:t>Onboarding continues through experience. After an exercise, the person may revise their preferences, add a skill or remove an assumption that no longer fits. The minimum viable self grows into a richer qualified self, with ownership and correction remaining part of the relationship.</w:t>
      </w:r>
    </w:p>
    <w:p>
      <w:pPr>
        <w:pStyle w:val="Heading1"/>
      </w:pPr>
      <w:r>
        <w:t>Self sovereign data and useful personal continuity</w:t>
      </w:r>
    </w:p>
    <w:p>
      <w:r>
        <w:t>People own their data and digital twins in Aura's proposed model. That ownership needs practical expression: understandable storage, chosen sharing, usable copies and a route to move the personal account elsewhere. A continuing relationship with an Aura is more valuable when it survives a change of device, provider or living situation. [P2]</w:t>
      </w:r>
    </w:p>
    <w:p>
      <w:r>
        <w:t>Public, private and secret describe different contexts for information. A public notice belongs on a shared display. A household reflection has a chosen audience. Closely held material receives more specific access boundaries. These are decisions about meaning and use, supported by working controls as the system develops.</w:t>
      </w:r>
    </w:p>
    <w:p>
      <w:pPr>
        <w:pStyle w:val="Heading2"/>
      </w:pPr>
      <w:r>
        <w:t>Plan continuity before it is tested</w:t>
      </w:r>
    </w:p>
    <w:p>
      <w:r>
        <w:t>Level Zero, shortened to L0, is the person's controlled private environment, including chosen devices, storage and services. A disaster plan for that environment considers loss of a phone, a damaged device, forgotten access details and a prolonged interruption to outside services. The useful question is what the person would still be able to retrieve and who they have chosen to assist.</w:t>
      </w:r>
    </w:p>
    <w:p>
      <w:r>
        <w:t>The current Matrix Studio browser edition includes project export, but it is not yet a protected personal vault. Its development notes identify further protection and a dedicated local store as future work. A disaster trial would use a setup tested for the particular records and people involved. [P3]</w:t>
      </w:r>
    </w:p>
    <w:p>
      <w:pPr>
        <w:pStyle w:val="Heading2"/>
      </w:pPr>
      <w:r>
        <w:t>Share for the actual task</w:t>
      </w:r>
    </w:p>
    <w:p>
      <w:r>
        <w:t>A service receiving a request may need a contact route and a practical description of support required. That does not imply access to a person's full memory collection or private conversations. The proposed transfer identifies its purpose, recipient and retained copies. Emergency sharing and records duties depend on the organisation, circumstances and applicable law. [R12-R13]</w:t>
      </w:r>
    </w:p>
    <w:p>
      <w:r>
        <w:t>The Office of the Australian Information Commissioner provides guidance for entities covered by the federal Privacy Act. Queensland's Office of the Information Commissioner explains the Queensland Privacy Principles for relevant public agencies. Their guidance gives the privacy work a real legal context; personal ownership also remains an explicit project design commitment.</w:t>
      </w:r>
    </w:p>
    <w:p>
      <w:r>
        <w:t>After disruption, people need to know which records remain useful, what has been copied and how to correct an error. Recovery includes restoring their ability to direct those records. The personal twin then supports the next chapter of life with a history the person is able to inspect and change.</w:t>
      </w:r>
    </w:p>
    <w:p>
      <w:pPr>
        <w:pStyle w:val="Heading1"/>
      </w:pPr>
      <w:r>
        <w:t>Everyday community life builds readiness</w:t>
      </w:r>
    </w:p>
    <w:p>
      <w:r>
        <w:t>A resilience network earns familiarity through useful ordinary days. Someone finds a local event, follows a learning opportunity, checks a service notice or helps maintain shared equipment. Hosts learn which information people ask for. Stewards practise updates and handovers while the consequences are manageable. [P1]</w:t>
      </w:r>
    </w:p>
    <w:p>
      <w:r>
        <w:t>This gives disaster capability an everyday home. A noticeboard used regularly is easier to recognise when conditions change. A maintainer who knows the equipment has useful experience to draw on. A person who has already met a local volunteer coordinator has a more familiar starting point when offering help.</w:t>
      </w:r>
    </w:p>
    <w:p>
      <w:pPr>
        <w:pStyle w:val="Heading2"/>
      </w:pPr>
      <w:r>
        <w:t>Give people a reason to return</w:t>
      </w:r>
    </w:p>
    <w:p>
      <w:r>
        <w:t>Music, sport, culture, shared meals and practical workshops bring different people into contact. Their value includes enjoyment in its own right. They also create opportunities to learn how a place works, meet hosts and notice who may appreciate support.</w:t>
      </w:r>
    </w:p>
    <w:p>
      <w:r>
        <w:t>An Aura might help someone connect those encounters with their own interests. A visitor discovers a talent for explaining things. A retiree enjoys mentoring a learner. A young adult finds that maintaining a public display suits their curiosity about technology. These experiences develop the qualified self through participation.</w:t>
      </w:r>
    </w:p>
    <w:p>
      <w:r>
        <w:t>The project links public notices, events and media with the proposed service. A cancelled event and an emergency facility activation are different records. Familiarity with the venue is useful, while its actual operating status still comes from the responsible organisation. [P1]</w:t>
      </w:r>
    </w:p>
    <w:p>
      <w:pPr>
        <w:pStyle w:val="Heading2"/>
      </w:pPr>
      <w:r>
        <w:t>Make upkeep a visible part of service</w:t>
      </w:r>
    </w:p>
    <w:p>
      <w:r>
        <w:t>Ordinary operation gives people a chance to discover a dim screen, an unclear message or an inaccessible approach. A useful maintenance record says who noticed the issue, who will act and what happened. Small corrections made before disruption contribute to a more dependable service.</w:t>
      </w:r>
    </w:p>
    <w:p>
      <w:r>
        <w:t>Continuity also depends on people having time to rest and someone else being ready to take over. Everyday rosters and relief practice help expose a service that depends too heavily on one enthusiast. The proposed operating model includes paid responsibilities and voluntary contribution according to the actual work.</w:t>
      </w:r>
    </w:p>
    <w:p>
      <w:r>
        <w:t>The aim is a community that enjoys using its shared capability and understands how it is cared for. Preparedness grows through that relationship, with the public service remaining useful between disasters rather than waiting for the next activation.</w:t>
      </w:r>
    </w:p>
    <w:p>
      <w:pPr>
        <w:pStyle w:val="Heading1"/>
      </w:pPr>
      <w:r>
        <w:t>Household preparedness with a useful next step</w:t>
      </w:r>
    </w:p>
    <w:p>
      <w:r>
        <w:t>Household preparedness starts with the people who live there and the circumstances they face. Get Ready Queensland organises its public guidance around understanding local risk, making a plan and preparing an emergency kit. It also provides routes to local dashboards, warnings and recovery support. [R3]</w:t>
      </w:r>
    </w:p>
    <w:p>
      <w:r>
        <w:t>Aura's proposed contribution is to help a person connect that guidance with their own account and work through a manageable next step. The official material keeps its source. The person decides what to discuss with their household and relevant support people.</w:t>
      </w:r>
    </w:p>
    <w:p>
      <w:pPr>
        <w:pStyle w:val="Heading2"/>
      </w:pPr>
      <w:r>
        <w:t>Turn a broad intention into a conversation</w:t>
      </w:r>
    </w:p>
    <w:p>
      <w:r>
        <w:t>Someone might say, "I know we need a plan, but ours is scattered across messages and bits of paper." An Aura would help identify the existing records, prepare questions and organise the household's chosen version. A missing answer remains a question for the person or provider who knows it.</w:t>
      </w:r>
    </w:p>
    <w:p>
      <w:r>
        <w:t>The first useful task may be checking contact details, finding the relevant local information or talking through who is usually home. Another household begins with pets, a support arrangement or a business that shares the property. The sequence follows their circumstances.</w:t>
      </w:r>
    </w:p>
    <w:p>
      <w:r>
        <w:t>A person may choose reminders or a printed copy. Any automatic reminder function has its own implementation and test; the current personal browser tools do not yet provide dependable background notifications. Ordinary calendars and human follow-up remain practical starting arrangements. [P3]</w:t>
      </w:r>
    </w:p>
    <w:p>
      <w:pPr>
        <w:pStyle w:val="Heading2"/>
      </w:pPr>
      <w:r>
        <w:t>Rehearse the parts that depend on others</w:t>
      </w:r>
    </w:p>
    <w:p>
      <w:r>
        <w:t>A contact is more useful when the person has actually agreed to the role. A service arrangement is more useful when its provider has explained what changes during disruption. The household's review distinguishes confirmed arrangements from possibilities still being explored.</w:t>
      </w:r>
    </w:p>
    <w:p>
      <w:r>
        <w:t>An exercise might reveal that everyone assumed someone else had a copy of the plan. Another discovers that an important document is stored behind an account only one person uses. These are examples of gaps to resolve before relying on the arrangement.</w:t>
      </w:r>
    </w:p>
    <w:p>
      <w:pPr>
        <w:pStyle w:val="Heading2"/>
      </w:pPr>
      <w:r>
        <w:t>Learn without turning preparation into a burden</w:t>
      </w:r>
    </w:p>
    <w:p>
      <w:r>
        <w:t>The qualified self develops as someone recognises what helps them follow through. A short conversation may work better than a large checklist. A shared task may be easier than working alone. Their own explanation helps the Aura adapt its support.</w:t>
      </w:r>
    </w:p>
    <w:p>
      <w:r>
        <w:t>The desired progress is practical: a household understands its local information routes, has discussed its choices and knows the next unresolved question. Preparation then becomes a continuing part of life, updated as people, services and circumstances change.</w:t>
      </w:r>
    </w:p>
    <w:p>
      <w:pPr>
        <w:pStyle w:val="Heading1"/>
      </w:pPr>
      <w:r>
        <w:t>Inclusive preparedness across different lives</w:t>
      </w:r>
    </w:p>
    <w:p>
      <w:r>
        <w:t>People already use considerable knowledge to manage disability, ageing, care responsibilities and changing health needs. Inclusive preparedness begins by respecting that expertise. The person explains what makes daily life work and which parts depend on other people, equipment, transport or services.</w:t>
      </w:r>
    </w:p>
    <w:p>
      <w:r>
        <w:t>Get Ready Queensland promotes person-centred emergency preparedness and provides resources developed with people with disability. The approach brings the person and their support network into planning around actual capabilities and support requirements. It is a useful reference for the proposed Aura relationship. [R7]</w:t>
      </w:r>
    </w:p>
    <w:p>
      <w:pPr>
        <w:pStyle w:val="Heading2"/>
      </w:pPr>
      <w:r>
        <w:t>Preserve the person's own explanation</w:t>
      </w:r>
    </w:p>
    <w:p>
      <w:r>
        <w:t>Someone may prefer plain text, captions, speech, a demonstration or time to discuss a decision. Another person wants a support worker involved in part of the conversation. Their Aura would retain the chosen wording and the boundaries around sharing it.</w:t>
      </w:r>
    </w:p>
    <w:p>
      <w:r>
        <w:t>An access requirement has practical consequences. A planned activity may depend on seating, a suitable entrance or a particular way of communicating. A mobility or equipment need raises questions for the relevant provider. An AI interpretation is returned to the person instead of quietly becoming an assumed limitation.</w:t>
      </w:r>
    </w:p>
    <w:p>
      <w:r>
        <w:t>For children and teens, the introduction would fit the person's age, understanding and actual care arrangements. Family, carers and responsible services have their relevant roles. A public learning activity and a private personal record involve different permissions and responsibilities.</w:t>
      </w:r>
    </w:p>
    <w:p>
      <w:pPr>
        <w:pStyle w:val="Heading2"/>
      </w:pPr>
      <w:r>
        <w:t>Plan around continuing support</w:t>
      </w:r>
    </w:p>
    <w:p>
      <w:r>
        <w:t>A changed roster or interrupted delivery may matter more to one household than the loss of a particular app. The proposed system helps make that dependency visible and prepare a clear enquiry. Confirmation comes from the service providing the support.</w:t>
      </w:r>
    </w:p>
    <w:p>
      <w:r>
        <w:t>The same principle applies to people living alone, visitors unfamiliar with local services and households using several languages. Guest access and human assistance offer ways into public information without requiring an extensive personal profile.</w:t>
      </w:r>
    </w:p>
    <w:p>
      <w:pPr>
        <w:pStyle w:val="Heading2"/>
      </w:pPr>
      <w:r>
        <w:t>Let participation change over time</w:t>
      </w:r>
    </w:p>
    <w:p>
      <w:r>
        <w:t>Someone recovering from an event may want more assistance for a period and greater independence later. Their account stays open to that change. A previous arrangement helps frame the next question without determining the answer for every future encounter.</w:t>
      </w:r>
    </w:p>
    <w:p>
      <w:r>
        <w:t>A useful trial would involve people with varied access needs from its design stage. They would judge whether the proposed service is understandable, usable and worth continuing. Their experience informs the interface and the human arrangements around it, with practical barriers recorded for improvement.</w:t>
      </w:r>
    </w:p>
    <w:p>
      <w:pPr>
        <w:pStyle w:val="Heading1"/>
      </w:pPr>
      <w:r>
        <w:t>Country local knowledge and shared decisions</w:t>
      </w:r>
    </w:p>
    <w:p>
      <w:r>
        <w:t>Minjerribah is Quandamooka Country. A resilience proposal beginning here enters a place with living relationships, cultural knowledge, land responsibilities and existing organisations. Those relationships shape what is useful, what is welcome and who has the authority to share particular material. [R5]</w:t>
      </w:r>
    </w:p>
    <w:p>
      <w:r>
        <w:t>Local knowledge includes much more than a map. People know how visitors arrive, which services are used regularly, who maintains equipment and which community connections already work. That experience belongs in the design conversation alongside professional and technical knowledge.</w:t>
      </w:r>
    </w:p>
    <w:p>
      <w:pPr>
        <w:pStyle w:val="Heading2"/>
      </w:pPr>
      <w:r>
        <w:t>Invite participation through the actual relationships</w:t>
      </w:r>
    </w:p>
    <w:p>
      <w:r>
        <w:t>A cultural host may identify a useful public account while keeping other knowledge restricted. A community organisation may want to discuss a service problem before considering technology. A resident may contribute an observation about access or maintenance. Those are different kinds of involvement, with their own terms.</w:t>
      </w:r>
    </w:p>
    <w:p>
      <w:r>
        <w:t>The project recognises that relevant cultural custodians determine conditions for their material and participation. A public source is not an automatic invitation to copy it into a personal model or publish a reconstructed account. The practical arrangement follows the people holding the relevant rights and responsibilities. [P1]</w:t>
      </w:r>
    </w:p>
    <w:p>
      <w:r>
        <w:t>An Aura could help a participant prepare questions, retain agreed notes and follow the reason for a decision. It would preserve the difference between their personal reflection and knowledge shared by another person. That distinction matters when records move into a place twin, training material or a public display.</w:t>
      </w:r>
    </w:p>
    <w:p>
      <w:pPr>
        <w:pStyle w:val="Heading2"/>
      </w:pPr>
      <w:r>
        <w:t>Build on community strengths</w:t>
      </w:r>
    </w:p>
    <w:p>
      <w:r>
        <w:t>An island service may draw on local transport knowledge, clubs, trades, carers, artists and people experienced in caring for shared places. Early discussions would help identify willing contributors and the tasks they find worthwhile. Participation is an invitation, with room to disagree or suggest a better approach.</w:t>
      </w:r>
    </w:p>
    <w:p>
      <w:r>
        <w:t>The National Principles for Disaster Recovery recognise the importance of community context, connections to Country and community-led decisions. They support a recovery process shaped with affected people over time. [R8]</w:t>
      </w:r>
    </w:p>
    <w:p>
      <w:r>
        <w:t>The proposal's purpose is to add useful personal intelligence and shared capability to those relationships. A successful local beginning would show that the people hosting it have helped shape both the experience and the decisions about how it grows.</w:t>
      </w:r>
    </w:p>
    <w:p>
      <w:pPr>
        <w:pStyle w:val="Heading1"/>
      </w:pPr>
      <w:r>
        <w:t>Public kiosks as familiar community doorways</w:t>
      </w:r>
    </w:p>
    <w:p>
      <w:r>
        <w:t>A kiosk is a public way into information and agreed services. In this proposal it complements phones, printed material and human assistance. Someone might use it to find a notice, understand a service update or explore a short lesson. Their continuing personal Aura would have its own storage and privacy arrangements.</w:t>
      </w:r>
    </w:p>
    <w:p>
      <w:r>
        <w:t>The repository develops three useful forms: a sheltered demonstrator, a fixed outdoor installation and a portable continuity kit. They address different settings and levels of exposure. Drawings, site discussions and measured tests are the next steps towards deciding where each form is useful. [P6]</w:t>
      </w:r>
    </w:p>
    <w:p>
      <w:pPr>
        <w:pStyle w:val="Heading2"/>
      </w:pPr>
      <w:r>
        <w:t>Make the first encounter understandable</w:t>
      </w:r>
    </w:p>
    <w:p>
      <w:r>
        <w:t>A visitor sees what information is available, who issued it and when it was checked. Guest use is straightforward. A personal session explains what records it uses and how the session ends, including what is cleared from a shared device.</w:t>
      </w:r>
    </w:p>
    <w:p>
      <w:r>
        <w:t>The interface may use text, speech, maps or extended reality, shortened to XR. XR includes digital information added to a view of a real place and immersive environments used for exploration or practice. The choice follows the task and the person, with an ordinary readable display remaining useful.</w:t>
      </w:r>
    </w:p>
    <w:p>
      <w:r>
        <w:t>Aura's nested horn-torus geometry is one proposed human-readable way to organise connected personal information. It is a view into the underlying relationships, alongside lists, conversations and maps. A public notice does not require someone to learn that geometry first. [P2]</w:t>
      </w:r>
    </w:p>
    <w:p>
      <w:pPr>
        <w:pStyle w:val="Heading2"/>
      </w:pPr>
      <w:r>
        <w:t>Develop equipment for its actual site</w:t>
      </w:r>
    </w:p>
    <w:p>
      <w:r>
        <w:t>An outdoor installation has a real maintenance and exposure problem: access, heat, salt, rain, cleaning, power and repair. The all-weather design work treats operation, survival, transport and return to service as different conditions to test. A concept illustration is a starting idea rather than a weather-performance result. [P6]</w:t>
      </w:r>
    </w:p>
    <w:p>
      <w:r>
        <w:t>A sheltered demonstration helps people test the experience before a more demanding installation is considered. A portable kit offers another proposed way to restore a public information point when a usual location is unavailable. Each needs a host, suitable people and a support arrangement.</w:t>
      </w:r>
    </w:p>
    <w:p>
      <w:r>
        <w:t>The aim is dependable access to useful information and help pathways. The kiosk succeeds through what people are able to understand and do, supported by equipment and operating relationships that have been demonstrated for the setting.</w:t>
      </w:r>
    </w:p>
    <w:p>
      <w:pPr>
        <w:pStyle w:val="Heading1"/>
      </w:pPr>
      <w:r>
        <w:t>Power communications and continuity</w:t>
      </w:r>
    </w:p>
    <w:p>
      <w:r>
        <w:t>Digital resilience depends on the physical circumstances around a service. A capable personal AI is less useful when its device has no power, its information is old or its next service is unreachable. The proposed network therefore develops essential local functions alongside richer computing and outside connections. [P1, P6]</w:t>
      </w:r>
    </w:p>
    <w:p>
      <w:r>
        <w:t>The local starting experience includes my firsthand account of grid-power interruptions after Cyclone Alfred: roughly five to nine days depending on location, including nine days at Myora Caravan Park. This is a personal account retained in the project record, separate from official outage measurements. It gives the design a concrete reason to examine longer interruptions. [P1]</w:t>
      </w:r>
    </w:p>
    <w:p>
      <w:pPr>
        <w:pStyle w:val="Heading2"/>
      </w:pPr>
      <w:r>
        <w:t>Keep an essential service available</w:t>
      </w:r>
    </w:p>
    <w:p>
      <w:r>
        <w:t>The design direction is to store an agreed edition of useful information locally and make its age visible. When an outside connection is unavailable, a person would still be able to read the material the device actually holds. A saved notice remains a saved notice until a current update is received.</w:t>
      </w:r>
    </w:p>
    <w:p>
      <w:r>
        <w:t>Power planning starts with the service required and measured demand. A public information function and a demanding AI or simulation task have different energy needs. Their operation would be tested separately so a richer function does not silently consume the reserve intended for essential information.</w:t>
      </w:r>
    </w:p>
    <w:p>
      <w:r>
        <w:t>Some communications paths suit short updates and acknowledgements; others support larger transfers or richer media. The network design would compare actual coverage, capacity, power use and repair arrangements. A proposed connection becomes part of readiness through a demonstrated installation and a responsible operator.</w:t>
      </w:r>
    </w:p>
    <w:p>
      <w:pPr>
        <w:pStyle w:val="Heading2"/>
      </w:pPr>
      <w:r>
        <w:t>Explain what changes when a connection fails</w:t>
      </w:r>
    </w:p>
    <w:p>
      <w:r>
        <w:t>A device may save work locally without delivering it elsewhere. A receiving service may remain available while one public terminal is disconnected. An official disaster activation is also separate from the state of a particular kiosk. The interface needs to show those differences in ordinary language.</w:t>
      </w:r>
    </w:p>
    <w:p>
      <w:r>
        <w:t>Restoration includes checking waiting messages, corrections and unresolved work. The next steward needs to know what happened during the interruption and which tasks still need attention. Repeated messages and conflicting copies are part of the exercise, not details left for a real event.</w:t>
      </w:r>
    </w:p>
    <w:p>
      <w:r>
        <w:t>The intended outcome is a useful service under stated conditions, with measured endurance and a practical way to recover. It is a development target to demonstrate, supported by maintainers, spares and continuing resources.</w:t>
      </w:r>
    </w:p>
    <w:p>
      <w:pPr>
        <w:pStyle w:val="Heading1"/>
      </w:pPr>
      <w:r>
        <w:t>Warnings that keep their source and meaning</w:t>
      </w:r>
    </w:p>
    <w:p>
      <w:r>
        <w:t>A warning has an issuer, an affected area, a time and an action it asks people to consider or take. Aura's proposed role is to help someone find and understand that information in relation to their circumstances. The original message remains identifiable beside any AI explanation.</w:t>
      </w:r>
    </w:p>
    <w:p>
      <w:r>
        <w:t>Queensland uses the Australian Warning System, a national approach with the levels Advice, Watch and Act, and Emergency Warning. Its hazard icons and calls to action support consistent public communication. Bureau of Meteorology warnings retain their meteorological purpose alongside messages issued by the relevant warning authorities. [R6]</w:t>
      </w:r>
    </w:p>
    <w:p>
      <w:pPr>
        <w:pStyle w:val="Heading2"/>
      </w:pPr>
      <w:r>
        <w:t>Preserve the information that affects a decision</w:t>
      </w:r>
    </w:p>
    <w:p>
      <w:r>
        <w:t>A useful display identifies where the message came from and when it was issued or last checked. A correction or replacement is linked to the earlier version. If the device is showing a stored copy, that status remains visible.</w:t>
      </w:r>
    </w:p>
    <w:p>
      <w:r>
        <w:t>The proposed Aura might explain unfamiliar wording or help a person find the relevant part of the issuing service's material. It would keep the source action clear, including uncertainty about whether a newer message exists. Personalisation needs testing for comprehension and faithful meaning before it is relied on in a live service.</w:t>
      </w:r>
    </w:p>
    <w:p>
      <w:r>
        <w:t>An observation from a community member has another role. It may identify a problem to report, but its source and review status differ from an official warning. A predicted scenario in a place twin is different again. Keeping those meanings distinct helps people judge what they are looking at.</w:t>
      </w:r>
    </w:p>
    <w:p>
      <w:pPr>
        <w:pStyle w:val="Heading2"/>
      </w:pPr>
      <w:r>
        <w:t>Use several ways to reach people</w:t>
      </w:r>
    </w:p>
    <w:p>
      <w:r>
        <w:t>A readable public display, printed material, radio and human assistance may each matter when another channel is unavailable. The proposed service would develop with the information owners and local operators who maintain those routes. Access includes the language and format in which a person is able to understand the message.</w:t>
      </w:r>
    </w:p>
    <w:p>
      <w:r>
        <w:t>A household exercise offers a way to ask whether people find the right source and understand what remains unresolved. It also reveals whether an interface hides the message behind too many steps or gives a reassuring impression that its stored information does not support.</w:t>
      </w:r>
    </w:p>
    <w:p>
      <w:r>
        <w:t>The goal is a person better able to follow the issuing service's information and ask a useful question. The warning function grows through demonstrated accuracy and comprehension, with public issuing responsibility remaining clear.</w:t>
      </w:r>
    </w:p>
    <w:p>
      <w:pPr>
        <w:pStyle w:val="Heading1"/>
      </w:pPr>
      <w:r>
        <w:t>Help requests with a visible next owner</w:t>
      </w:r>
    </w:p>
    <w:p>
      <w:r>
        <w:t>Describing a need and receiving help are different steps. The proposed Aura would help a person prepare a clear request, choose the information to share and see what has actually happened to it. That requires a receiving service willing and equipped to handle the particular request. [P7-P8]</w:t>
      </w:r>
    </w:p>
    <w:p>
      <w:r>
        <w:t>A public kiosk would offer request categories through those agreed relationships. It is not enough for a form to accept words and display a success message. The person needs an accurate account of delivery and responsibility, including when a connection is unavailable.</w:t>
      </w:r>
    </w:p>
    <w:p>
      <w:pPr>
        <w:pStyle w:val="Heading2"/>
      </w:pPr>
      <w:r>
        <w:t>Make the handover understandable</w:t>
      </w:r>
    </w:p>
    <w:tbl>
      <w:tblPr>
        <w:tblW w:type="auto" w:w="0"/>
        <w:jc w:val="center"/>
        <w:tblLayout w:type="fixed"/>
        <w:tblLook w:firstColumn="1" w:firstRow="1" w:lastColumn="0" w:lastRow="0" w:noHBand="0" w:noVBand="1" w:val="04A0"/>
      </w:tblPr>
      <w:tblGrid>
        <w:gridCol w:w="2304"/>
        <w:gridCol w:w="7301"/>
      </w:tblGrid>
      <w:tr>
        <w:trPr>
          <w:cantSplit/>
          <w:tblHeader/>
        </w:trPr>
        <w:tc>
          <w:tcPr>
            <w:tcW w:type="dxa" w:w="2304"/>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Visible state</w:t>
            </w:r>
          </w:p>
        </w:tc>
        <w:tc>
          <w:tcPr>
            <w:tcW w:type="dxa" w:w="7301"/>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What the person knows</w:t>
            </w:r>
          </w:p>
        </w:tc>
      </w:tr>
      <w:tr>
        <w:trPr>
          <w:cantSplit/>
        </w:trPr>
        <w:tc>
          <w:tcPr>
            <w:tcW w:type="dxa" w:w="2304"/>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Saved locally</w:t>
            </w:r>
          </w:p>
        </w:tc>
        <w:tc>
          <w:tcPr>
            <w:tcW w:type="dxa" w:w="7301"/>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The device holds the request; outside delivery is still pending.</w:t>
            </w:r>
          </w:p>
        </w:tc>
      </w:tr>
      <w:tr>
        <w:trPr>
          <w:cantSplit/>
        </w:trPr>
        <w:tc>
          <w:tcPr>
            <w:tcW w:type="dxa" w:w="2304"/>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Delivered</w:t>
            </w:r>
          </w:p>
        </w:tc>
        <w:tc>
          <w:tcPr>
            <w:tcW w:type="dxa" w:w="7301"/>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The receiving system has recorded delivery.</w:t>
            </w:r>
          </w:p>
        </w:tc>
      </w:tr>
      <w:tr>
        <w:trPr>
          <w:cantSplit/>
        </w:trPr>
        <w:tc>
          <w:tcPr>
            <w:tcW w:type="dxa" w:w="2304"/>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Accepted for review</w:t>
            </w:r>
          </w:p>
        </w:tc>
        <w:tc>
          <w:tcPr>
            <w:tcW w:type="dxa" w:w="7301"/>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A receiving service has taken responsibility for reviewing it.</w:t>
            </w:r>
          </w:p>
        </w:tc>
      </w:tr>
      <w:tr>
        <w:trPr>
          <w:cantSplit/>
        </w:trPr>
        <w:tc>
          <w:tcPr>
            <w:tcW w:type="dxa" w:w="2304"/>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Assigned</w:t>
            </w:r>
          </w:p>
        </w:tc>
        <w:tc>
          <w:tcPr>
            <w:tcW w:type="dxa" w:w="7301"/>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A responsible service has allocated a next action.</w:t>
            </w:r>
          </w:p>
        </w:tc>
      </w:tr>
      <w:tr>
        <w:trPr>
          <w:cantSplit/>
        </w:trPr>
        <w:tc>
          <w:tcPr>
            <w:tcW w:type="dxa" w:w="2304"/>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Outcome recorded</w:t>
            </w:r>
          </w:p>
        </w:tc>
        <w:tc>
          <w:tcPr>
            <w:tcW w:type="dxa" w:w="7301"/>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The action and remaining needs are available for review.</w:t>
            </w:r>
          </w:p>
        </w:tc>
      </w:tr>
    </w:tbl>
    <w:p>
      <w:pPr>
        <w:spacing w:after="20"/>
      </w:pPr>
    </w:p>
    <w:p>
      <w:r>
        <w:t>The wording matters. A request saved on a disconnected device has not reached an outside team. A receipt does not automatically mean a resource has been allocated. A person seeing that distinction is better placed to understand the next step and seek another available route where necessary.</w:t>
      </w:r>
    </w:p>
    <w:p>
      <w:pPr>
        <w:pStyle w:val="Heading2"/>
      </w:pPr>
      <w:r>
        <w:t>Share the minimum useful account</w:t>
      </w:r>
    </w:p>
    <w:p>
      <w:r>
        <w:t>A request might include the need, relevant location, a chosen contact route and a practical detail affecting support. A person's whole digital twin has a much broader purpose. Their Aura would prepare the task account for review and preserve which information was actually sent.</w:t>
      </w:r>
    </w:p>
    <w:p>
      <w:r>
        <w:t>The receiving organisation identifies who reviews the request and what happens if its usual worker is unavailable. A relief handover carries unresolved needs forward. Changes, duplicate messages and a corrected contact detail are part of the same continuing record.</w:t>
      </w:r>
    </w:p>
    <w:p>
      <w:r>
        <w:t>The first demonstration would use sample requests and sample recipients. It would test misleading acknowledgements, interrupted delivery and a handover between people. Actual public use follows an agreed receiving pathway and a service demonstrated for that role. [P7]</w:t>
      </w:r>
    </w:p>
    <w:p>
      <w:r>
        <w:t>The system's value is follow-through. People see whether their request is waiting, has a next owner or has an outcome to review. Service teams receive clearer information and retain a record that another worker is able to understand. Emergency services continue through their established contact and response arrangements.</w:t>
      </w:r>
    </w:p>
    <w:p>
      <w:pPr>
        <w:pStyle w:val="Heading1"/>
      </w:pPr>
      <w:r>
        <w:t>Place twins memory palaces and rehearsal</w:t>
      </w:r>
    </w:p>
    <w:p>
      <w:r>
        <w:t>A digital twin represents a person, place or system using selected records and assumptions. A place twin might connect a dated map, photographs, access information and a proposed scenario. Its usefulness depends on what it represents accurately and what remains unknown. [P1-P2]</w:t>
      </w:r>
    </w:p>
    <w:p>
      <w:r>
        <w:t>A personal memory palace organises experiences around meaningful places. A familiar room, community hall or path becomes a way to find a story, an object or a remembered skill. That adds a personal relationship to a location alongside the operational records used by a service.</w:t>
      </w:r>
    </w:p>
    <w:p>
      <w:pPr>
        <w:pStyle w:val="Heading2"/>
      </w:pPr>
      <w:r>
        <w:t>Explore a place before relying on it</w:t>
      </w:r>
    </w:p>
    <w:p>
      <w:r>
        <w:t>A desktop or XR rehearsal might help someone understand an unfamiliar venue, practise finding a public information point or discuss an access question. The model identifies the source and date of its material. A host confirms the features and operating arrangements relevant to the actual visit.</w:t>
      </w:r>
    </w:p>
    <w:p>
      <w:r>
        <w:t>The disaster project proposes place exercises that explore changes such as loss of a location, interrupted transport or a communication gap. A scenario is a deliberate set of assumptions for learning. Its timeline and results are recorded separately from observations made at the real site. [P7]</w:t>
      </w:r>
    </w:p>
    <w:p>
      <w:r>
        <w:t>A person could compare a rehearsal with what they experienced during a practical exercise. They may discover that a visual preview helped, that an instruction was unclear or that another form of explanation worked better. Their reflection qualifies the account and guides the next version.</w:t>
      </w:r>
    </w:p>
    <w:p>
      <w:pPr>
        <w:pStyle w:val="Heading2"/>
      </w:pPr>
      <w:r>
        <w:t>Preserve meaning through recovery</w:t>
      </w:r>
    </w:p>
    <w:p>
      <w:r>
        <w:t>When a place is damaged or changed, chosen photographs, stories and records may help someone retain its significance. A personal collection also offers a way to reconnect with earlier routines and people. These are supportive possibilities to develop with the person, without promising a particular clinical outcome.</w:t>
      </w:r>
    </w:p>
    <w:p>
      <w:r>
        <w:t>Private homes, other people's stories and restricted cultural material retain their chosen access conditions. A generated reconstruction is labelled as an illustration. It does not become an authentic memory or an accepted record of the event simply because it looks convincing.</w:t>
      </w:r>
    </w:p>
    <w:p>
      <w:r>
        <w:t>The wider aim is continuity between place, experience and learning. A person retains what matters to them while service teams use the dated information appropriate to their work. New observations improve the twin, with earlier versions still identifiable where their history is useful.</w:t>
      </w:r>
    </w:p>
    <w:p>
      <w:pPr>
        <w:pStyle w:val="Heading1"/>
      </w:pPr>
      <w:r>
        <w:t>Just in time learning for the task at hand</w:t>
      </w:r>
    </w:p>
    <w:p>
      <w:r>
        <w:t>Just-in-time learning brings a useful explanation into the moment a person needs it. In Aura's proposal, it connects the learner's chosen context with a short lesson, an approved procedure or a demonstration for the actual task. The person then practises, receives feedback and carries that experience into their developing self account. [P1]</w:t>
      </w:r>
    </w:p>
    <w:p>
      <w:r>
        <w:t>The approach gives practical learning a place in ordinary service. A new steward may learn how to find a current notice, record an equipment problem or hand unfinished work to a relief worker. The learning item identifies what the task involves and where another person's expertise is needed.</w:t>
      </w:r>
    </w:p>
    <w:p>
      <w:pPr>
        <w:pStyle w:val="Heading2"/>
      </w:pPr>
      <w:r>
        <w:t>Make the lesson fit the learner</w:t>
      </w:r>
    </w:p>
    <w:p>
      <w:r>
        <w:t>Someone may want plain text and a checklist. Another person learns through speech, a worked example or an XR rehearsal. An Aura would help choose the explanation and ask what remains unclear. A confident answer from the AI is still examined against the relevant source and the task.</w:t>
      </w:r>
    </w:p>
    <w:p>
      <w:r>
        <w:t>One useful demonstration is a notice update. The learner finds the approved source, checks which display the update concerns, prepares the change and follows the host's publishing process. A reviewer checks the result on the actual display. The lesson ends with an observable outcome and a record of what helped.</w:t>
      </w:r>
    </w:p>
    <w:p>
      <w:r>
        <w:t>This example is deliberately different from electrical repair, medical care or rescue. Work requiring qualified people connects to their actual procedures, credentials and supervision. A lesson or successful simulation does not appoint a person to a professional role.</w:t>
      </w:r>
    </w:p>
    <w:p>
      <w:pPr>
        <w:pStyle w:val="Heading2"/>
      </w:pPr>
      <w:r>
        <w:t>Build learning into a handover</w:t>
      </w:r>
    </w:p>
    <w:p>
      <w:r>
        <w:t>A returning worker may need to know what changed since their last shift. A relief steward needs the current procedure and unresolved issues. Short, maintained learning items make that information easier to find than an archive of old messages.</w:t>
      </w:r>
    </w:p>
    <w:p>
      <w:r>
        <w:t>Feedback matters in both directions. A person identifies an explanation that failed to help; a practitioner identifies a step that has changed. The next edition retains the correction and its source. The personal Aura learns about the person's experience while the shared procedure remains under its responsible owner.</w:t>
      </w:r>
    </w:p>
    <w:p>
      <w:r>
        <w:t>The intended benefit is growing practical judgement. People learn to ask useful questions, recognise the limits of a task and use increasingly capable intelligence with understanding. Their progress is demonstrated through real work and feedback, with room to keep learning over time.</w:t>
      </w:r>
    </w:p>
    <w:p>
      <w:pPr>
        <w:pStyle w:val="Heading1"/>
      </w:pPr>
      <w:r>
        <w:t>Try Everything through supported useful work</w:t>
      </w:r>
    </w:p>
    <w:p>
      <w:r>
        <w:t>Try Everything Once is a proposal for supported opportunities to experience different kinds of work and discover where a person wants to develop. Within Mutual Futures, it connects learning, mentoring, fair transitions and the wider AI and automation economy. It gives people a practical way to explore capability as roles change. [P5]</w:t>
      </w:r>
    </w:p>
    <w:p>
      <w:r>
        <w:t>Disaster resilience offers a varied everyday setting for that exploration. Public information, equipment care, accessible communication, food coordination, record keeping and community events each involve different strengths. People bring experience from trades, care, driving, arts, administration, technology and ordinary community life.</w:t>
      </w:r>
    </w:p>
    <w:p>
      <w:pPr>
        <w:pStyle w:val="Heading2"/>
      </w:pPr>
      <w:r>
        <w:t>Start with a role worth trying</w:t>
      </w:r>
    </w:p>
    <w:p>
      <w:r>
        <w:t>A prospective participant might first observe a task and talk with its host. A short supported opportunity would establish the work, time, learning aim and actual terms. The person then reviews what they enjoyed, what was difficult and whether they want another experience.</w:t>
      </w:r>
    </w:p>
    <w:p>
      <w:r>
        <w:t>A learner may discover that they prefer explaining a service to repairing equipment. A retiree may enjoy mentoring someone who is beginning. A person returning to work may want a gradual introduction. Their Aura would connect those observations with earlier experience and help prepare a next enquiry.</w:t>
      </w:r>
    </w:p>
    <w:p>
      <w:r>
        <w:t>The wider pathway includes paid, supervised work exploration. Voluntary community contribution has its own arrangements. The Fair Work Ombudsman explains that the actual relationship determines employment obligations; calling work a trial or volunteering does not settle its status. C-Hours remain separate from pay. [R11]</w:t>
      </w:r>
    </w:p>
    <w:p>
      <w:pPr>
        <w:pStyle w:val="Heading2"/>
      </w:pPr>
      <w:r>
        <w:t>Develop capability before an emergency</w:t>
      </w:r>
    </w:p>
    <w:p>
      <w:r>
        <w:t>Ordinary rosters and exercises provide a setting to practise a role, learn its limits and meet the people involved. Experience is recorded with its source, including any formal credential or assessment. Hosts judge readiness for the actual tasks they offer.</w:t>
      </w:r>
    </w:p>
    <w:p>
      <w:r>
        <w:t>Someone's growing confidence does not mean they want every role. Choosing a different direction is useful learning too. The qualified self becomes richer through those choices, with personal ambition and present circumstances both given room.</w:t>
      </w:r>
    </w:p>
    <w:p>
      <w:r>
        <w:t>The aim is a broader community of people with useful experience and relationships, supported by fair work arrangements. As AI takes on more administrative tasks, the pathway offers a way to invest human time in learning, care and practical stewardship that people find worthwhile.</w:t>
      </w:r>
    </w:p>
    <w:p>
      <w:pPr>
        <w:pStyle w:val="Heading1"/>
      </w:pPr>
      <w:r>
        <w:t>Civic stewardship and the proposed co operative</w:t>
      </w:r>
    </w:p>
    <w:p>
      <w:r>
        <w:t>Civic stewardship means voluntary care for shared community life and the capability it depends on. In this proposal, it includes keeping public information useful, maintaining equipment, helping people learn and carrying responsibilities through a handover. It grows through chosen participation and dependable service.</w:t>
      </w:r>
    </w:p>
    <w:p>
      <w:r>
        <w:t>The proposed operating intermediary is ready SET Co-op, the ready sustainable employment and training cooperative. The repository connects this direction with the kiosk network, community computing and shared media. Formation, membership, staffing, host arrangements and continuing resources remain work to develop with interested people. [P1, P11]</w:t>
      </w:r>
    </w:p>
    <w:p>
      <w:pPr>
        <w:pStyle w:val="Heading2"/>
      </w:pPr>
      <w:r>
        <w:t>Give a useful role a clear home</w:t>
      </w:r>
    </w:p>
    <w:p>
      <w:r>
        <w:t>A service needs someone responsible for its ordinary operation and someone ready to take over. That includes the quiet work of checking records, organising maintenance and making an unanswered question visible. Paid roles and voluntary contributions would be arranged around the actual service.</w:t>
      </w:r>
    </w:p>
    <w:p>
      <w:r>
        <w:t>The proposed council, team and committee model supports discussion, preparation of options and a record of decisions. Those community bodies have their own purpose. The statutory Local Disaster Management Group and public agencies retain the responsibilities established through Queensland's arrangements. [R4]</w:t>
      </w:r>
    </w:p>
    <w:p>
      <w:r>
        <w:t>A participant's Aura might help prepare a meeting question, compare sources or find a past decision. Recording and transcription follow the actual meeting arrangement. A shared record retains the decision, its reasons, the person taking the next action and a way to review progress.</w:t>
      </w:r>
    </w:p>
    <w:p>
      <w:pPr>
        <w:pStyle w:val="Heading2"/>
      </w:pPr>
      <w:r>
        <w:t>Keep stewardship open to different people</w:t>
      </w:r>
    </w:p>
    <w:p>
      <w:r>
        <w:t>Some people want an ongoing role. Others prefer a practical event or occasional help. A person with care responsibilities may offer knowledge rather than a shift. A useful organisation makes those different contributions understandable and gives people an honest account of what is involved.</w:t>
      </w:r>
    </w:p>
    <w:p>
      <w:r>
        <w:t>The National Standards for Volunteer Involvement offer guidance on meaningful roles, support, inclusion, recognition and improvement. They provide a reference for shaping the human experience around the proposed service. [R10]</w:t>
      </w:r>
    </w:p>
    <w:p>
      <w:r>
        <w:t>People offering help without an existing volunteer role need a welcoming route into suitable work. The Australian Institute for Disaster Resilience's handbook on spontaneous volunteers supports planning for that participation. Hosts would identify tasks, required skills and support so useful willingness meets an actual role. [R9]</w:t>
      </w:r>
    </w:p>
    <w:p>
      <w:r>
        <w:t>The organising ambition is a community able to learn and act together while retaining personal choice. Its strength comes from useful work, maintained relationships and decisions that people are able to examine. Civic stewardship then becomes part of everyday capability, with continuity when circumstances become demanding.</w:t>
      </w:r>
    </w:p>
    <w:p>
      <w:pPr>
        <w:pStyle w:val="Heading1"/>
      </w:pPr>
      <w:r>
        <w:t>Understanding law through the task and its history</w:t>
      </w:r>
    </w:p>
    <w:p>
      <w:r>
        <w:t>Disaster resilience brings law into ordinary questions: who operates a service, what a person is agreeing to, how information is shared and which work requires a particular role. Aura's legal direction is to help people find the relevant source and understand its context, including where a rule came from and what effects it carries forward.</w:t>
      </w:r>
    </w:p>
    <w:p>
      <w:r>
        <w:t>The Australian Law 2012 collection began by following the legislation behind everyday fine print. It preserves a historical starting point for that inquiry. Current decisions need the applicable source, jurisdiction, date and changes checked for the actual circumstances.</w:t>
      </w:r>
    </w:p>
    <w:p>
      <w:pPr>
        <w:pStyle w:val="Heading2"/>
      </w:pPr>
      <w:r>
        <w:t>Begin with the person's own question</w:t>
      </w:r>
    </w:p>
    <w:p>
      <w:r>
        <w:t>Your Relevance is a public questionnaire for preparing a legal research brief from chosen circumstances. It offers a way to move from a broad concern to a more useful question. A person might ask about sharing a support request, hosting a public information point or joining a trial. [P10]</w:t>
      </w:r>
    </w:p>
    <w:p>
      <w:r>
        <w:t>The question then connects to the actual task and parties. A host's procedure, a contract term, a professional requirement and a statutory power have different origins. Following those distinctions helps someone understand what is being asked and which person or organisation is able to answer.</w:t>
      </w:r>
    </w:p>
    <w:p>
      <w:pPr>
        <w:pStyle w:val="Heading2"/>
      </w:pPr>
      <w:r>
        <w:t>Retrieve the source before explaining it</w:t>
      </w:r>
    </w:p>
    <w:p>
      <w:r>
        <w:t>The Australian Legal Engine is a working offline tool that indexes documents held by its user and retrieves provisions with source dates and addresses. It returns source material rather than writing its own legal explanation. Its demonstrated historical collection does not establish current coverage of Australian law, and automated acquisition and amendment updating remain future work. [P12]</w:t>
      </w:r>
    </w:p>
    <w:p>
      <w:r>
        <w:t>That pattern informs the proposed disaster service: a relevant passage is retained beside an explanation, with the issuing owner and current edition visible. A person learns how to inspect the source and question an interpretation. Professional advice follows the appropriate professional relationship where needed.</w:t>
      </w:r>
    </w:p>
    <w:p>
      <w:pPr>
        <w:pStyle w:val="Heading2"/>
      </w:pPr>
      <w:r>
        <w:t>Carry understanding into civic stewardship</w:t>
      </w:r>
    </w:p>
    <w:p>
      <w:r>
        <w:t>A useful legal enquiry may reveal why a limit exists, how a practice has changed or where an improvement is worth proposing. The aim includes informed participation in improving the system, as well as understanding present responsibilities.</w:t>
      </w:r>
    </w:p>
    <w:p>
      <w:r>
        <w:t>For the first trial, that means clear questions and a practical route to the relevant service owner or adviser. The legal work develops alongside the service, with personal agency strengthened by an explanation the reader is able to examine.</w:t>
      </w:r>
    </w:p>
    <w:p>
      <w:pPr>
        <w:pStyle w:val="Heading1"/>
      </w:pPr>
      <w:r>
        <w:t>Community Hours and local reciprocity</w:t>
      </w:r>
    </w:p>
    <w:p>
      <w:r>
        <w:t>One Community-Hour, shortened to C-Hour, recognises one verified elapsed hour of voluntary human contribution. C-Hours have no monetary equivalent and are not sold or transferred. Each community creates its own reciprocal opportunities. The purpose is to improve the fabric of society through contribution, recognition and stronger relationships. [P4]</w:t>
      </w:r>
    </w:p>
    <w:p>
      <w:r>
        <w:t>A visitor might help prepare an accessible public event for ninety minutes. A record of the activity, time and host confirmation represents one and a half C-Hours. Their Aura may separately retain what they learned and how they felt about the experience.</w:t>
      </w:r>
    </w:p>
    <w:p>
      <w:pPr>
        <w:pStyle w:val="Heading2"/>
      </w:pPr>
      <w:r>
        <w:t>Recognise the contribution fairly</w:t>
      </w:r>
    </w:p>
    <w:p>
      <w:r>
        <w:t>The same elapsed time is counted once across connected projects. Paid work, money, machine time and outcomes have separate records. A machine completing a task more quickly does not increase the human hours contributed. Recognition remains attached to the person's verified time.</w:t>
      </w:r>
    </w:p>
    <w:p>
      <w:r>
        <w:t>A proposed Aura service would help prepare the account, identify a missing detail and return it for review. The host or recipient confirms what they know. A straightforward correction route matters when a person remembers the time differently or one activity has appeared in two places.</w:t>
      </w:r>
    </w:p>
    <w:p>
      <w:pPr>
        <w:pStyle w:val="Heading2"/>
      </w:pPr>
      <w:r>
        <w:t>Let the community choose its invitations</w:t>
      </w:r>
    </w:p>
    <w:p>
      <w:r>
        <w:t>Locally chosen opportunities might include access to community gatherings, private events, shared equipment or a workshop. The host explains what is available and the terms of the particular invitation. A C-Hour record does not create a universal claim on another person's resources.</w:t>
      </w:r>
    </w:p>
    <w:p>
      <w:r>
        <w:t>Healthy De-Slop is a related Aura proposal for community-shaped wellbeing spaces, including sauna, cold therapy and a professionally supervised adult hyperbaric oxygen therapy (HBOT) pathway. HBOT involves breathing oxygen in a pressurised chamber. Those facilities have their own development and clinical arrangements; any reciprocal opportunity would be locally agreed. [P13, R24]</w:t>
      </w:r>
    </w:p>
    <w:p>
      <w:pPr>
        <w:pStyle w:val="Heading2"/>
      </w:pPr>
      <w:r>
        <w:t>Keep assistance based on need</w:t>
      </w:r>
    </w:p>
    <w:p>
      <w:r>
        <w:t>Essential disaster information, relief and access to assistance are independent of C-Hour participation. A person who has lost their home or is caring for someone may need support without having capacity to contribute. Recovery is not a competition for recorded hours.</w:t>
      </w:r>
    </w:p>
    <w:p>
      <w:r>
        <w:t>The practical test is whether recognition makes useful contribution easier and community life more welcoming. A satisfying outcome includes people meeting one another, learning a skill and receiving an invitation they value. C-Hours provide one voluntary part of that relationship alongside paid work and public services.</w:t>
      </w:r>
    </w:p>
    <w:p>
      <w:pPr>
        <w:pStyle w:val="Heading1"/>
      </w:pPr>
      <w:r>
        <w:t>Resources offers and practical availability</w:t>
      </w:r>
    </w:p>
    <w:p>
      <w:r>
        <w:t>A useful offer describes something that is actually available and the person responsible for it. During disruption, the difference between ownership, readiness and allocation matters. A vehicle may exist but have no available driver. A room may be familiar without being an activated facility. A piece of equipment may need servicing before use. [P8]</w:t>
      </w:r>
    </w:p>
    <w:p>
      <w:r>
        <w:t>Aura's proposed contribution is to make those questions easier to understand and keep the next action visible. It would connect agreed offers and requests through service relationships, with a clear account of who confirms condition, access and use.</w:t>
      </w:r>
    </w:p>
    <w:p>
      <w:pPr>
        <w:pStyle w:val="Heading2"/>
      </w:pPr>
      <w:r>
        <w:t>Start with what someone needs</w:t>
      </w:r>
    </w:p>
    <w:p>
      <w:r>
        <w:t>A community organisation may need a replacement display, a permitted delivery or a person to cover a shift. A household may need information about a service rather than an item. The enquiry identifies the task before collecting a catalogue of possible resources.</w:t>
      </w:r>
    </w:p>
    <w:p>
      <w:r>
        <w:t>An offer then explains its actual limits: the available period, collection arrangements, suitable operator and any ordinary cost. A changed offer is updated where people are relying on it. Allocation belongs to the responsible custodian or service, with the result recorded for the next worker.</w:t>
      </w:r>
    </w:p>
    <w:p>
      <w:r>
        <w:t>The project's wider connections include food, water, transport, repair and local computing. Each has its own operators and requirements. The first demonstration would use a few sample offers and one scarce resource to test whether conflicting requests and changes are handled clearly. [P7-P8]</w:t>
      </w:r>
    </w:p>
    <w:p>
      <w:pPr>
        <w:pStyle w:val="Heading2"/>
      </w:pPr>
      <w:r>
        <w:t>Avoid creating work that nobody has accepted</w:t>
      </w:r>
    </w:p>
    <w:p>
      <w:r>
        <w:t>A list of needs may look like coordination while leaving responsibility unresolved. The proposed service would distinguish a suggestion, a request for review and an accepted task. Someone waiting for help sees the status that the receiving organisation has actually confirmed.</w:t>
      </w:r>
    </w:p>
    <w:p>
      <w:r>
        <w:t>The same principle supports donations. Redland City Council's Alfred recovery information identifies its use of GIVIT to coordinate donations. That is an existing public route, with current needs and service conditions checked through the responsible organisations. A future Aura connection would develop with the relevant service. [R15]</w:t>
      </w:r>
    </w:p>
    <w:p>
      <w:pPr>
        <w:pStyle w:val="Heading2"/>
      </w:pPr>
      <w:r>
        <w:t>Carry resource care into ordinary life</w:t>
      </w:r>
    </w:p>
    <w:p>
      <w:r>
        <w:t>Maintenance, replenishment and return arrangements continue after an event. A shared asset that comes back damaged creates a next task and a cost to address. A helpful record identifies that work rather than simply marking the original delivery complete.</w:t>
      </w:r>
    </w:p>
    <w:p>
      <w:r>
        <w:t>The benefit sought is less uncertainty between an offer and useful support, with fair treatment of the people providing resources. Readiness becomes something demonstrated and maintained, instead of a reassuring list of things that might be available.</w:t>
      </w:r>
    </w:p>
    <w:p>
      <w:pPr>
        <w:pStyle w:val="Heading1"/>
      </w:pPr>
      <w:r>
        <w:t>An illustrative household before a storm</w:t>
      </w:r>
    </w:p>
    <w:p>
      <w:r>
        <w:t>Consider an adult resident, Anna, trying a developing Aura during a planned community exercise. She lives with her teenage son and sometimes supports an older relative nearby. The people and events in this example are illustrative. The exercise uses sample messages and the household's agreed material.</w:t>
      </w:r>
    </w:p>
    <w:p>
      <w:r>
        <w:t>Anna's minimum viable self includes how she prefers to learn, the commitments she is managing and the practical relationships she wants to include. She has used her Aura for ordinary events and has discovered that a short written list followed by a conversation helps her organise unfamiliar tasks.</w:t>
      </w:r>
    </w:p>
    <w:p>
      <w:pPr>
        <w:pStyle w:val="Heading2"/>
      </w:pPr>
      <w:r>
        <w:t>Bring the existing pieces together</w:t>
      </w:r>
    </w:p>
    <w:p>
      <w:r>
        <w:t>The Aura helps Anna find the household's earlier plan and the relevant Get Ready Queensland material. It prepares a few questions: who has a current copy, which contact details need checking and what remains dependent on another service. Anna reviews the account and chooses what to discuss with her family.</w:t>
      </w:r>
    </w:p>
    <w:p>
      <w:r>
        <w:t>Her relative's support provider has its own responsibilities. Anna prepares an enquiry about its continuity arrangements, using the information the relative has agreed to share. The answer comes from the provider and remains identifiable as its response.</w:t>
      </w:r>
    </w:p>
    <w:p>
      <w:r>
        <w:t>A public kiosk demonstration gives Anna's son a separate way to explore a sample warning and a short learning task. His participation follows the exercise's age and supervision arrangements. The household's private account is not displayed on the public screen.</w:t>
      </w:r>
    </w:p>
    <w:p>
      <w:pPr>
        <w:pStyle w:val="Heading2"/>
      </w:pPr>
      <w:r>
        <w:t>Let the exercise reveal an assumption</w:t>
      </w:r>
    </w:p>
    <w:p>
      <w:r>
        <w:t>A scenario update says that the usual transport connection is interrupted. Anna discovers that she had treated a possible lift as a confirmed arrangement. The Aura helps her record the difference and prepare the next conversation. It does not invent a vehicle or a person willing to drive it.</w:t>
      </w:r>
    </w:p>
    <w:p>
      <w:r>
        <w:t>Anna also notices that one explanation was too long to be useful. She asks for a shorter version with a route back to the original source. That correction becomes part of the learning about how her Aura assists her.</w:t>
      </w:r>
    </w:p>
    <w:p>
      <w:r>
        <w:t>Anna has a more coherent account, knows which questions remain open and has practised finding current information. The exercise has also revealed a service assumption worth resolving. Those outcomes provide useful evidence for the next version without claiming that a household simulation establishes real emergency readiness.</w:t>
      </w:r>
    </w:p>
    <w:p>
      <w:pPr>
        <w:pStyle w:val="Heading1"/>
      </w:pPr>
      <w:r>
        <w:t>When power and connections change</w:t>
      </w:r>
    </w:p>
    <w:p>
      <w:r>
        <w:t>The exercise continues with loss of outside internet access at one sample location. Anna's phone and the local kiosk still hold an agreed edition of information. The screen shows when it was received and that the connection is unavailable. Anna sees the difference between a stored record and a newly confirmed update.</w:t>
      </w:r>
    </w:p>
    <w:p>
      <w:r>
        <w:t>This part of the exercise examines whether the person understands the service's actual state. A polished interface is less useful if it hides the uncertainty created by the interruption.</w:t>
      </w:r>
    </w:p>
    <w:p>
      <w:pPr>
        <w:pStyle w:val="Heading2"/>
      </w:pPr>
      <w:r>
        <w:t>Keep a waiting request honest</w:t>
      </w:r>
    </w:p>
    <w:p>
      <w:r>
        <w:t>Anna prepares a sample request for information about a support service. The kiosk saves it locally. Its status says that it is waiting for a connection, with an explanation of the other contact routes included in the exercise.</w:t>
      </w:r>
    </w:p>
    <w:p>
      <w:r>
        <w:t>When the connection returns, the receiving desk records delivery and then acceptance for review. Those are separate changes. The Aura helps Anna understand the response in relation to her question, with the actual service reply preserved.</w:t>
      </w:r>
    </w:p>
    <w:p>
      <w:r>
        <w:t>A duplicate copy of the same request is introduced deliberately. The team examines whether it becomes two jobs, whether the correction reaches both copies and whether Anna sees a consistent account. These are practical conditions for the proposed handover design. [P7]</w:t>
      </w:r>
    </w:p>
    <w:p>
      <w:pPr>
        <w:pStyle w:val="Heading2"/>
      </w:pPr>
      <w:r>
        <w:t>Support the people keeping the service useful</w:t>
      </w:r>
    </w:p>
    <w:p>
      <w:r>
        <w:t>At the kiosk, a relief steward takes over. They receive the current local information edition, the equipment state and the unresolved work. A short approved lesson helps them locate the waiting messages and follow the host's process for checking restoration.</w:t>
      </w:r>
    </w:p>
    <w:p>
      <w:r>
        <w:t>The steward's Aura may explain that procedure in their chosen format. The organisation's accepted record remains the shared source for the task. A personal interpretation is useful context, with its own status.</w:t>
      </w:r>
    </w:p>
    <w:p>
      <w:r>
        <w:t>Anna then reviews what helped and what confused her. She may discover that a familiar public information point mattered more than a sophisticated display, or that the clearest message was a human explanation of the waiting state. The team records that result.</w:t>
      </w:r>
    </w:p>
    <w:p>
      <w:r>
        <w:t>The larger lesson concerns the relationship between capability and honest limits. The proposed service aims to remain useful through interruption, show what it knows and restore continuity when connections return. Each part is tested as an experience people understand, alongside the technical measurements supporting it.</w:t>
      </w:r>
    </w:p>
    <w:p>
      <w:pPr>
        <w:pStyle w:val="Heading1"/>
      </w:pPr>
      <w:r>
        <w:t>The first stages of recovery</w:t>
      </w:r>
    </w:p>
    <w:p>
      <w:r>
        <w:t>Recovery begins while urgent needs and uncertainty are still present. People may be dealing with damage, interrupted work, care responsibilities and repeated conversations with different services. The proposed Aura would help retain a coherent personal account and keep practical follow-up from becoming lost between those conversations.</w:t>
      </w:r>
    </w:p>
    <w:p>
      <w:r>
        <w:t>Queensland's recovery planning covers coordinated work across agencies and communities. Redland's Alfred recovery plans provide a local example of event-specific priorities and continuing action after the immediate response. These are existing arrangements that an Aura proposal would seek to support through a defined contribution. [R15, R23]</w:t>
      </w:r>
    </w:p>
    <w:p>
      <w:pPr>
        <w:pStyle w:val="Heading2"/>
      </w:pPr>
      <w:r>
        <w:t>Preserve the history of an enquiry</w:t>
      </w:r>
    </w:p>
    <w:p>
      <w:r>
        <w:t>In an illustrative recovery scenario, Anna keeps the reference for a service request, the reply and the next agreed action. Her Aura helps find those records when she speaks with another worker. It distinguishes a draft note from an accepted service record and an intention from a completed action.</w:t>
      </w:r>
    </w:p>
    <w:p>
      <w:r>
        <w:t>A returning service may have changed hours or a different contact route. The relevant provider confirms that information. Anna's private account keeps the practical consequence for her household without turning an old notice into an assumed current service.</w:t>
      </w:r>
    </w:p>
    <w:p>
      <w:r>
        <w:t>The system would also help a person prepare a question about an assistance programme or document. Eligibility and decisions remain with the organisation providing that support. The useful contribution is a clearer enquiry, accessible records and a visible next step.</w:t>
      </w:r>
    </w:p>
    <w:p>
      <w:pPr>
        <w:pStyle w:val="Heading2"/>
      </w:pPr>
      <w:r>
        <w:t>Make room for different priorities</w:t>
      </w:r>
    </w:p>
    <w:p>
      <w:r>
        <w:t>One person may want help organising paperwork. Another needs a way to communicate that a planned arrangement is not working. Someone else is ready for an ordinary meal or a local event. Recovery support needs room for those differences and for needs that emerge later.</w:t>
      </w:r>
    </w:p>
    <w:p>
      <w:r>
        <w:t>The National Principles for Disaster Recovery place community context, participation and changing circumstances at the centre of effective recovery. They recognise that recovery pathways and timeframes vary. [R8]</w:t>
      </w:r>
    </w:p>
    <w:p>
      <w:r>
        <w:t>The intended result is continuity that reduces avoidable confusion while respecting the person's own priorities. Their Aura carries useful context forward; receiving services retain their records and decisions; unresolved work stays visible. That relationship supports recovery as it is actually experienced, rather than treating the end of an activation as the end of the person's needs.</w:t>
      </w:r>
    </w:p>
    <w:p>
      <w:pPr>
        <w:pStyle w:val="Heading1"/>
      </w:pPr>
      <w:r>
        <w:t>Continuing recovery and a life beyond the event</w:t>
      </w:r>
    </w:p>
    <w:p>
      <w:r>
        <w:t>Longer recovery involves more than restoring a service or repairing a building. It includes relationships, routines, work, confidence in a place and the freedom to choose what comes next. Aura's adaptive whole-of-life direction gives that period a continuing personal home.</w:t>
      </w:r>
    </w:p>
    <w:p>
      <w:r>
        <w:t>A person may want to revisit a familiar activity, learn something different or simply have less to organise for a while. Their account changes through that experience. The disaster remains part of their history without becoming the whole explanation of who they are.</w:t>
      </w:r>
    </w:p>
    <w:p>
      <w:pPr>
        <w:pStyle w:val="Heading2"/>
      </w:pPr>
      <w:r>
        <w:t>Keep chosen memories and practical records</w:t>
      </w:r>
    </w:p>
    <w:p>
      <w:r>
        <w:t>A memory palace might retain photographs and stories from a home or community space that has changed. The person chooses how they want to revisit it and which material belongs in their private collection. A dated place record and a personal recollection retain their different purposes.</w:t>
      </w:r>
    </w:p>
    <w:p>
      <w:r>
        <w:t>Practical records also remain useful: a maintenance issue, a service handover or the reason an earlier arrangement was changed. The person needs a way to find the relevant part without repeatedly telling their whole story. Their Aura would assist that retrieval using the context they have chosen to retain.</w:t>
      </w:r>
    </w:p>
    <w:p>
      <w:pPr>
        <w:pStyle w:val="Heading2"/>
      </w:pPr>
      <w:r>
        <w:t>Reconnect through ordinary life</w:t>
      </w:r>
    </w:p>
    <w:p>
      <w:r>
        <w:t>Music, sport, food, culture and time with others offer different ways back into community participation. A person may enjoy a quiet gathering before wanting a larger role. Someone else finds meaning in helping a local project. Both are valid directions shaped by the person.</w:t>
      </w:r>
    </w:p>
    <w:p>
      <w:r>
        <w:t>Try Everything opportunities and chosen civic contribution may become useful when someone wants them. Rest and care have their own value. No C-Hour target determines access to recovery assistance or a person's standing in the community.</w:t>
      </w:r>
    </w:p>
    <w:p>
      <w:r>
        <w:t>Where a person wants professional support, the proposed Aura would help prepare an enquiry and find the relevant service information. It would retain their choices about sharing and the actual provider's response. A reflective system is developed alongside the professionals whose work it seeks to assist.</w:t>
      </w:r>
    </w:p>
    <w:p>
      <w:pPr>
        <w:pStyle w:val="Heading2"/>
      </w:pPr>
      <w:r>
        <w:t>Carry learning into the next season</w:t>
      </w:r>
    </w:p>
    <w:p>
      <w:r>
        <w:t>The community also learns from what recovery revealed. A weak handover, an inaccessible message or a service that depended on one worker becomes a practical improvement question. The people affected contribute to deciding which changes matter.</w:t>
      </w:r>
    </w:p>
    <w:p>
      <w:r>
        <w:t>The aim is a fuller life and a more useful community relationship with intelligence. Recovery knowledge then improves preparation while the person continues to develop interests, relationships and possibilities beyond the event.</w:t>
      </w:r>
    </w:p>
    <w:p>
      <w:pPr>
        <w:pStyle w:val="Heading1"/>
      </w:pPr>
      <w:r>
        <w:t>Visitors businesses and local services</w:t>
      </w:r>
    </w:p>
    <w:p>
      <w:r>
        <w:t>A disaster affects people with different relationships to a place. Residents know some local routes; visitors may be unfamiliar with services and have no nearby support network. Businesses hold commitments to customers, workers and their own households. The proposed Aura would help each person understand the information relevant to their actual situation.</w:t>
      </w:r>
    </w:p>
    <w:p>
      <w:r>
        <w:t>The public service starts with a readable notice and a route to assistance. A visitor may use that once without developing a personal Aura. Someone who already has one may bring useful context, such as communication preferences and chosen contacts.</w:t>
      </w:r>
    </w:p>
    <w:p>
      <w:pPr>
        <w:pStyle w:val="Heading2"/>
      </w:pPr>
      <w:r>
        <w:t>Keep the actual offer clear</w:t>
      </w:r>
    </w:p>
    <w:p>
      <w:r>
        <w:t>A business may need to explain a closure, a changed meeting point or when it expects to provide another update. The proposed service would preserve the provider's wording and date, with any personal explanation linked to that source. An expected reopening remains different from a confirmed service.</w:t>
      </w:r>
    </w:p>
    <w:p>
      <w:r>
        <w:t>A visitor's Aura might help organise the implications for their plans and prepare an enquiry. Bookings, changes and consumer decisions follow the actual seller and applicable terms. A future connection with business software would develop through an agreed service relationship.</w:t>
      </w:r>
    </w:p>
    <w:p>
      <w:pPr>
        <w:pStyle w:val="Heading2"/>
      </w:pPr>
      <w:r>
        <w:t>Support continuity through local work</w:t>
      </w:r>
    </w:p>
    <w:p>
      <w:r>
        <w:t>Businesses and community organisations may be interested in hosting an information point, contributing a learning opportunity or identifying a recurring service problem. An early discussion would help establish what they value and the resources they are interested in bringing.</w:t>
      </w:r>
    </w:p>
    <w:p>
      <w:r>
        <w:t>A small trial might examine whether a clearer update reduces repeated enquiries or helps a relief worker understand what changed. That gives the host a concrete result to assess before considering a larger arrangement. It also reveals the effort involved in keeping the information useful.</w:t>
      </w:r>
    </w:p>
    <w:p>
      <w:r>
        <w:t>The same service may support everyday events and recovery activity at different times. A hall, club or business retains its actual operating role. Public familiarity with the venue is helpful, while activation and access are confirmed through the responsible organisation. [P8]</w:t>
      </w:r>
    </w:p>
    <w:p>
      <w:r>
        <w:t>The wider opportunity is a local economy with better continuity of knowledge and a practical way to learn from disruption. Paid work, volunteering, customer service and personal assistance retain their own terms, with the Aura helping people navigate the relationships rather than assuming they are all one arrangement.</w:t>
      </w:r>
    </w:p>
    <w:p>
      <w:pPr>
        <w:pStyle w:val="Heading1"/>
      </w:pPr>
      <w:r>
        <w:t>Councils agencies and a supported Guardian connection</w:t>
      </w:r>
    </w:p>
    <w:p>
      <w:r>
        <w:t>Queensland's disaster management arrangements establish responsibilities across local, district and state levels. The current public plans portal records approval of the Interim State Disaster Management Plan in January 2026. A proposed community service develops within that real operating environment. [R4]</w:t>
      </w:r>
    </w:p>
    <w:p>
      <w:r>
        <w:t>Redland's December 2025 Local Disaster Management Plan documents Guardian use for information and tasking, alongside its coordination and continuity arrangements. Guardian IMS is incident-management software made by QIT Plus. Its public product description covers organising incidents, work, maps and reporting. [R5, R14]</w:t>
      </w:r>
    </w:p>
    <w:p>
      <w:pPr>
        <w:pStyle w:val="Heading2"/>
      </w:pPr>
      <w:r>
        <w:t>Start with a useful contribution</w:t>
      </w:r>
    </w:p>
    <w:p>
      <w:r>
        <w:t>The repository explores a future relationship in which people use their Auras to understand information, prepare a request or assist an authorised worker while Guardian retains its agreed operational role. This is a partnership direction to discuss with Council and the supplier. It is not an existing Aura connection or access agreement. [P9]</w:t>
      </w:r>
    </w:p>
    <w:p>
      <w:r>
        <w:t>A first conversation might concern public information, a sample request handover or a learning task. The relevant service owner identifies the problem, the supported exchange and the people who need to participate. Public information and operational records have different audiences.</w:t>
      </w:r>
    </w:p>
    <w:p>
      <w:r>
        <w:t>The proposed comparison begins with a complete journey. A notice changes, a person needs an explanation, a receiving desk handles an enquiry and a relief worker takes over. The point is to see whether the whole experience becomes more useful, including when a connection fails.</w:t>
      </w:r>
    </w:p>
    <w:p>
      <w:pPr>
        <w:pStyle w:val="Heading2"/>
      </w:pPr>
      <w:r>
        <w:t>Match responsibility to the action</w:t>
      </w:r>
    </w:p>
    <w:p>
      <w:r>
        <w:t>A personal Aura does not create staff access or an agency role. An authorised worker's tools operate within the permission and review arrangements for that work. Publishing a public notice, accepting a request and allocating a scarce resource each have an actual responsible organisation.</w:t>
      </w:r>
    </w:p>
    <w:p>
      <w:r>
        <w:t>The repository's council-plan analysis identifies a staged path from discovery discussion to a comparison exercise and a jointly scoped pilot. It also recognises that plan editions, service participation and supported technical arrangements need confirmation for the proposal being considered. [P8]</w:t>
      </w:r>
    </w:p>
    <w:p>
      <w:r>
        <w:t>Early agency interest would help identify a worthwhile first contribution and the evidence needed to assess it. The project would then develop the work, resources and terms around that scope. A successful result would be a demonstrated improvement that fits a maintained service, with the people involved clear about their continuing roles.</w:t>
      </w:r>
    </w:p>
    <w:p>
      <w:pPr>
        <w:pStyle w:val="Heading1"/>
      </w:pPr>
      <w:r>
        <w:t>Learning from Australian reviews</w:t>
      </w:r>
    </w:p>
    <w:p>
      <w:r>
        <w:t>Australia has a substantial record of disaster experience, public inquiry and practical improvement. Aura's development would work with that evidence, including lessons about communication, inclusion, capability and continuity. A promising idea earns its place by improving a named part of the experience under conditions that people have examined.</w:t>
      </w:r>
    </w:p>
    <w:p>
      <w:r>
        <w:t>The Royal Commission into National Natural Disaster Arrangements delivered its final report in October 2020. It provides a national reference for examining prevention, mitigation and response arrangements. For this proposal, it is a starting point for asking how personal intelligence and local capability would contribute to the work already identified through public review. [R17]</w:t>
      </w:r>
    </w:p>
    <w:p>
      <w:pPr>
        <w:pStyle w:val="Heading2"/>
      </w:pPr>
      <w:r>
        <w:t>Begin with a recent practical problem</w:t>
      </w:r>
    </w:p>
    <w:p>
      <w:r>
        <w:t>Queensland's Inspector-General of Emergency Management reviewed the significant weather events of 2025. Its summary report records benefits from common Guardian use across councils and also concerns about information exchange between different systems. It describes delays and duplicated work where requests moved through several channels. These are dated findings about the events reviewed. [R16]</w:t>
      </w:r>
    </w:p>
    <w:p>
      <w:r>
        <w:t>That evidence supports a focused Aura question: would a clearer personal request, a visible receipt and an accountable handover improve the complete journey? It also gives a reason to compare ordinary processes and the proposed approach, with relevant practitioners helping define the test.</w:t>
      </w:r>
    </w:p>
    <w:p>
      <w:pPr>
        <w:pStyle w:val="Heading2"/>
      </w:pPr>
      <w:r>
        <w:t>Examine both approaches fairly</w:t>
      </w:r>
    </w:p>
    <w:p>
      <w:r>
        <w:t>The existing service may already do some tasks well. A new interface may make another task easier while creating extra work elsewhere. A fair comparison records those differences, including the effort of maintaining the system and the consequences of an error.</w:t>
      </w:r>
    </w:p>
    <w:p>
      <w:r>
        <w:t>The aim is to demonstrate better results where the evidence supports them. A quicker form is useful only if the right information reaches someone able to act. A richer AI explanation is useful only if people understand it and its meaning remains faithful to the source.</w:t>
      </w:r>
    </w:p>
    <w:p>
      <w:r>
        <w:t>The repository proposes professional review where its work overlaps specialised responsibilities. Review includes the relevant practice and legal sources, potential improvements and deficiencies in either approach. Actual decisions follow the people responsible for the action. [P8]</w:t>
      </w:r>
    </w:p>
    <w:p>
      <w:r>
        <w:t>This gives innovation a practical route forward. Research, demonstrations and early discussions proceed while the evidence for more demanding use develops. Lessons from each exercise and field experience then become specific improvements to test again.</w:t>
      </w:r>
    </w:p>
    <w:p>
      <w:pPr>
        <w:pStyle w:val="Heading1"/>
      </w:pPr>
      <w:r>
        <w:t>Global practice with local relevance</w:t>
      </w:r>
    </w:p>
    <w:p>
      <w:r>
        <w:t>International practice offers useful patterns for community capability without requiring every place to adopt the same system. The Sendai Framework for Disaster Risk Reduction links understanding risk, governance, investment, preparedness and better recovery. It gives a wider context for treating resilience as continuing public work. [R20]</w:t>
      </w:r>
    </w:p>
    <w:p>
      <w:r>
        <w:t>The relevant question for Aura is how a personal intelligence relationship and a locally maintained service would make those aims more practical for the people involved. Examples help identify what is already worth learning from and what a local trial still needs to establish.</w:t>
      </w:r>
    </w:p>
    <w:p>
      <w:pPr>
        <w:pStyle w:val="Heading2"/>
      </w:pPr>
      <w:r>
        <w:t>Community hubs and everyday familiarity</w:t>
      </w:r>
    </w:p>
    <w:p>
      <w:r>
        <w:t>Wellington Region Emergency Management Office describes Community Emergency Hubs as places where communities work together and share information, skills and resources after an event. Their people-led approach offers a useful comparison for a network connecting needs and offers through local relationships. [R18]</w:t>
      </w:r>
    </w:p>
    <w:p>
      <w:r>
        <w:t>Shoalhaven City Council's Community Information Hubs provide an Australian example of public screens used for ordinary information and emergencies, with supporting power and communication infrastructure. The published project grew from the community's experience of disrupted communication during the 2019-20 bushfires. [R19]</w:t>
      </w:r>
    </w:p>
    <w:p>
      <w:r>
        <w:t>These examples show that the public information point and the human network around it deserve attention together. Aura adds a proposed personal relationship: helping someone understand what matters to them, learn a task and retain useful context through the encounter.</w:t>
      </w:r>
    </w:p>
    <w:p>
      <w:pPr>
        <w:pStyle w:val="Heading2"/>
      </w:pPr>
      <w:r>
        <w:t>Adapt a pattern through evidence</w:t>
      </w:r>
    </w:p>
    <w:p>
      <w:r>
        <w:t>An island, an urban neighbourhood and a regional town have different access, hazards, services and community relationships. A design that works well in one setting gives a starting comparison, with local hosts helping identify what changes.</w:t>
      </w:r>
    </w:p>
    <w:p>
      <w:r>
        <w:t>The first local exercise would test the complete experience and the conditions it depends on. A later site trial would examine the equipment and service in that actual place. Wider use would grow from maintained capability and people choosing to participate.</w:t>
      </w:r>
    </w:p>
    <w:p>
      <w:r>
        <w:t>The purpose is learning that travels while local meaning remains intact. People gain access to useful knowledge and increasingly capable tools, with their own community shaping how those tools become part of shared life. That is the practical scale of a Protopian approach to resilience.</w:t>
      </w:r>
    </w:p>
    <w:p>
      <w:pPr>
        <w:pStyle w:val="Heading1"/>
      </w:pPr>
      <w:r>
        <w:t>Growing capability through AI SI XR and robotics</w:t>
      </w:r>
    </w:p>
    <w:p>
      <w:r>
        <w:t>The project plans for a near future in which personal Auras, more capable AI, XR and robotics become part of ordinary work. That is a development assumption to explore through specific tasks. The capability of a particular tool and the authority to act remain identifiable as each part grows. [P1, P11]</w:t>
      </w:r>
    </w:p>
    <w:p>
      <w:r>
        <w:t>The qualified self gives that transition a personal foundation. Someone learns how they make decisions, what support helps and how to question an explanation. Their Aura develops through the person's corrections and lived experience, with ownership of the data and twin retained by the person.</w:t>
      </w:r>
    </w:p>
    <w:p>
      <w:pPr>
        <w:pStyle w:val="Heading2"/>
      </w:pPr>
      <w:r>
        <w:t>Expand what a person is able to explore</w:t>
      </w:r>
    </w:p>
    <w:p>
      <w:r>
        <w:t>A more capable assistant might compare sources, identify a dependency or prepare several ways to explain a task. A richer personal model may help it understand the person's meaning. Each proposed benefit is tested against actual understanding and useful performance.</w:t>
      </w:r>
    </w:p>
    <w:p>
      <w:r>
        <w:t>XR offers ways to rehearse a place or explore a shared scenario. A future robot might support a particular inspection or delivery task. Those uses would develop with the people responsible for the work, including the equipment, site and service arrangements for that action.</w:t>
      </w:r>
    </w:p>
    <w:p>
      <w:r>
        <w:t>The planning direction welcomes ambitious methods while keeping observed results clear. A simulated task, a bench demonstration and a working field service show different achievements. Greater intelligence creates possibilities; its usefulness is established through the particular result and the conditions supporting it. [P7]</w:t>
      </w:r>
    </w:p>
    <w:p>
      <w:pPr>
        <w:pStyle w:val="Heading2"/>
      </w:pPr>
      <w:r>
        <w:t>Give people practical experience of directing intelligence</w:t>
      </w:r>
    </w:p>
    <w:p>
      <w:r>
        <w:t>A participant may learn to ask where an answer came from, change an assumption or limit a delegated task. A team may learn when a shared record needs human review and how to recover after a tool fails. Those are useful civic capabilities as systems become more powerful.</w:t>
      </w:r>
    </w:p>
    <w:p>
      <w:r>
        <w:t>The International AI Safety Report 2026 provides a research context for growing capabilities and uncertainty. This proposal does not depend on predicting an SI arrival date. It develops the personal and organisational relationship now, while assessing new tools as they become available. [R2]</w:t>
      </w:r>
    </w:p>
    <w:p>
      <w:r>
        <w:t>The larger opportunity is a community with more useful capability and people who understand how to direct it. A fair go includes access to that learning and ownership of the personal records through which the relationship develops. The intended abundance is practical freedom, shared knowledge and a more resilient life together.</w:t>
      </w:r>
    </w:p>
    <w:p>
      <w:pPr>
        <w:pStyle w:val="Heading1"/>
      </w:pPr>
      <w:r>
        <w:t>A first complete demonstration and measured trials</w:t>
      </w:r>
    </w:p>
    <w:p>
      <w:r>
        <w:t>The first demonstration would join the personal Aura experience with public information, practical learning, a request handover and recovery of service after interruption. The repository proposes clearly labelled sample people, notices and receiving services across three logical locations and a portable unit. These are exercise arrangements to develop, rather than confirmed hosts. [P7]</w:t>
      </w:r>
    </w:p>
    <w:p>
      <w:r>
        <w:t>The purpose is to give interested people something coherent to try and improve. A person finds an ordinary notice, chooses personal assistance, learns a permitted task and then sees how the experience changes when a connection or service becomes unavailable.</w:t>
      </w:r>
    </w:p>
    <w:p>
      <w:pPr>
        <w:pStyle w:val="Heading2"/>
      </w:pPr>
      <w:r>
        <w:t>Practise the whole journey</w:t>
      </w:r>
    </w:p>
    <w:p>
      <w:r>
        <w:t>The proposed practical testing period is two to three days, fitting participation around ordinary work and responsibilities. It includes normal service, interruptions, relief handovers, restoration and feedback. Digital twins may simulate a much longer event, with simulated duration and computer runtime recorded separately from participant time and measured hardware endurance. [P7]</w:t>
      </w:r>
    </w:p>
    <w:p>
      <w:r>
        <w:t>The Australian Institute for Disaster Resilience's Managing Exercises Handbook provides a national reference for designing and evaluating exercises. Its recovery resources also support practising the longer period after immediate response. [R21]</w:t>
      </w:r>
    </w:p>
    <w:p>
      <w:r>
        <w:t>An exercise controller would introduce the agreed changes. Sample messages stay identifiable as exercise material. Participants and reviewers would know which tasks use real equipment and which are simulated. Findings describe what was actually demonstrated.</w:t>
      </w:r>
    </w:p>
    <w:p>
      <w:pPr>
        <w:pStyle w:val="Heading2"/>
      </w:pPr>
      <w:r>
        <w:t>Develop field use from the result</w:t>
      </w:r>
    </w:p>
    <w:p>
      <w:r>
        <w:t>The next stage would take the useful parts into a suitable hosted setting. That involves the actual equipment, access, information sources, people and continuing support. Outdoor performance and endurance receive their own measured tests; a successful indoor demonstration supports that narrower scope.</w:t>
      </w:r>
    </w:p>
    <w:p>
      <w:r>
        <w:t>A field proposal would develop with the prospective host and relevant practitioners. Their interest helps identify a worthwhile service and the work needed to make it concrete. Specific responsibilities and terms follow the particular trial.</w:t>
      </w:r>
    </w:p>
    <w:p>
      <w:r>
        <w:t>The aim is a complete experience that people recognise, with evidence showing where it helps and what still needs work. Growth then follows demonstrated capability and willingness to continue, with the next stage shaped by the people who will use and maintain it.</w:t>
      </w:r>
    </w:p>
    <w:p>
      <w:pPr>
        <w:pStyle w:val="Heading1"/>
      </w:pPr>
      <w:r>
        <w:t>Measuring benefit without losing the person</w:t>
      </w:r>
    </w:p>
    <w:p>
      <w:r>
        <w:t>The central test is whether people gain useful understanding and practical capability, supported by a service that follows through. The personal Aura, the public interface and the receiving organisation each contribute to that result. A meaningful evaluation examines the complete journey and the effort involved in keeping it useful.</w:t>
      </w:r>
    </w:p>
    <w:p>
      <w:r>
        <w:t>A comparison would begin with the current process and targets worked out with relevant participants and practitioners. No measured superiority over an existing service is claimed here. The proposal is to establish where the Aura-assisted approach improves the experience and where it needs to change. [P8]</w:t>
      </w:r>
    </w:p>
    <w:p>
      <w:pPr>
        <w:pStyle w:val="Heading2"/>
      </w:pPr>
      <w:r>
        <w:t>Choose evidence that matches the claim</w:t>
      </w:r>
    </w:p>
    <w:tbl>
      <w:tblPr>
        <w:tblW w:type="auto" w:w="0"/>
        <w:jc w:val="center"/>
        <w:tblLayout w:type="fixed"/>
        <w:tblLook w:firstColumn="1" w:firstRow="1" w:lastColumn="0" w:lastRow="0" w:noHBand="0" w:noVBand="1" w:val="04A0"/>
      </w:tblPr>
      <w:tblGrid>
        <w:gridCol w:w="2477"/>
        <w:gridCol w:w="7128"/>
      </w:tblGrid>
      <w:tr>
        <w:trPr>
          <w:cantSplit/>
          <w:tblHeader/>
        </w:trPr>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Question</w:t>
            </w:r>
          </w:p>
        </w:tc>
        <w:tc>
          <w:tcPr>
            <w:tcW w:type="dxa" w:w="71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Evidence to examine</w:t>
            </w:r>
          </w:p>
        </w:tc>
      </w:tr>
      <w:tr>
        <w:trPr>
          <w:cantSplit/>
        </w:trPr>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Does the person understand?</w:t>
            </w:r>
          </w:p>
        </w:tc>
        <w:tc>
          <w:tcPr>
            <w:tcW w:type="dxa" w:w="71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Finding the right source, explaining meaning and correcting errors.</w:t>
            </w:r>
          </w:p>
        </w:tc>
      </w:tr>
      <w:tr>
        <w:trPr>
          <w:cantSplit/>
        </w:trPr>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Does a request follow through?</w:t>
            </w:r>
          </w:p>
        </w:tc>
        <w:tc>
          <w:tcPr>
            <w:tcW w:type="dxa" w:w="71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Accurate states, accepted responsibility and unresolved needs.</w:t>
            </w:r>
          </w:p>
        </w:tc>
      </w:tr>
      <w:tr>
        <w:trPr>
          <w:cantSplit/>
        </w:trPr>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Does learning help?</w:t>
            </w:r>
          </w:p>
        </w:tc>
        <w:tc>
          <w:tcPr>
            <w:tcW w:type="dxa" w:w="71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Observed task performance and useful feedback.</w:t>
            </w:r>
          </w:p>
        </w:tc>
      </w:tr>
      <w:tr>
        <w:trPr>
          <w:cantSplit/>
        </w:trPr>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Does service continue?</w:t>
            </w:r>
          </w:p>
        </w:tc>
        <w:tc>
          <w:tcPr>
            <w:tcW w:type="dxa" w:w="71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Measured availability, information age and restoration results.</w:t>
            </w:r>
          </w:p>
        </w:tc>
      </w:tr>
      <w:tr>
        <w:trPr>
          <w:cantSplit/>
        </w:trPr>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Is the benefit worthwhile?</w:t>
            </w:r>
          </w:p>
        </w:tc>
        <w:tc>
          <w:tcPr>
            <w:tcW w:type="dxa" w:w="7128"/>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Personal experience, host effort, costs and willingness to continue.</w:t>
            </w:r>
          </w:p>
        </w:tc>
      </w:tr>
    </w:tbl>
    <w:p>
      <w:pPr>
        <w:spacing w:after="20"/>
      </w:pPr>
    </w:p>
    <w:p>
      <w:r>
        <w:t>Some benefits are personal. A person may explain a choice more clearly, recognise a useful skill or feel better able to ask for help. Others are service outcomes, such as a correct handover or a maintenance issue resolved. Those kinds of evidence complement one another without being reduced to a single universal score.</w:t>
      </w:r>
    </w:p>
    <w:p>
      <w:pPr>
        <w:pStyle w:val="Heading2"/>
      </w:pPr>
      <w:r>
        <w:t>Review burden and unwanted effects</w:t>
      </w:r>
    </w:p>
    <w:p>
      <w:r>
        <w:t>The record includes time, costs, errors, access barriers and reasons for leaving. A tool may help one group while making another person's task harder. A clear account of that difference helps decide whether to adapt the function or try another approach.</w:t>
      </w:r>
    </w:p>
    <w:p>
      <w:r>
        <w:t>Formal human research would follow the applicable ethics and governance process for its design. A function with a medical purpose would have its own clinical evidence and regulatory pathway. The proposed public information and learning service is assessed according to what it actually does.</w:t>
      </w:r>
    </w:p>
    <w:p>
      <w:r>
        <w:t>Findings would identify the tested configuration, the people and conditions involved, the result and the next question. Participants would see a readable account of what changed because of their feedback. Public reporting would use agreed material while private records retain their chosen access.</w:t>
      </w:r>
    </w:p>
    <w:p>
      <w:r>
        <w:t>The result sought is evidence that the qualified self and community capability develop together. That gives interested people and agencies a sound basis for the next stage, including the resources and continuing support it would require.</w:t>
      </w:r>
    </w:p>
    <w:p>
      <w:pPr>
        <w:pStyle w:val="Heading1"/>
      </w:pPr>
      <w:r>
        <w:t>Resources and a fair path from early interest</w:t>
      </w:r>
    </w:p>
    <w:p>
      <w:r>
        <w:t>Expressions of interest help reveal where the work has a useful home. A prospective host may offer a place to demonstrate it. A practitioner may identify a task worth improving. A community member may bring time, local knowledge or a resource. That interest creates incentive to prioritise development and move towards shared targets and mutually acceptable terms.</w:t>
      </w:r>
    </w:p>
    <w:p>
      <w:r>
        <w:t>The project needs resources for people, equipment and continuing service, as well as the initial software. A first discussion helps identify what is worth doing before a larger proposal is prepared.</w:t>
      </w:r>
    </w:p>
    <w:p>
      <w:pPr>
        <w:pStyle w:val="Heading2"/>
      </w:pPr>
      <w:r>
        <w:t>Resource a defined stage</w:t>
      </w:r>
    </w:p>
    <w:tbl>
      <w:tblPr>
        <w:tblW w:type="auto" w:w="0"/>
        <w:jc w:val="center"/>
        <w:tblLayout w:type="fixed"/>
        <w:tblLook w:firstColumn="1" w:firstRow="1" w:lastColumn="0" w:lastRow="0" w:noHBand="0" w:noVBand="1" w:val="04A0"/>
      </w:tblPr>
      <w:tblGrid>
        <w:gridCol w:w="2376"/>
        <w:gridCol w:w="7229"/>
      </w:tblGrid>
      <w:tr>
        <w:trPr>
          <w:cantSplit/>
          <w:tblHeader/>
        </w:trPr>
        <w:tc>
          <w:tcPr>
            <w:tcW w:type="dxa" w:w="2376"/>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Area</w:t>
            </w:r>
          </w:p>
        </w:tc>
        <w:tc>
          <w:tcPr>
            <w:tcW w:type="dxa" w:w="722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354047"/>
          </w:tcPr>
          <w:p>
            <w:pPr>
              <w:spacing w:after="0" w:line="259" w:lineRule="auto"/>
            </w:pPr>
            <w:r>
              <w:rPr>
                <w:rFonts w:ascii="Calibri" w:hAnsi="Calibri"/>
                <w:b/>
                <w:color w:val="FFFFFF"/>
                <w:sz w:val="21"/>
              </w:rPr>
              <w:t>What a proposal would work through</w:t>
            </w:r>
          </w:p>
        </w:tc>
      </w:tr>
      <w:tr>
        <w:trPr>
          <w:cantSplit/>
        </w:trPr>
        <w:tc>
          <w:tcPr>
            <w:tcW w:type="dxa" w:w="2376"/>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People</w:t>
            </w:r>
          </w:p>
        </w:tc>
        <w:tc>
          <w:tcPr>
            <w:tcW w:type="dxa" w:w="722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Development, facilitation, qualified input, learning and support.</w:t>
            </w:r>
          </w:p>
        </w:tc>
      </w:tr>
      <w:tr>
        <w:trPr>
          <w:cantSplit/>
        </w:trPr>
        <w:tc>
          <w:tcPr>
            <w:tcW w:type="dxa" w:w="2376"/>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Hosts and equipment</w:t>
            </w:r>
          </w:p>
        </w:tc>
        <w:tc>
          <w:tcPr>
            <w:tcW w:type="dxa" w:w="722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Premises, access, devices, power, connections and maintenance.</w:t>
            </w:r>
          </w:p>
        </w:tc>
      </w:tr>
      <w:tr>
        <w:trPr>
          <w:cantSplit/>
        </w:trPr>
        <w:tc>
          <w:tcPr>
            <w:tcW w:type="dxa" w:w="2376"/>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Information and service</w:t>
            </w:r>
          </w:p>
        </w:tc>
        <w:tc>
          <w:tcPr>
            <w:tcW w:type="dxa" w:w="722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9" w:lineRule="auto"/>
            </w:pPr>
            <w:r>
              <w:rPr>
                <w:rFonts w:ascii="Calibri" w:hAnsi="Calibri"/>
                <w:b w:val="0"/>
                <w:color w:val="000000"/>
                <w:sz w:val="21"/>
              </w:rPr>
              <w:t>Source arrangements, privacy, receiving roles and handovers.</w:t>
            </w:r>
          </w:p>
        </w:tc>
      </w:tr>
      <w:tr>
        <w:trPr>
          <w:cantSplit/>
        </w:trPr>
        <w:tc>
          <w:tcPr>
            <w:tcW w:type="dxa" w:w="2376"/>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Evidence and continuity</w:t>
            </w:r>
          </w:p>
        </w:tc>
        <w:tc>
          <w:tcPr>
            <w:tcW w:type="dxa" w:w="7229"/>
            <w:vAlign w:val="center"/>
            <w:tcMar>
              <w:top w:w="90" w:type="dxa"/>
              <w:bottom w:w="90" w:type="dxa"/>
              <w:left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shd w:fill="F1F3F4"/>
          </w:tcPr>
          <w:p>
            <w:pPr>
              <w:spacing w:after="0" w:line="259" w:lineRule="auto"/>
            </w:pPr>
            <w:r>
              <w:rPr>
                <w:rFonts w:ascii="Calibri" w:hAnsi="Calibri"/>
                <w:b w:val="0"/>
                <w:color w:val="000000"/>
                <w:sz w:val="21"/>
              </w:rPr>
              <w:t>Measurements, review, repairs, replacement and the next stage.</w:t>
            </w:r>
          </w:p>
        </w:tc>
      </w:tr>
    </w:tbl>
    <w:p>
      <w:pPr>
        <w:spacing w:after="20"/>
      </w:pPr>
    </w:p>
    <w:p>
      <w:r>
        <w:t>A sheltered demonstration, an outdoor installation and an ongoing public service involve different costs and responsibilities. A useful budget identifies the particular stage, the contribution sought and what it is intended to produce. Prices and delivery targets develop around that actual scope.</w:t>
      </w:r>
    </w:p>
    <w:p>
      <w:r>
        <w:t>The Australian Government's Disaster Ready Fund is administered through the National Emergency Management Agency with state and territory partners. It is one reference point for researching resilience funding, alongside relevant local, state, research and community opportunities. Eligibility and a suitable application route would be checked for the specific proposal. [R22]</w:t>
      </w:r>
    </w:p>
    <w:p>
      <w:pPr>
        <w:pStyle w:val="Heading2"/>
      </w:pPr>
      <w:r>
        <w:t>Develop services people have a reason to support</w:t>
      </w:r>
    </w:p>
    <w:p>
      <w:r>
        <w:t>Possible arrangements include commissioned demonstrations, host services, personal support, maintenance and development partnerships. A conversation about the intended benefit and available resources would help establish a suitable model. Personal data and digital twins remain owned by the person in the proposed arrangement.</w:t>
      </w:r>
    </w:p>
    <w:p>
      <w:r>
        <w:t>Paid work, procurement and professional services use ordinary financial records and applicable terms. C-Hour recognition retains its separate, non-monetary reciprocity purpose. Continuing operation needs a real plan for staffing, repairs, replacements and support after the initial trial.</w:t>
      </w:r>
    </w:p>
    <w:p>
      <w:r>
        <w:t>An early expression of interest does not require a finished installation or a fully settled partnership. It begins the work of finding a useful fit. The parties then develop the scope and evidence needed for a concrete decision, with progress proportionate to the resources and people choosing to participate.</w:t>
      </w:r>
    </w:p>
    <w:p>
      <w:pPr>
        <w:pStyle w:val="Heading1"/>
      </w:pPr>
      <w:r>
        <w:t>An invitation to develop the first local capability</w:t>
      </w:r>
    </w:p>
    <w:p>
      <w:r>
        <w:t>Aura of Intelligence for disaster resilience and recovery is an invitation to develop personal capability and dependable community service together. The starting work is grounded in the public disaster repository and its connected proposals, with a practical route through discussion, demonstrations and measured trials.</w:t>
      </w:r>
    </w:p>
    <w:p>
      <w:r>
        <w:t>The first useful response may be a question, a problem worth improving or an offer to explore a role. Interest from households, community organisations, practitioners, businesses and public agencies would help identify where the next effort has the greatest value.</w:t>
      </w:r>
    </w:p>
    <w:p>
      <w:pPr>
        <w:pStyle w:val="Heading2"/>
      </w:pPr>
      <w:r>
        <w:t>For people and community hosts</w:t>
      </w:r>
    </w:p>
    <w:p>
      <w:r>
        <w:t>A person might want to try an Aura introduction, improve a household planning conversation or explore a practical role. A host may be interested in a demonstration, an accessible information point or a learning activity. Their experience helps shape the first service.</w:t>
      </w:r>
    </w:p>
    <w:p>
      <w:r>
        <w:t>Try Everything offers a pathway for supported exploration. Civic stewardship gives continuing shared work a purpose and an organising home. C-Hours recognise chosen voluntary contribution through locally shaped reciprocal opportunities. Public information and essential assistance remain available according to their actual service arrangements and people's needs.</w:t>
      </w:r>
    </w:p>
    <w:p>
      <w:pPr>
        <w:pStyle w:val="Heading2"/>
      </w:pPr>
      <w:r>
        <w:t>For practitioners suppliers and agencies</w:t>
      </w:r>
    </w:p>
    <w:p>
      <w:r>
        <w:t>An early discussion might identify a source that needs clearer presentation, a handover worth testing or a task that would benefit from a maintained learning item. The project would bring that interest into a specific proposal with the relevant people, resources and evidence.</w:t>
      </w:r>
    </w:p>
    <w:p>
      <w:r>
        <w:t>Council and supplier connections, including the proposed Guardian relationship, would grow through supported arrangements. Each organisation contributes within its own role. The aim is a better complete experience, with useful improvements demonstrated and responsibilities carried through.</w:t>
      </w:r>
    </w:p>
    <w:p>
      <w:pPr>
        <w:pStyle w:val="Heading2"/>
      </w:pPr>
      <w:r>
        <w:t>Keep the larger purpose in view</w:t>
      </w:r>
    </w:p>
    <w:p>
      <w:r>
        <w:t>The qualified self is the person developing through the work: learning what matters to them, understanding their choices and growing a personal relationship with intelligence. They own the data and digital twin through which that relationship develops. The community gains people with more useful experience and better ways to support one another.</w:t>
      </w:r>
    </w:p>
    <w:p>
      <w:r>
        <w:t>This is a Protopian gambit for a fair go through a demanding technological transition. Measured risks, just-in-time learning and honest evidence give the ambition a practical path. Joyful Responsible Abundance is judged through lives becoming more capable, connected and worth enjoying before, during and long after disruption.</w:t>
      </w:r>
    </w:p>
    <w:p>
      <w:hyperlink r:id="rId10">
        <w:r>
          <w:rPr>
            <w:color w:val="24576B"/>
            <w:u w:val="single"/>
            <w:sz w:val="22"/>
          </w:rPr>
          <w:t>Disaster project and participation information</w:t>
        </w:r>
      </w:hyperlink>
    </w:p>
    <w:p>
      <w:pPr>
        <w:pStyle w:val="Heading1"/>
      </w:pPr>
      <w:r>
        <w:t>Project foundations</w:t>
      </w:r>
    </w:p>
    <w:p>
      <w:r>
        <w:rPr>
          <w:sz w:val="20"/>
        </w:rPr>
        <w:t>P identifies project material; R identifies public research or guidance. Sources were checked on 27 October 2026. A source supports its related statement; inclusion does not establish an Aura partnership or endorsement. Illustrative people and scenarios are identified in the text.</w:t>
      </w:r>
    </w:p>
    <w:p>
      <w:pPr>
        <w:keepNext/>
        <w:spacing w:after="60"/>
      </w:pPr>
      <w:r>
        <w:rPr>
          <w:b/>
          <w:sz w:val="21"/>
        </w:rPr>
        <w:t xml:space="preserve">P1  </w:t>
      </w:r>
      <w:hyperlink r:id="rId10">
        <w:r>
          <w:rPr>
            <w:color w:val="24576B"/>
            <w:u w:val="single"/>
            <w:sz w:val="21"/>
          </w:rPr>
          <w:t>Aura Disaster Resilience</w:t>
        </w:r>
      </w:hyperlink>
    </w:p>
    <w:p>
      <w:pPr>
        <w:spacing w:after="180" w:line="254" w:lineRule="auto"/>
      </w:pPr>
      <w:r>
        <w:rPr>
          <w:sz w:val="20"/>
        </w:rPr>
        <w:t>Core planning repository. README, constraints and progress distinguish prepared research, proposed operating relationships and future demonstrations. Reviewed 27 October 2026.</w:t>
      </w:r>
    </w:p>
    <w:p>
      <w:pPr>
        <w:keepNext/>
        <w:spacing w:after="60"/>
      </w:pPr>
      <w:r>
        <w:rPr>
          <w:b/>
          <w:sz w:val="21"/>
        </w:rPr>
        <w:t xml:space="preserve">P2  </w:t>
      </w:r>
      <w:hyperlink r:id="rId11">
        <w:r>
          <w:rPr>
            <w:color w:val="24576B"/>
            <w:u w:val="single"/>
            <w:sz w:val="21"/>
          </w:rPr>
          <w:t>Understanding a personal Aura</w:t>
        </w:r>
      </w:hyperlink>
    </w:p>
    <w:p>
      <w:pPr>
        <w:spacing w:after="180" w:line="254" w:lineRule="auto"/>
      </w:pPr>
      <w:r>
        <w:rPr>
          <w:sz w:val="20"/>
        </w:rPr>
        <w:t>Project explanation of personal records, digital twins, reflection, interfaces and chosen information use. Design direction for the minimum viable self and continuing Aura.</w:t>
      </w:r>
    </w:p>
    <w:p>
      <w:pPr>
        <w:keepNext/>
        <w:spacing w:after="60"/>
      </w:pPr>
      <w:r>
        <w:rPr>
          <w:b/>
          <w:sz w:val="21"/>
        </w:rPr>
        <w:t xml:space="preserve">P3  </w:t>
      </w:r>
      <w:hyperlink r:id="rId12">
        <w:r>
          <w:rPr>
            <w:color w:val="24576B"/>
            <w:u w:val="single"/>
            <w:sz w:val="21"/>
          </w:rPr>
          <w:t>Aura Matrix Studio</w:t>
        </w:r>
      </w:hyperlink>
    </w:p>
    <w:p>
      <w:pPr>
        <w:spacing w:after="180" w:line="254" w:lineRule="auto"/>
      </w:pPr>
      <w:r>
        <w:rPr>
          <w:sz w:val="20"/>
        </w:rPr>
        <w:t>Current browser implementation and development notes. Editable records and exports are working functions; protected storage, personal model training and dependable external actions have further development paths.</w:t>
      </w:r>
    </w:p>
    <w:p>
      <w:pPr>
        <w:keepNext/>
        <w:spacing w:after="60"/>
      </w:pPr>
      <w:r>
        <w:rPr>
          <w:b/>
          <w:sz w:val="21"/>
        </w:rPr>
        <w:t xml:space="preserve">P4  </w:t>
      </w:r>
      <w:hyperlink r:id="rId13">
        <w:r>
          <w:rPr>
            <w:color w:val="24576B"/>
            <w:u w:val="single"/>
            <w:sz w:val="21"/>
          </w:rPr>
          <w:t>Community Hours</w:t>
        </w:r>
      </w:hyperlink>
    </w:p>
    <w:p>
      <w:pPr>
        <w:spacing w:after="180" w:line="254" w:lineRule="auto"/>
      </w:pPr>
      <w:r>
        <w:rPr>
          <w:sz w:val="20"/>
        </w:rPr>
        <w:t>Proposed non-monetary contribution recognition and locally shaped reciprocity. The disaster repository constraints retain elapsed-time, no-sale, no-transfer and no-double-counting rules.</w:t>
      </w:r>
    </w:p>
    <w:p>
      <w:pPr>
        <w:keepNext/>
        <w:spacing w:after="60"/>
      </w:pPr>
      <w:r>
        <w:rPr>
          <w:b/>
          <w:sz w:val="21"/>
        </w:rPr>
        <w:t xml:space="preserve">P5  </w:t>
      </w:r>
      <w:hyperlink r:id="rId14">
        <w:r>
          <w:rPr>
            <w:color w:val="24576B"/>
            <w:u w:val="single"/>
            <w:sz w:val="21"/>
          </w:rPr>
          <w:t>Mutual Futures and Try Everything Once</w:t>
        </w:r>
      </w:hyperlink>
    </w:p>
    <w:p>
      <w:pPr>
        <w:spacing w:after="180" w:line="254" w:lineRule="auto"/>
      </w:pPr>
      <w:r>
        <w:rPr>
          <w:sz w:val="20"/>
        </w:rPr>
        <w:t>Public proposal connecting ownership, income, supported work exploration, mentoring and the AI transition. Project direction, rather than an operating employment programme.</w:t>
      </w:r>
    </w:p>
    <w:p>
      <w:pPr>
        <w:keepNext/>
        <w:spacing w:after="60"/>
      </w:pPr>
      <w:r>
        <w:rPr>
          <w:b/>
          <w:sz w:val="21"/>
        </w:rPr>
        <w:t xml:space="preserve">P6  </w:t>
      </w:r>
      <w:hyperlink r:id="rId15">
        <w:r>
          <w:rPr>
            <w:color w:val="24576B"/>
            <w:u w:val="single"/>
            <w:sz w:val="21"/>
          </w:rPr>
          <w:t>All weather kiosk design</w:t>
        </w:r>
      </w:hyperlink>
    </w:p>
    <w:p>
      <w:pPr>
        <w:spacing w:after="180" w:line="254" w:lineRule="auto"/>
      </w:pPr>
      <w:r>
        <w:rPr>
          <w:sz w:val="20"/>
        </w:rPr>
        <w:t>Sheltered demonstrator, outdoor installation and portable continuity-kit proposals. Drawings, exposure tests and measured endurance remain distinct development milestones.</w:t>
      </w:r>
    </w:p>
    <w:p>
      <w:pPr>
        <w:keepNext/>
        <w:spacing w:after="60"/>
      </w:pPr>
      <w:r>
        <w:rPr>
          <w:b/>
          <w:sz w:val="21"/>
        </w:rPr>
        <w:t xml:space="preserve">P7  </w:t>
      </w:r>
      <w:hyperlink r:id="rId16">
        <w:r>
          <w:rPr>
            <w:color w:val="24576B"/>
            <w:u w:val="single"/>
            <w:sz w:val="21"/>
          </w:rPr>
          <w:t>Everyday to disaster demonstration</w:t>
        </w:r>
      </w:hyperlink>
    </w:p>
    <w:p>
      <w:pPr>
        <w:spacing w:after="180" w:line="254" w:lineRule="auto"/>
      </w:pPr>
      <w:r>
        <w:rPr>
          <w:sz w:val="20"/>
        </w:rPr>
        <w:t>Sample people, locations, notices, requests, learning and restoration. Proposed practical testing over two to three days; simulated timelines remain distinct from measured hardware endurance.</w:t>
      </w:r>
    </w:p>
    <w:p>
      <w:pPr>
        <w:keepNext/>
        <w:spacing w:after="60"/>
      </w:pPr>
      <w:r>
        <w:rPr>
          <w:b/>
          <w:sz w:val="21"/>
        </w:rPr>
        <w:t xml:space="preserve">P8  </w:t>
      </w:r>
      <w:hyperlink r:id="rId17">
        <w:r>
          <w:rPr>
            <w:color w:val="24576B"/>
            <w:u w:val="single"/>
            <w:sz w:val="21"/>
          </w:rPr>
          <w:t>Council plans and Aura integration</w:t>
        </w:r>
      </w:hyperlink>
    </w:p>
    <w:p>
      <w:pPr>
        <w:spacing w:after="180" w:line="254" w:lineRule="auto"/>
      </w:pPr>
      <w:r>
        <w:rPr>
          <w:sz w:val="20"/>
        </w:rPr>
        <w:t>AI-generated comparison of supplied Redland plans and a proposed path through discussion, comparison exercises and a jointly scoped pilot. No Council participation or approval is established by this analysis.</w:t>
      </w:r>
    </w:p>
    <w:p>
      <w:pPr>
        <w:pStyle w:val="Heading1"/>
      </w:pPr>
      <w:r>
        <w:t>Project connections and public planning</w:t>
      </w:r>
    </w:p>
    <w:p>
      <w:pPr>
        <w:keepNext/>
        <w:spacing w:after="60"/>
      </w:pPr>
      <w:r>
        <w:rPr>
          <w:b/>
          <w:sz w:val="21"/>
        </w:rPr>
        <w:t xml:space="preserve">P9  </w:t>
      </w:r>
      <w:hyperlink r:id="rId18">
        <w:r>
          <w:rPr>
            <w:color w:val="24576B"/>
            <w:u w:val="single"/>
            <w:sz w:val="21"/>
          </w:rPr>
          <w:t>Guardian IMS and a future Aura connection</w:t>
        </w:r>
      </w:hyperlink>
    </w:p>
    <w:p>
      <w:pPr>
        <w:spacing w:after="180" w:line="254" w:lineRule="auto"/>
      </w:pPr>
      <w:r>
        <w:rPr>
          <w:sz w:val="20"/>
        </w:rPr>
        <w:t>Public-source research and proposed Council-supplier-community relationships, dated 21 October 2026. Supported exchange, current contracts and local configuration remain matters for actual participants.</w:t>
      </w:r>
    </w:p>
    <w:p>
      <w:pPr>
        <w:keepNext/>
        <w:spacing w:after="60"/>
      </w:pPr>
      <w:r>
        <w:rPr>
          <w:b/>
          <w:sz w:val="21"/>
        </w:rPr>
        <w:t xml:space="preserve">P10  </w:t>
      </w:r>
      <w:hyperlink r:id="rId19">
        <w:r>
          <w:rPr>
            <w:color w:val="24576B"/>
            <w:u w:val="single"/>
            <w:sz w:val="21"/>
          </w:rPr>
          <w:t>Your Relevance questionnaire</w:t>
        </w:r>
      </w:hyperlink>
    </w:p>
    <w:p>
      <w:pPr>
        <w:spacing w:after="180" w:line="254" w:lineRule="auto"/>
      </w:pPr>
      <w:r>
        <w:rPr>
          <w:sz w:val="20"/>
        </w:rPr>
        <w:t>Project questionnaire for preparing a legal research brief from chosen circumstances. A source-led introduction to the questions relevant to a person and activity.</w:t>
      </w:r>
    </w:p>
    <w:p>
      <w:pPr>
        <w:keepNext/>
        <w:spacing w:after="60"/>
      </w:pPr>
      <w:r>
        <w:rPr>
          <w:b/>
          <w:sz w:val="21"/>
        </w:rPr>
        <w:t xml:space="preserve">P11  </w:t>
      </w:r>
      <w:hyperlink r:id="rId20">
        <w:r>
          <w:rPr>
            <w:color w:val="24576B"/>
            <w:u w:val="single"/>
            <w:sz w:val="21"/>
          </w:rPr>
          <w:t>Working together through shared records</w:t>
        </w:r>
      </w:hyperlink>
    </w:p>
    <w:p>
      <w:pPr>
        <w:spacing w:after="180" w:line="254" w:lineRule="auto"/>
      </w:pPr>
      <w:r>
        <w:rPr>
          <w:sz w:val="20"/>
        </w:rPr>
        <w:t>Proposed organising, meeting, decision and shared-record model for the co-operative and connected projects. Formation, appointments and adoption have their own future milestones.</w:t>
      </w:r>
    </w:p>
    <w:p>
      <w:pPr>
        <w:keepNext/>
        <w:spacing w:after="60"/>
      </w:pPr>
      <w:r>
        <w:rPr>
          <w:b/>
          <w:sz w:val="21"/>
        </w:rPr>
        <w:t xml:space="preserve">P12  </w:t>
      </w:r>
      <w:hyperlink r:id="rId21">
        <w:r>
          <w:rPr>
            <w:color w:val="24576B"/>
            <w:u w:val="single"/>
            <w:sz w:val="21"/>
          </w:rPr>
          <w:t>Australian Legal Engine</w:t>
        </w:r>
      </w:hyperlink>
    </w:p>
    <w:p>
      <w:pPr>
        <w:spacing w:after="180" w:line="254" w:lineRule="auto"/>
      </w:pPr>
      <w:r>
        <w:rPr>
          <w:sz w:val="20"/>
        </w:rPr>
        <w:t>Working local provision retrieval, indexing and source tracing. Its current evidence includes a historical 2012 collection; current legal acquisition and amendment awareness are not claimed complete.</w:t>
      </w:r>
    </w:p>
    <w:p>
      <w:pPr>
        <w:keepNext/>
        <w:spacing w:after="60"/>
      </w:pPr>
      <w:r>
        <w:rPr>
          <w:b/>
          <w:sz w:val="21"/>
        </w:rPr>
        <w:t xml:space="preserve">P13  </w:t>
      </w:r>
      <w:hyperlink r:id="rId22">
        <w:r>
          <w:rPr>
            <w:color w:val="24576B"/>
            <w:u w:val="single"/>
            <w:sz w:val="21"/>
          </w:rPr>
          <w:t>Healthy De Slop co operatives</w:t>
        </w:r>
      </w:hyperlink>
    </w:p>
    <w:p>
      <w:pPr>
        <w:spacing w:after="180" w:line="254" w:lineRule="auto"/>
      </w:pPr>
      <w:r>
        <w:rPr>
          <w:sz w:val="20"/>
        </w:rPr>
        <w:t>Public proposal for community-shaped wellbeing, shared sauna, hot and cold experiences, professionally supervised HBOT and personal reflection. Local facilities and partnerships remain development work.</w:t>
      </w:r>
    </w:p>
    <w:p>
      <w:pPr>
        <w:keepNext/>
        <w:spacing w:after="60"/>
      </w:pPr>
      <w:r>
        <w:rPr>
          <w:b/>
          <w:sz w:val="21"/>
        </w:rPr>
        <w:t xml:space="preserve">R1  </w:t>
      </w:r>
      <w:hyperlink r:id="rId23">
        <w:r>
          <w:rPr>
            <w:color w:val="24576B"/>
            <w:u w:val="single"/>
            <w:sz w:val="21"/>
          </w:rPr>
          <w:t>Smartphone use in the ACCC consumer survey</w:t>
        </w:r>
      </w:hyperlink>
    </w:p>
    <w:p>
      <w:pPr>
        <w:spacing w:after="180" w:line="254" w:lineRule="auto"/>
      </w:pPr>
      <w:r>
        <w:rPr>
          <w:sz w:val="20"/>
        </w:rPr>
        <w:t>Lonergan Research for the Australian Competition and Consumer Commission, February 2025. Page 37: 94% of respondents aged 14 and older had a smartphone for personal use. Fieldwork October-November 2024; sample 3,075.</w:t>
      </w:r>
    </w:p>
    <w:p>
      <w:pPr>
        <w:keepNext/>
        <w:spacing w:after="60"/>
      </w:pPr>
      <w:r>
        <w:rPr>
          <w:b/>
          <w:sz w:val="21"/>
        </w:rPr>
        <w:t xml:space="preserve">R2  </w:t>
      </w:r>
      <w:hyperlink r:id="rId24">
        <w:r>
          <w:rPr>
            <w:color w:val="24576B"/>
            <w:u w:val="single"/>
            <w:sz w:val="21"/>
          </w:rPr>
          <w:t>International AI Safety Report 2026</w:t>
        </w:r>
      </w:hyperlink>
    </w:p>
    <w:p>
      <w:pPr>
        <w:spacing w:after="180" w:line="254" w:lineRule="auto"/>
      </w:pPr>
      <w:r>
        <w:rPr>
          <w:sz w:val="20"/>
        </w:rPr>
        <w:t>Scientific synthesis of general-purpose AI capabilities and risks. Context for increasing capability and uncertainty; neither a timetable for SI nor evidence of Aura performance.</w:t>
      </w:r>
    </w:p>
    <w:p>
      <w:pPr>
        <w:keepNext/>
        <w:spacing w:after="60"/>
      </w:pPr>
      <w:r>
        <w:rPr>
          <w:b/>
          <w:sz w:val="21"/>
        </w:rPr>
        <w:t xml:space="preserve">R3  </w:t>
      </w:r>
      <w:hyperlink r:id="rId25">
        <w:r>
          <w:rPr>
            <w:color w:val="24576B"/>
            <w:u w:val="single"/>
            <w:sz w:val="21"/>
          </w:rPr>
          <w:t>Get Ready Queensland</w:t>
        </w:r>
      </w:hyperlink>
    </w:p>
    <w:p>
      <w:pPr>
        <w:spacing w:after="180" w:line="254" w:lineRule="auto"/>
      </w:pPr>
      <w:r>
        <w:rPr>
          <w:sz w:val="20"/>
        </w:rPr>
        <w:t>Queensland public preparedness guidance: understand local risk, make a plan and prepare a kit, with routes to warnings, dashboards and recovery information. Current instructions remain with the issuing services.</w:t>
      </w:r>
    </w:p>
    <w:p>
      <w:pPr>
        <w:pStyle w:val="Heading1"/>
      </w:pPr>
      <w:r>
        <w:t>Information inclusion and community practice</w:t>
      </w:r>
    </w:p>
    <w:p>
      <w:pPr>
        <w:keepNext/>
        <w:spacing w:after="60"/>
      </w:pPr>
      <w:r>
        <w:rPr>
          <w:b/>
          <w:sz w:val="21"/>
        </w:rPr>
        <w:t xml:space="preserve">R4  </w:t>
      </w:r>
      <w:hyperlink r:id="rId26">
        <w:r>
          <w:rPr>
            <w:color w:val="24576B"/>
            <w:u w:val="single"/>
            <w:sz w:val="21"/>
          </w:rPr>
          <w:t>Queensland disaster management plans</w:t>
        </w:r>
      </w:hyperlink>
    </w:p>
    <w:p>
      <w:pPr>
        <w:spacing w:after="180" w:line="254" w:lineRule="auto"/>
      </w:pPr>
      <w:r>
        <w:rPr>
          <w:sz w:val="20"/>
        </w:rPr>
        <w:t>Official plans portal. It records advice of Interim State Disaster Management Plan approval on 30 January 2026 and links local, district, state and recovery material.</w:t>
      </w:r>
    </w:p>
    <w:p>
      <w:pPr>
        <w:keepNext/>
        <w:spacing w:after="60"/>
      </w:pPr>
      <w:r>
        <w:rPr>
          <w:b/>
          <w:sz w:val="21"/>
        </w:rPr>
        <w:t xml:space="preserve">R5  </w:t>
      </w:r>
      <w:hyperlink r:id="rId27">
        <w:r>
          <w:rPr>
            <w:color w:val="24576B"/>
            <w:u w:val="single"/>
            <w:sz w:val="21"/>
          </w:rPr>
          <w:t>Redland Local Disaster Management Plan December 2025</w:t>
        </w:r>
      </w:hyperlink>
    </w:p>
    <w:p>
      <w:pPr>
        <w:spacing w:after="180" w:line="254" w:lineRule="auto"/>
      </w:pPr>
      <w:r>
        <w:rPr>
          <w:sz w:val="20"/>
        </w:rPr>
        <w:t>Version 1.2, approved 19 December 2025. Public coordination, information, tasking and continuity context. Guardian discussion: printed pages 74-75, PDF pages 75-76. Confirm the edition for a particular proposal.</w:t>
      </w:r>
    </w:p>
    <w:p>
      <w:pPr>
        <w:keepNext/>
        <w:spacing w:after="60"/>
      </w:pPr>
      <w:r>
        <w:rPr>
          <w:b/>
          <w:sz w:val="21"/>
        </w:rPr>
        <w:t xml:space="preserve">R6  </w:t>
      </w:r>
      <w:hyperlink r:id="rId28">
        <w:r>
          <w:rPr>
            <w:color w:val="24576B"/>
            <w:u w:val="single"/>
            <w:sz w:val="21"/>
          </w:rPr>
          <w:t>Australian Warning System in Queensland</w:t>
        </w:r>
      </w:hyperlink>
    </w:p>
    <w:p>
      <w:pPr>
        <w:spacing w:after="180" w:line="254" w:lineRule="auto"/>
      </w:pPr>
      <w:r>
        <w:rPr>
          <w:sz w:val="20"/>
        </w:rPr>
        <w:t>Queensland Government. Explains warning issuers, levels, calls to action and the relationship with Bureau of Meteorology warnings. Source meaning and current messages remain essential.</w:t>
      </w:r>
    </w:p>
    <w:p>
      <w:pPr>
        <w:keepNext/>
        <w:spacing w:after="60"/>
      </w:pPr>
      <w:r>
        <w:rPr>
          <w:b/>
          <w:sz w:val="21"/>
        </w:rPr>
        <w:t xml:space="preserve">R7  </w:t>
      </w:r>
      <w:hyperlink r:id="rId29">
        <w:r>
          <w:rPr>
            <w:color w:val="24576B"/>
            <w:u w:val="single"/>
            <w:sz w:val="21"/>
          </w:rPr>
          <w:t>Inclusive preparedness and disability</w:t>
        </w:r>
      </w:hyperlink>
    </w:p>
    <w:p>
      <w:pPr>
        <w:spacing w:after="180" w:line="254" w:lineRule="auto"/>
      </w:pPr>
      <w:r>
        <w:rPr>
          <w:sz w:val="20"/>
        </w:rPr>
        <w:t>Get Ready Queensland. Person-centred preparedness and lived experience of people with disability, with practical resources for people and their support networks.</w:t>
      </w:r>
    </w:p>
    <w:p>
      <w:pPr>
        <w:keepNext/>
        <w:spacing w:after="60"/>
      </w:pPr>
      <w:r>
        <w:rPr>
          <w:b/>
          <w:sz w:val="21"/>
        </w:rPr>
        <w:t xml:space="preserve">R8  </w:t>
      </w:r>
      <w:hyperlink r:id="rId30">
        <w:r>
          <w:rPr>
            <w:color w:val="24576B"/>
            <w:u w:val="single"/>
            <w:sz w:val="21"/>
          </w:rPr>
          <w:t>National Principles for Disaster Recovery</w:t>
        </w:r>
      </w:hyperlink>
    </w:p>
    <w:p>
      <w:pPr>
        <w:spacing w:after="180" w:line="254" w:lineRule="auto"/>
      </w:pPr>
      <w:r>
        <w:rPr>
          <w:sz w:val="20"/>
        </w:rPr>
        <w:t>Australian Institute for Disaster Resilience. Community context, community-led recovery, changing needs, connections to Country and support over different recovery timeframes.</w:t>
      </w:r>
    </w:p>
    <w:p>
      <w:pPr>
        <w:keepNext/>
        <w:spacing w:after="60"/>
      </w:pPr>
      <w:r>
        <w:rPr>
          <w:b/>
          <w:sz w:val="21"/>
        </w:rPr>
        <w:t xml:space="preserve">R9  </w:t>
      </w:r>
      <w:hyperlink r:id="rId31">
        <w:r>
          <w:rPr>
            <w:color w:val="24576B"/>
            <w:u w:val="single"/>
            <w:sz w:val="21"/>
          </w:rPr>
          <w:t>Planning for spontaneous volunteers</w:t>
        </w:r>
      </w:hyperlink>
    </w:p>
    <w:p>
      <w:pPr>
        <w:spacing w:after="180" w:line="254" w:lineRule="auto"/>
      </w:pPr>
      <w:r>
        <w:rPr>
          <w:sz w:val="20"/>
        </w:rPr>
        <w:t>Australian Institute for Disaster Resilience, 2017 handbook, listed current. Nationally agreed principles for organisations planning for and supporting spontaneous community volunteering.</w:t>
      </w:r>
    </w:p>
    <w:p>
      <w:pPr>
        <w:keepNext/>
        <w:spacing w:after="60"/>
      </w:pPr>
      <w:r>
        <w:rPr>
          <w:b/>
          <w:sz w:val="21"/>
        </w:rPr>
        <w:t xml:space="preserve">R10  </w:t>
      </w:r>
      <w:hyperlink r:id="rId32">
        <w:r>
          <w:rPr>
            <w:color w:val="24576B"/>
            <w:u w:val="single"/>
            <w:sz w:val="21"/>
          </w:rPr>
          <w:t>National Standards for Volunteer Involvement</w:t>
        </w:r>
      </w:hyperlink>
    </w:p>
    <w:p>
      <w:pPr>
        <w:spacing w:after="180" w:line="254" w:lineRule="auto"/>
      </w:pPr>
      <w:r>
        <w:rPr>
          <w:sz w:val="20"/>
        </w:rPr>
        <w:t>Volunteering Australia. Practice guidance for meaningful roles, inclusion, support, recognition and continuous improvement. Relevant to the human arrangements around the proposed service.</w:t>
      </w:r>
    </w:p>
    <w:p>
      <w:pPr>
        <w:pStyle w:val="Heading1"/>
      </w:pPr>
      <w:r>
        <w:t>Privacy systems and recovery evidence</w:t>
      </w:r>
    </w:p>
    <w:p>
      <w:pPr>
        <w:keepNext/>
        <w:spacing w:after="60"/>
      </w:pPr>
      <w:r>
        <w:rPr>
          <w:b/>
          <w:sz w:val="21"/>
        </w:rPr>
        <w:t xml:space="preserve">R11  </w:t>
      </w:r>
      <w:hyperlink r:id="rId33">
        <w:r>
          <w:rPr>
            <w:color w:val="24576B"/>
            <w:u w:val="single"/>
            <w:sz w:val="21"/>
          </w:rPr>
          <w:t>Unpaid work and employment relationships</w:t>
        </w:r>
      </w:hyperlink>
    </w:p>
    <w:p>
      <w:pPr>
        <w:spacing w:after="180" w:line="254" w:lineRule="auto"/>
      </w:pPr>
      <w:r>
        <w:rPr>
          <w:sz w:val="20"/>
        </w:rPr>
        <w:t>Fair Work Ombudsman. Actual arrangements determine whether an employment relationship exists and what entitlements apply. A label alone does not settle the status of work.</w:t>
      </w:r>
    </w:p>
    <w:p>
      <w:pPr>
        <w:keepNext/>
        <w:spacing w:after="60"/>
      </w:pPr>
      <w:r>
        <w:rPr>
          <w:b/>
          <w:sz w:val="21"/>
        </w:rPr>
        <w:t xml:space="preserve">R12  </w:t>
      </w:r>
      <w:hyperlink r:id="rId34">
        <w:r>
          <w:rPr>
            <w:color w:val="24576B"/>
            <w:u w:val="single"/>
            <w:sz w:val="21"/>
          </w:rPr>
          <w:t>Privacy in emergencies and disasters</w:t>
        </w:r>
      </w:hyperlink>
    </w:p>
    <w:p>
      <w:pPr>
        <w:spacing w:after="180" w:line="254" w:lineRule="auto"/>
      </w:pPr>
      <w:r>
        <w:rPr>
          <w:sz w:val="20"/>
        </w:rPr>
        <w:t>Office of the Australian Information Commissioner, updated 16 June 2025. Guidance for relevant entities on information sharing and the federal Privacy Act in emergency circumstances.</w:t>
      </w:r>
    </w:p>
    <w:p>
      <w:pPr>
        <w:keepNext/>
        <w:spacing w:after="60"/>
      </w:pPr>
      <w:r>
        <w:rPr>
          <w:b/>
          <w:sz w:val="21"/>
        </w:rPr>
        <w:t xml:space="preserve">R13  </w:t>
      </w:r>
      <w:hyperlink r:id="rId35">
        <w:r>
          <w:rPr>
            <w:color w:val="24576B"/>
            <w:u w:val="single"/>
            <w:sz w:val="21"/>
          </w:rPr>
          <w:t>Queensland Privacy Principles</w:t>
        </w:r>
      </w:hyperlink>
    </w:p>
    <w:p>
      <w:pPr>
        <w:spacing w:after="180" w:line="254" w:lineRule="auto"/>
      </w:pPr>
      <w:r>
        <w:rPr>
          <w:sz w:val="20"/>
        </w:rPr>
        <w:t>Office of the Information Commissioner Queensland. Public-sector privacy context for collection, use, disclosure, security and access. Applicable duties depend on the entity and circumstances.</w:t>
      </w:r>
    </w:p>
    <w:p>
      <w:pPr>
        <w:keepNext/>
        <w:spacing w:after="60"/>
      </w:pPr>
      <w:r>
        <w:rPr>
          <w:b/>
          <w:sz w:val="21"/>
        </w:rPr>
        <w:t xml:space="preserve">R14  </w:t>
      </w:r>
      <w:hyperlink r:id="rId36">
        <w:r>
          <w:rPr>
            <w:color w:val="24576B"/>
            <w:u w:val="single"/>
            <w:sz w:val="21"/>
          </w:rPr>
          <w:t>Guardian IMS product description</w:t>
        </w:r>
      </w:hyperlink>
    </w:p>
    <w:p>
      <w:pPr>
        <w:spacing w:after="180" w:line="254" w:lineRule="auto"/>
      </w:pPr>
      <w:r>
        <w:rPr>
          <w:sz w:val="20"/>
        </w:rPr>
        <w:t>QIT Plus. Vendor description of incident-management tasks, information, maps and reporting. Product claims and the proposed Aura relationship retain their separate status.</w:t>
      </w:r>
    </w:p>
    <w:p>
      <w:pPr>
        <w:keepNext/>
        <w:spacing w:after="60"/>
      </w:pPr>
      <w:r>
        <w:rPr>
          <w:b/>
          <w:sz w:val="21"/>
        </w:rPr>
        <w:t xml:space="preserve">R15  </w:t>
      </w:r>
      <w:hyperlink r:id="rId37">
        <w:r>
          <w:rPr>
            <w:color w:val="24576B"/>
            <w:u w:val="single"/>
            <w:sz w:val="21"/>
          </w:rPr>
          <w:t>Redland recovery after Cyclone Alfred</w:t>
        </w:r>
      </w:hyperlink>
    </w:p>
    <w:p>
      <w:pPr>
        <w:spacing w:after="180" w:line="254" w:lineRule="auto"/>
      </w:pPr>
      <w:r>
        <w:rPr>
          <w:sz w:val="20"/>
        </w:rPr>
        <w:t>Council page identifies two event-specific recovery plans endorsed 16 July 2025 and existing recovery and donation routes. Time-limited offers are checked with the responsible provider before use.</w:t>
      </w:r>
    </w:p>
    <w:p>
      <w:pPr>
        <w:keepNext/>
        <w:spacing w:after="60"/>
      </w:pPr>
      <w:r>
        <w:rPr>
          <w:b/>
          <w:sz w:val="21"/>
        </w:rPr>
        <w:t xml:space="preserve">R16  </w:t>
      </w:r>
      <w:hyperlink r:id="rId38">
        <w:r>
          <w:rPr>
            <w:color w:val="24576B"/>
            <w:u w:val="single"/>
            <w:sz w:val="21"/>
          </w:rPr>
          <w:t>2025 Significant Weather Events Summary Report</w:t>
        </w:r>
      </w:hyperlink>
    </w:p>
    <w:p>
      <w:pPr>
        <w:spacing w:after="180" w:line="254" w:lineRule="auto"/>
      </w:pPr>
      <w:r>
        <w:rPr>
          <w:sz w:val="20"/>
        </w:rPr>
        <w:t>Queensland Inspector-General of Emergency Management. Pages 59-60 discuss common-system benefits, information-sharing concerns and request duplication during reviewed events. Dated findings, rather than a current product benchmark.</w:t>
      </w:r>
    </w:p>
    <w:p>
      <w:pPr>
        <w:keepNext/>
        <w:spacing w:after="60"/>
      </w:pPr>
      <w:r>
        <w:rPr>
          <w:b/>
          <w:sz w:val="21"/>
        </w:rPr>
        <w:t xml:space="preserve">R17  </w:t>
      </w:r>
      <w:hyperlink r:id="rId39">
        <w:r>
          <w:rPr>
            <w:color w:val="24576B"/>
            <w:u w:val="single"/>
            <w:sz w:val="21"/>
          </w:rPr>
          <w:t>Royal Commission into National Natural Disaster Arrangements</w:t>
        </w:r>
      </w:hyperlink>
    </w:p>
    <w:p>
      <w:pPr>
        <w:spacing w:after="180" w:line="254" w:lineRule="auto"/>
      </w:pPr>
      <w:r>
        <w:rPr>
          <w:sz w:val="20"/>
        </w:rPr>
        <w:t>Final report delivered 28 October 2020 and tabled 30 October 2020. National public-review context for prevention, mitigation and response arrangements.</w:t>
      </w:r>
    </w:p>
    <w:p>
      <w:pPr>
        <w:pStyle w:val="Heading1"/>
      </w:pPr>
      <w:r>
        <w:t>Global practice learning and development</w:t>
      </w:r>
    </w:p>
    <w:p>
      <w:pPr>
        <w:keepNext/>
        <w:spacing w:after="60"/>
      </w:pPr>
      <w:r>
        <w:rPr>
          <w:b/>
          <w:sz w:val="21"/>
        </w:rPr>
        <w:t xml:space="preserve">R18  </w:t>
      </w:r>
      <w:hyperlink r:id="rId40">
        <w:r>
          <w:rPr>
            <w:color w:val="24576B"/>
            <w:u w:val="single"/>
            <w:sz w:val="21"/>
          </w:rPr>
          <w:t>Wellington Community Emergency Hubs</w:t>
        </w:r>
      </w:hyperlink>
    </w:p>
    <w:p>
      <w:pPr>
        <w:spacing w:after="180" w:line="254" w:lineRule="auto"/>
      </w:pPr>
      <w:r>
        <w:rPr>
          <w:sz w:val="20"/>
        </w:rPr>
        <w:t>Wellington Region Emergency Management Office, New Zealand. Community-led sharing of information, skills and resources offers a practice comparison, with local Australian arrangements to develop separately.</w:t>
      </w:r>
    </w:p>
    <w:p>
      <w:pPr>
        <w:keepNext/>
        <w:spacing w:after="60"/>
      </w:pPr>
      <w:r>
        <w:rPr>
          <w:b/>
          <w:sz w:val="21"/>
        </w:rPr>
        <w:t xml:space="preserve">R19  </w:t>
      </w:r>
      <w:hyperlink r:id="rId41">
        <w:r>
          <w:rPr>
            <w:color w:val="24576B"/>
            <w:u w:val="single"/>
            <w:sz w:val="21"/>
          </w:rPr>
          <w:t>Shoalhaven Community Information Hubs</w:t>
        </w:r>
      </w:hyperlink>
    </w:p>
    <w:p>
      <w:pPr>
        <w:spacing w:after="180" w:line="254" w:lineRule="auto"/>
      </w:pPr>
      <w:r>
        <w:rPr>
          <w:sz w:val="20"/>
        </w:rPr>
        <w:t>Shoalhaven City Council project record. Public screens for everyday and emergency information, developed after communication disruption in the 2019-20 bushfires, with supporting power and communications.</w:t>
      </w:r>
    </w:p>
    <w:p>
      <w:pPr>
        <w:keepNext/>
        <w:spacing w:after="60"/>
      </w:pPr>
      <w:r>
        <w:rPr>
          <w:b/>
          <w:sz w:val="21"/>
        </w:rPr>
        <w:t xml:space="preserve">R20  </w:t>
      </w:r>
      <w:hyperlink r:id="rId42">
        <w:r>
          <w:rPr>
            <w:color w:val="24576B"/>
            <w:u w:val="single"/>
            <w:sz w:val="21"/>
          </w:rPr>
          <w:t>Sendai Framework for Disaster Risk Reduction</w:t>
        </w:r>
      </w:hyperlink>
    </w:p>
    <w:p>
      <w:pPr>
        <w:spacing w:after="180" w:line="254" w:lineRule="auto"/>
      </w:pPr>
      <w:r>
        <w:rPr>
          <w:sz w:val="20"/>
        </w:rPr>
        <w:t>United Nations Office for Disaster Risk Reduction. The 2015-2030 framework connects understanding risk, governance, investment, preparedness and better recovery.</w:t>
      </w:r>
    </w:p>
    <w:p>
      <w:pPr>
        <w:keepNext/>
        <w:spacing w:after="60"/>
      </w:pPr>
      <w:r>
        <w:rPr>
          <w:b/>
          <w:sz w:val="21"/>
        </w:rPr>
        <w:t xml:space="preserve">R21  </w:t>
      </w:r>
      <w:hyperlink r:id="rId43">
        <w:r>
          <w:rPr>
            <w:color w:val="24576B"/>
            <w:u w:val="single"/>
            <w:sz w:val="21"/>
          </w:rPr>
          <w:t>Managing Exercises Handbook</w:t>
        </w:r>
      </w:hyperlink>
    </w:p>
    <w:p>
      <w:pPr>
        <w:spacing w:after="180" w:line="254" w:lineRule="auto"/>
      </w:pPr>
      <w:r>
        <w:rPr>
          <w:sz w:val="20"/>
        </w:rPr>
        <w:t>Australian Institute for Disaster Resilience, 2023 edition, listed current. National reference for controlled exercises and evaluation, including companion recovery-exercising resources.</w:t>
      </w:r>
    </w:p>
    <w:p>
      <w:pPr>
        <w:keepNext/>
        <w:spacing w:after="60"/>
      </w:pPr>
      <w:r>
        <w:rPr>
          <w:b/>
          <w:sz w:val="21"/>
        </w:rPr>
        <w:t xml:space="preserve">R22  </w:t>
      </w:r>
      <w:hyperlink r:id="rId44">
        <w:r>
          <w:rPr>
            <w:color w:val="24576B"/>
            <w:u w:val="single"/>
            <w:sz w:val="21"/>
          </w:rPr>
          <w:t>Disaster Ready Fund</w:t>
        </w:r>
      </w:hyperlink>
    </w:p>
    <w:p>
      <w:pPr>
        <w:spacing w:after="180" w:line="254" w:lineRule="auto"/>
      </w:pPr>
      <w:r>
        <w:rPr>
          <w:sz w:val="20"/>
        </w:rPr>
        <w:t>National Emergency Management Agency. Australian Government resilience and risk-reduction programme administered with state and territory partners. A reference for funding research, without assuming Aura eligibility or an award.</w:t>
      </w:r>
    </w:p>
    <w:p>
      <w:pPr>
        <w:keepNext/>
        <w:spacing w:after="60"/>
      </w:pPr>
      <w:r>
        <w:rPr>
          <w:b/>
          <w:sz w:val="21"/>
        </w:rPr>
        <w:t xml:space="preserve">R23  </w:t>
      </w:r>
      <w:hyperlink r:id="rId45">
        <w:r>
          <w:rPr>
            <w:color w:val="24576B"/>
            <w:u w:val="single"/>
            <w:sz w:val="21"/>
          </w:rPr>
          <w:t>Queensland Recovery Plan</w:t>
        </w:r>
      </w:hyperlink>
    </w:p>
    <w:p>
      <w:pPr>
        <w:spacing w:after="180" w:line="254" w:lineRule="auto"/>
      </w:pPr>
      <w:r>
        <w:rPr>
          <w:sz w:val="20"/>
        </w:rPr>
        <w:t>Queensland Reconstruction Authority. Published all-hazards recovery planning and coordination context, linked by the current state plans portal. Particular service and event arrangements retain their current source.</w:t>
      </w:r>
    </w:p>
    <w:p>
      <w:pPr>
        <w:keepNext/>
        <w:spacing w:after="60"/>
      </w:pPr>
      <w:r>
        <w:rPr>
          <w:b/>
          <w:sz w:val="21"/>
        </w:rPr>
        <w:t xml:space="preserve">R24  </w:t>
      </w:r>
      <w:hyperlink r:id="rId46">
        <w:r>
          <w:rPr>
            <w:color w:val="24576B"/>
            <w:u w:val="single"/>
            <w:sz w:val="21"/>
          </w:rPr>
          <w:t>Hyperbaric medicine and clinical assessment</w:t>
        </w:r>
      </w:hyperlink>
    </w:p>
    <w:p>
      <w:pPr>
        <w:spacing w:after="180" w:line="254" w:lineRule="auto"/>
      </w:pPr>
      <w:r>
        <w:rPr>
          <w:sz w:val="20"/>
        </w:rPr>
        <w:t>Royal Brisbane and Women's Hospital, Metro North Health. Explains oxygen treatment under pressure, specialist assessment and trained staff. Clinical context for HBOT; no Aura partnership is implied.</w:t>
      </w:r>
    </w:p>
    <w:sectPr w:rsidR="00FC693F" w:rsidRPr="0006063C" w:rsidSect="00034616">
      <w:footerReference w:type="default" r:id="rId9"/>
      <w:pgSz w:w="11906" w:h="16838"/>
      <w:pgMar w:top="1152" w:right="1152" w:bottom="1080" w:left="1152"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Aura of Intelligence  |  Disaster resilience and recovery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4"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8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line="264"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0" w:line="259"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40" w:line="264" w:lineRule="auto"/>
    </w:pPr>
    <w:rPr>
      <w:rFonts w:asciiTheme="majorHAnsi" w:eastAsiaTheme="majorEastAsia" w:hAnsiTheme="majorHAnsi" w:cstheme="majorBidi" w:ascii="Calibri" w:hAnsi="Calibri"/>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uraofintelligence/aura-disaster-resilience" TargetMode="External"/><Relationship Id="rId11" Type="http://schemas.openxmlformats.org/officeDocument/2006/relationships/hyperlink" Target="https://auraofintelligence.github.io/aura-verse-box/personal-aura.html" TargetMode="External"/><Relationship Id="rId12" Type="http://schemas.openxmlformats.org/officeDocument/2006/relationships/hyperlink" Target="https://github.com/auraofintelligence/aura-matrix-studio/blob/main/README.md" TargetMode="External"/><Relationship Id="rId13" Type="http://schemas.openxmlformats.org/officeDocument/2006/relationships/hyperlink" Target="https://github.com/auraofintelligence/C-Hour-introduction" TargetMode="External"/><Relationship Id="rId14" Type="http://schemas.openxmlformats.org/officeDocument/2006/relationships/hyperlink" Target="https://github.com/auraofintelligence/mutual-futures" TargetMode="External"/><Relationship Id="rId15" Type="http://schemas.openxmlformats.org/officeDocument/2006/relationships/hyperlink" Target="https://github.com/auraofintelligence/aura-disaster-resilience/blob/main/content/All-weather-design.md" TargetMode="External"/><Relationship Id="rId16" Type="http://schemas.openxmlformats.org/officeDocument/2006/relationships/hyperlink" Target="https://github.com/auraofintelligence/aura-disaster-resilience/blob/main/docs/service-demonstration.md" TargetMode="External"/><Relationship Id="rId17" Type="http://schemas.openxmlformats.org/officeDocument/2006/relationships/hyperlink" Target="https://github.com/auraofintelligence/aura-disaster-resilience/blob/main/content/Council-integration.md" TargetMode="External"/><Relationship Id="rId18" Type="http://schemas.openxmlformats.org/officeDocument/2006/relationships/hyperlink" Target="https://github.com/auraofintelligence/aura-disaster-resilience/blob/main/content/Guardian-IMS.md" TargetMode="External"/><Relationship Id="rId19" Type="http://schemas.openxmlformats.org/officeDocument/2006/relationships/hyperlink" Target="https://auraofintelligence.github.io/australian-law-2012-lukes-relevance/pages/your-relevance.html" TargetMode="External"/><Relationship Id="rId20" Type="http://schemas.openxmlformats.org/officeDocument/2006/relationships/hyperlink" Target="https://github.com/auraofintelligence/aura-disaster-resilience/blob/main/content/Working-together.md" TargetMode="External"/><Relationship Id="rId21" Type="http://schemas.openxmlformats.org/officeDocument/2006/relationships/hyperlink" Target="https://github.com/auraofintelligence/australian-legal-engine/blob/main/README.md" TargetMode="External"/><Relationship Id="rId22" Type="http://schemas.openxmlformats.org/officeDocument/2006/relationships/hyperlink" Target="https://github.com/auraofintelligence/Oceania-healthy-de-slop-co-ops" TargetMode="External"/><Relationship Id="rId23" Type="http://schemas.openxmlformats.org/officeDocument/2006/relationships/hyperlink" Target="https://www.accc.gov.au/system/files/dpsi-consumer-survey-research-report-lonergan-research-feb2025.pdf" TargetMode="External"/><Relationship Id="rId24" Type="http://schemas.openxmlformats.org/officeDocument/2006/relationships/hyperlink" Target="https://internationalaisafetyreport.org/publication/international-ai-safety-report-2026" TargetMode="External"/><Relationship Id="rId25" Type="http://schemas.openxmlformats.org/officeDocument/2006/relationships/hyperlink" Target="https://www.getready.qld.gov.au/" TargetMode="External"/><Relationship Id="rId26" Type="http://schemas.openxmlformats.org/officeDocument/2006/relationships/hyperlink" Target="https://www.disaster.qld.gov.au/plans" TargetMode="External"/><Relationship Id="rId27" Type="http://schemas.openxmlformats.org/officeDocument/2006/relationships/hyperlink" Target="https://www.redland.qld.gov.au/files/assets/public/v/3/community-safety-and-health/documents/20251219-local-disaster-management-plan-control-copy.pdf" TargetMode="External"/><Relationship Id="rId28" Type="http://schemas.openxmlformats.org/officeDocument/2006/relationships/hyperlink" Target="https://www.disaster.qld.gov.au/watch-for-the-warnings" TargetMode="External"/><Relationship Id="rId29" Type="http://schemas.openxmlformats.org/officeDocument/2006/relationships/hyperlink" Target="https://www.getready.qld.gov.au/disability" TargetMode="External"/><Relationship Id="rId30" Type="http://schemas.openxmlformats.org/officeDocument/2006/relationships/hyperlink" Target="https://knowledge.aidr.org.au/resources/national-principles-for-disaster-recovery/" TargetMode="External"/><Relationship Id="rId31" Type="http://schemas.openxmlformats.org/officeDocument/2006/relationships/hyperlink" Target="https://knowledge.aidr.org.au/resources/handbook-communities-responding-to-disasters-planning-for-spontaneous-volunteers/" TargetMode="External"/><Relationship Id="rId32" Type="http://schemas.openxmlformats.org/officeDocument/2006/relationships/hyperlink" Target="https://www.volunteeringaustralia.org/get-involved/resources/nationalstandards/" TargetMode="External"/><Relationship Id="rId33" Type="http://schemas.openxmlformats.org/officeDocument/2006/relationships/hyperlink" Target="https://www.fairwork.gov.au/starting-employment/unpaid-work" TargetMode="External"/><Relationship Id="rId34" Type="http://schemas.openxmlformats.org/officeDocument/2006/relationships/hyperlink" Target="https://www.oaic.gov.au/privacy/privacy-guidance-for-organisations-and-government-agencies/more-guidance/emergencies-and-disasters" TargetMode="External"/><Relationship Id="rId35" Type="http://schemas.openxmlformats.org/officeDocument/2006/relationships/hyperlink" Target="https://www.oic.qld.gov.au/government/privacy/queensland-privacy-principles" TargetMode="External"/><Relationship Id="rId36" Type="http://schemas.openxmlformats.org/officeDocument/2006/relationships/hyperlink" Target="https://www.qitplus.com/guardian-ims" TargetMode="External"/><Relationship Id="rId37" Type="http://schemas.openxmlformats.org/officeDocument/2006/relationships/hyperlink" Target="https://www.redland.qld.gov.au/Business-and-investment/Redland-Recovery" TargetMode="External"/><Relationship Id="rId38" Type="http://schemas.openxmlformats.org/officeDocument/2006/relationships/hyperlink" Target="https://www.igem.qld.gov.au/sites/default/files/2025-12/Summary%20Report%20(OFFICIAL-Public)%20-%20colour.pdf" TargetMode="External"/><Relationship Id="rId39" Type="http://schemas.openxmlformats.org/officeDocument/2006/relationships/hyperlink" Target="https://www.royalcommission.gov.au/natural-disasters/report" TargetMode="External"/><Relationship Id="rId40" Type="http://schemas.openxmlformats.org/officeDocument/2006/relationships/hyperlink" Target="https://www.wremo.nz/get-ready/community-ready/community-emergency-hubs" TargetMode="External"/><Relationship Id="rId41" Type="http://schemas.openxmlformats.org/officeDocument/2006/relationships/hyperlink" Target="https://getinvolved.shoalhaven.nsw.gov.au/rrp/news_feed/information-hubs" TargetMode="External"/><Relationship Id="rId42" Type="http://schemas.openxmlformats.org/officeDocument/2006/relationships/hyperlink" Target="https://www.undrr.org/publication/sendai-framework-disaster-risk-reduction-2015-2030" TargetMode="External"/><Relationship Id="rId43" Type="http://schemas.openxmlformats.org/officeDocument/2006/relationships/hyperlink" Target="https://knowledge.aidr.org.au/resources/handbook-managing-exercises/" TargetMode="External"/><Relationship Id="rId44" Type="http://schemas.openxmlformats.org/officeDocument/2006/relationships/hyperlink" Target="https://www.nema.gov.au/our-work/key-programs/disaster-ready-fund" TargetMode="External"/><Relationship Id="rId45" Type="http://schemas.openxmlformats.org/officeDocument/2006/relationships/hyperlink" Target="https://www.qra.qld.gov.au/sites/default/files/2023-06/queensland_recovery_plan_june_2023_0.pdf" TargetMode="External"/><Relationship Id="rId46" Type="http://schemas.openxmlformats.org/officeDocument/2006/relationships/hyperlink" Target="https://metronorth.health.qld.gov.au/rbwh/healthcare-services/hyperbaric-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of Intelligence for Disaster Resilience and Recovery</dc:title>
  <dc:subject>Personal capability community participation preparedness and recovery</dc:subject>
  <dc:creator>Luke Nathan Hayes</dc:creator>
  <cp:keywords>Aura of Intelligence, qualified self, self sovereign data, C-Hour, Try Everything, civic stewardship, disaster resilience, recovery</cp:keywords>
  <dc:description>generated by python-docx</dc:description>
  <cp:lastModifiedBy/>
  <cp:revision>1</cp:revision>
  <dcterms:created xsi:type="dcterms:W3CDTF">2013-12-23T23:15:00Z</dcterms:created>
  <dcterms:modified xsi:type="dcterms:W3CDTF">2013-12-23T23:15:00Z</dcterms:modified>
  <cp:category/>
</cp:coreProperties>
</file>