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pPr>
      <w:r>
        <w:t>Escape Room Team Building</w:t>
      </w:r>
    </w:p>
    <w:p>
      <w:pPr>
        <w:pStyle w:val="Subtitle"/>
      </w:pPr>
      <w:r>
        <w:t>An Australian network business plan</w:t>
      </w:r>
    </w:p>
    <w:p>
      <w:pPr>
        <w:pStyle w:val="Metadata"/>
        <w:keepNext/>
      </w:pPr>
      <w:r>
        <w:t>Luke Nathan Hayes  |  29 October 2026  |  Business plan 1.0</w:t>
      </w:r>
    </w:p>
    <w:p>
      <w:bookmarkStart w:id="1" w:name="chapter_index"/>
      <w:pPr>
        <w:pStyle w:val="Heading1"/>
      </w:pPr>
      <w:r>
        <w:t>EXECUTIVE SUMMARY</w:t>
      </w:r>
      <w:bookmarkEnd w:id="1"/>
    </w:p>
    <w:p>
      <w:pPr>
        <w:pStyle w:val="Lead"/>
      </w:pPr>
      <w:r>
        <w:rPr>
          <w:b/>
        </w:rPr>
        <w:t>Build a national adventure network that brings visitors to local businesses, turns shared challenges into skills for life, and gives Australians a fair go in the age of superintelligence.</w:t>
      </w:r>
    </w:p>
    <w:p>
      <w:bookmarkStart w:id="2" w:name="s_index_The_business_dd25d2"/>
      <w:pPr>
        <w:pStyle w:val="Heading2"/>
      </w:pPr>
      <w:r>
        <w:t>The business</w:t>
      </w:r>
      <w:bookmarkEnd w:id="2"/>
    </w:p>
    <w:p>
      <w:pPr/>
      <w:r>
        <w:t>I am building an Australian escape-room network alongside Aura of Intelligence and p4a-xyz-cinema. The business designs and deploys distinctive rooms, helps local operators run them, connects those experiences into tourism routes, and renews the catalogue so groups have a reason to return. Visitors buy an enjoyable shared adventure. Schools and employers can buy a deeper programme, and participating venues gain a route to repeat bookings, new customers and continuing practical support.</w:t>
      </w:r>
    </w:p>
    <w:p>
      <w:pPr/>
      <w:r>
        <w:t>I lead the business with a proposed suite of AI agents. Paid labourers, tradespeople, designers, facilitators and specialist contractors carry out the work that needs their skills. The agents prepare research, specifications, schedules, comparisons, records and decision packs. The operating system described in this plan awaits my approval before any role is activated or given authority to contact people, hire, purchase or operate customer services.</w:t>
      </w:r>
    </w:p>
    <w:p>
      <w:pPr/>
      <w:r>
        <w:t>Joyful Responsible Abundance gives the business its direction: experiences worth enjoying, responsibility for our effect on other people, and wider access to useful work, learning, ownership and opportunity.</w:t>
      </w:r>
    </w:p>
    <w:p>
      <w:pPr>
        <w:pStyle w:val="SourceNote"/>
      </w:pPr>
      <w:r>
        <w:t xml:space="preserve">Sources: </w:t>
      </w:r>
      <w:hyperlink w:anchor="source_P01">
        <w:r>
          <w:rPr>
            <w:color w:val="275E67"/>
            <w:u w:val="single"/>
          </w:rPr>
          <w:t xml:space="preserve">P01</w:t>
        </w:r>
      </w:hyperlink>
      <w:r>
        <w:t xml:space="preserve">, </w:t>
      </w:r>
      <w:hyperlink w:anchor="source_P10">
        <w:r>
          <w:rPr>
            <w:color w:val="275E67"/>
            <w:u w:val="single"/>
          </w:rPr>
          <w:t xml:space="preserve">P10</w:t>
        </w:r>
      </w:hyperlink>
      <w:r>
        <w:t xml:space="preserve">, </w:t>
      </w:r>
      <w:hyperlink w:anchor="source_P14">
        <w:r>
          <w:rPr>
            <w:color w:val="275E67"/>
            <w:u w:val="single"/>
          </w:rPr>
          <w:t xml:space="preserve">P14</w:t>
        </w:r>
      </w:hyperlink>
    </w:p>
    <w:p>
      <w:bookmarkStart w:id="3" w:name="s_index_What_customers_and_part_db6381"/>
      <w:pPr>
        <w:pStyle w:val="Heading2"/>
      </w:pPr>
      <w:r>
        <w:t>What customers and partners buy</w:t>
      </w:r>
      <w:bookmarkEnd w:id="3"/>
    </w:p>
    <w:p>
      <w:pPr/>
      <w:r>
        <w:t>The opening product catalogue has a $39 school and youth visit, a $59 public visit and a $99 facilitated team workshop, all proposed consumer prices including GST. A $169 direct three-room network pass connects different experiences and destinations. The pass is a proposed commercial product, with a specific venue-settlement model later in this plan.</w:t>
      </w:r>
    </w:p>
    <w:p>
      <w:pPr/>
      <w:r>
        <w:t>Local businesses can participate through a hosted room, an independently operated venue, a room-deployment contract or a tourism partnership. Co-operatives can own local assets where that suits their members. Accommodation, food, cultural experiences, transport and other activities remain distinct businesses with agreed responsibilities and payments.</w:t>
      </w:r>
    </w:p>
    <w:p>
      <w:pPr/>
      <w:r>
        <w:t>The revenue model has three ledgers: local venue admissions and workshops; paid design, installation and renewal contracts; and separately agreed network services and distribution. Each ledger records its own payer, delivery cost and margin. Visitor spending at a partner cafe is valuable local activity and remains that cafe's revenue.</w:t>
      </w:r>
    </w:p>
    <w:p>
      <w:pPr>
        <w:pStyle w:val="SourceNote"/>
      </w:pPr>
      <w:r>
        <w:t xml:space="preserve">Sources: </w:t>
      </w:r>
      <w:hyperlink w:anchor="source_D07">
        <w:r>
          <w:rPr>
            <w:color w:val="275E67"/>
            <w:u w:val="single"/>
          </w:rPr>
          <w:t xml:space="preserve">D07</w:t>
        </w:r>
      </w:hyperlink>
      <w:r>
        <w:t xml:space="preserve">, </w:t>
      </w:r>
      <w:hyperlink w:anchor="source_P03">
        <w:r>
          <w:rPr>
            <w:color w:val="275E67"/>
            <w:u w:val="single"/>
          </w:rPr>
          <w:t xml:space="preserve">P03</w:t>
        </w:r>
      </w:hyperlink>
      <w:r>
        <w:t xml:space="preserve">, </w:t>
      </w:r>
      <w:hyperlink w:anchor="source_P05">
        <w:r>
          <w:rPr>
            <w:color w:val="275E67"/>
            <w:u w:val="single"/>
          </w:rPr>
          <w:t xml:space="preserve">P05</w:t>
        </w:r>
      </w:hyperlink>
    </w:p>
    <w:p>
      <w:bookmarkStart w:id="4" w:name="s_index_Why_this_is_a_commercia_7934db"/>
      <w:pPr>
        <w:pStyle w:val="Heading2"/>
      </w:pPr>
      <w:r>
        <w:t>Why this is a commercial opportunity</w:t>
      </w:r>
      <w:bookmarkEnd w:id="4"/>
    </w:p>
    <w:p>
      <w:pPr/>
      <w:r>
        <w:t>Australia already has an established escape-room market. The operator sample in this plan ranges from three to fourteen rooms at one venue, alongside larger mixed attractions. Existing operators sell corporate events, multiple-game packages and touring or relocated game content. The opportunity is to combine good rooms, useful reflection, repeat progression, local stories and an intentionally connected visitor network.</w:t>
      </w:r>
    </w:p>
    <w:p>
      <w:pPr/>
      <w:r>
        <w:t>Tourism, school excursions, public leisure and workplace development serve different parts of the calendar. Each candidate location gets its own demand case, built from reachable customers, competitor offers, partner accommodation, transport, opening hours and actual bookings. National tourism and education statistics supply context. Deployment follows local commercial cases and available delivery capacity.</w:t>
      </w:r>
    </w:p>
    <w:p>
      <w:pPr>
        <w:pStyle w:val="SourceNote"/>
      </w:pPr>
      <w:r>
        <w:t xml:space="preserve">Sources: </w:t>
      </w:r>
      <w:hyperlink w:anchor="source_M01">
        <w:r>
          <w:rPr>
            <w:color w:val="275E67"/>
            <w:u w:val="single"/>
          </w:rPr>
          <w:t xml:space="preserve">M01</w:t>
        </w:r>
      </w:hyperlink>
      <w:r>
        <w:t xml:space="preserve">, </w:t>
      </w:r>
      <w:hyperlink w:anchor="source_M03">
        <w:r>
          <w:rPr>
            <w:color w:val="275E67"/>
            <w:u w:val="single"/>
          </w:rPr>
          <w:t xml:space="preserve">M03</w:t>
        </w:r>
      </w:hyperlink>
      <w:r>
        <w:t xml:space="preserve">, </w:t>
      </w:r>
      <w:hyperlink w:anchor="source_M07">
        <w:r>
          <w:rPr>
            <w:color w:val="275E67"/>
            <w:u w:val="single"/>
          </w:rPr>
          <w:t xml:space="preserve">M07</w:t>
        </w:r>
      </w:hyperlink>
      <w:r>
        <w:t xml:space="preserve">, </w:t>
      </w:r>
      <w:hyperlink w:anchor="source_M09">
        <w:r>
          <w:rPr>
            <w:color w:val="275E67"/>
            <w:u w:val="single"/>
          </w:rPr>
          <w:t xml:space="preserve">M09</w:t>
        </w:r>
      </w:hyperlink>
      <w:r>
        <w:t xml:space="preserve">, </w:t>
      </w:r>
      <w:hyperlink w:anchor="source_M10">
        <w:r>
          <w:rPr>
            <w:color w:val="275E67"/>
            <w:u w:val="single"/>
          </w:rPr>
          <w:t xml:space="preserve">M10</w:t>
        </w:r>
      </w:hyperlink>
      <w:r>
        <w:t xml:space="preserve">, </w:t>
      </w:r>
      <w:hyperlink w:anchor="source_M16">
        <w:r>
          <w:rPr>
            <w:color w:val="275E67"/>
            <w:u w:val="single"/>
          </w:rPr>
          <w:t xml:space="preserve">M16</w:t>
        </w:r>
      </w:hyperlink>
    </w:p>
    <w:p>
      <w:bookmarkStart w:id="5" w:name="s_index_The_first_deployment_an_a0e46e"/>
      <w:pPr>
        <w:pStyle w:val="Heading2"/>
      </w:pPr>
      <w:r>
        <w:t>The first deployment and the financial approach</w:t>
      </w:r>
      <w:bookmarkEnd w:id="5"/>
    </w:p>
    <w:p>
      <w:pPr/>
      <w:r>
        <w:t>The first delivery unit is a two-room hosted pilot with a complete operating and renewal record. A four-room venue is the reference operating case, with a selected 400 m² space programme and up to six paying players per game. Larger class and event formats require their own room count, reflection spaces and staffing.</w:t>
      </w:r>
    </w:p>
    <w:p>
      <w:pPr/>
      <w:r>
        <w:t>The cost schedule distinguishes published supplier prices, stated design quantities, work-package hours, current wage benchmarks and items requiring a site-specific quotation. It compares second-hand and new furnishings. The priced subtotal is visible; unquoted work is never entered as zero or disguised inside a broad allowance.</w:t>
      </w:r>
    </w:p>
    <w:p>
      <w:pPr/>
      <w:r>
        <w:t>The plan carries the just-in-time learning method from Installing the Missing Middle into room deployment. Each installation produces a spatial record, asset register, reset procedure, commissioning evidence and short lessons for the next paid crew. Renewal is designed into the room, the cash model and the contract from the beginning.</w:t>
      </w:r>
    </w:p>
    <w:p>
      <w:pPr>
        <w:pStyle w:val="SourceNote"/>
      </w:pPr>
      <w:r>
        <w:t xml:space="preserve">Sources: </w:t>
      </w:r>
      <w:hyperlink w:anchor="source_D05">
        <w:r>
          <w:rPr>
            <w:color w:val="275E67"/>
            <w:u w:val="single"/>
          </w:rPr>
          <w:t xml:space="preserve">D05</w:t>
        </w:r>
      </w:hyperlink>
      <w:r>
        <w:t xml:space="preserve">, </w:t>
      </w:r>
      <w:hyperlink w:anchor="source_M14">
        <w:r>
          <w:rPr>
            <w:color w:val="275E67"/>
            <w:u w:val="single"/>
          </w:rPr>
          <w:t xml:space="preserve">M14</w:t>
        </w:r>
      </w:hyperlink>
      <w:r>
        <w:t xml:space="preserve">, </w:t>
      </w:r>
      <w:hyperlink w:anchor="source_P02">
        <w:r>
          <w:rPr>
            <w:color w:val="275E67"/>
            <w:u w:val="single"/>
          </w:rPr>
          <w:t xml:space="preserve">P02</w:t>
        </w:r>
      </w:hyperlink>
      <w:r>
        <w:t xml:space="preserve">, </w:t>
      </w:r>
      <w:hyperlink w:anchor="source_P14">
        <w:r>
          <w:rPr>
            <w:color w:val="275E67"/>
            <w:u w:val="single"/>
          </w:rPr>
          <w:t xml:space="preserve">P14</w:t>
        </w:r>
      </w:hyperlink>
    </w:p>
    <w:p>
      <w:bookmarkStart w:id="6" w:name="s_index_The_development_decisio_6b87f4"/>
      <w:pPr>
        <w:pStyle w:val="Heading2"/>
      </w:pPr>
      <w:r>
        <w:t>The development decision</w:t>
      </w:r>
      <w:bookmarkEnd w:id="6"/>
    </w:p>
    <w:p>
      <w:pPr/>
      <w:r>
        <w:t>The immediate decision is whether to adopt the proposed operating system and authorise its first defined work packages. The decision pack covers the role charters, account access, contractor engagement, expenditure limits, external communications and evidence required for acceptance. Site selection and purchase commitments follow their own completed cost and delivery packs.</w:t>
      </w:r>
    </w:p>
    <w:p>
      <w:pPr/>
      <w:r>
        <w:t>This publication provides the full business scope, market evidence, itemised cost basis, tourism settlement design, agent responsibilities and staged programme. No operating agent has been activated by publishing it.</w:t>
      </w:r>
    </w:p>
    <w:p>
      <w:pPr>
        <w:pStyle w:val="SourceNote"/>
      </w:pPr>
      <w:r>
        <w:t xml:space="preserve">Sources: </w:t>
      </w:r>
      <w:hyperlink w:anchor="source_P14">
        <w:r>
          <w:rPr>
            <w:color w:val="275E67"/>
            <w:u w:val="single"/>
          </w:rPr>
          <w:t xml:space="preserve">P14</w:t>
        </w:r>
      </w:hyperlink>
    </w:p>
    <w:p>
      <w:pPr>
        <w:keepNext/>
        <w:spacing w:before="160" w:after="80"/>
        <w:jc w:val="center"/>
      </w:pPr>
      <w:r>
        <w:drawing>
          <wp:inline xmlns:a="http://schemas.openxmlformats.org/drawingml/2006/main" xmlns:pic="http://schemas.openxmlformats.org/drawingml/2006/picture">
            <wp:extent cx="4754880" cy="2676042"/>
            <wp:docPr id="1" name="Picture 1" descr="A welcoming Australian regional heritage warehouse converted into a beautiful immersive escape room venue."/>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754880" cy="2676042"/>
                    </a:xfrm>
                    <a:prstGeom prst="rect"/>
                  </pic:spPr>
                </pic:pic>
              </a:graphicData>
            </a:graphic>
          </wp:inline>
        </w:drawing>
      </w:r>
    </w:p>
    <w:p>
      <w:pPr>
        <w:pStyle w:val="SourceNote"/>
        <w:keepLines/>
        <w:jc w:val="center"/>
      </w:pPr>
      <w:r>
        <w:t>Original AI-generated concept artwork for this business plan.</w:t>
      </w:r>
    </w:p>
    <w:p>
      <w:bookmarkStart w:id="7" w:name="contents"/>
      <w:pPr>
        <w:pStyle w:val="Heading1"/>
        <w:pageBreakBefore w:val="0"/>
        <w:spacing w:before="280"/>
      </w:pPr>
      <w:r>
        <w:t>CONTENTS</w:t>
      </w:r>
      <w:bookmarkEnd w:id="7"/>
    </w:p>
    <w:p>
      <w:pPr>
        <w:pStyle w:val="Contents"/>
      </w:pPr>
      <w:hyperlink w:anchor="chapter_index">
        <w:r>
          <w:rPr>
            <w:color w:val="275E67"/>
            <w:u w:val="single"/>
          </w:rPr>
          <w:t xml:space="preserve">Executive summary</w:t>
        </w:r>
      </w:hyperlink>
      <w:r>
        <w:tab/>
      </w:r>
      <w:r>
        <w:fldChar w:fldCharType="begin"/>
      </w:r>
      <w:r>
        <w:instrText xml:space="preserve"> PAGEREF chapter_index \h </w:instrText>
      </w:r>
      <w:r>
        <w:fldChar w:fldCharType="separate"/>
      </w:r>
      <w:r>
        <w:t>1</w:t>
      </w:r>
      <w:r>
        <w:fldChar w:fldCharType="end"/>
      </w:r>
    </w:p>
    <w:p>
      <w:pPr>
        <w:pStyle w:val="Contents"/>
      </w:pPr>
      <w:hyperlink w:anchor="chapter_market">
        <w:r>
          <w:rPr>
            <w:color w:val="275E67"/>
            <w:u w:val="single"/>
          </w:rPr>
          <w:t xml:space="preserve">Market and venue evidence</w:t>
        </w:r>
      </w:hyperlink>
      <w:r>
        <w:tab/>
      </w:r>
      <w:r>
        <w:fldChar w:fldCharType="begin"/>
      </w:r>
      <w:r>
        <w:instrText xml:space="preserve"> PAGEREF chapter_market \h </w:instrText>
      </w:r>
      <w:r>
        <w:fldChar w:fldCharType="separate"/>
      </w:r>
      <w:r>
        <w:t>4</w:t>
      </w:r>
      <w:r>
        <w:fldChar w:fldCharType="end"/>
      </w:r>
    </w:p>
    <w:p>
      <w:pPr>
        <w:pStyle w:val="Contents"/>
      </w:pPr>
      <w:hyperlink w:anchor="chapter_network_tourism">
        <w:r>
          <w:rPr>
            <w:color w:val="275E67"/>
            <w:u w:val="single"/>
          </w:rPr>
          <w:t xml:space="preserve">A tourism network that rewards return visits</w:t>
        </w:r>
      </w:hyperlink>
      <w:r>
        <w:tab/>
      </w:r>
      <w:r>
        <w:fldChar w:fldCharType="begin"/>
      </w:r>
      <w:r>
        <w:instrText xml:space="preserve"> PAGEREF chapter_network_tourism \h </w:instrText>
      </w:r>
      <w:r>
        <w:fldChar w:fldCharType="separate"/>
      </w:r>
      <w:r>
        <w:t>7</w:t>
      </w:r>
      <w:r>
        <w:fldChar w:fldCharType="end"/>
      </w:r>
    </w:p>
    <w:p>
      <w:pPr>
        <w:pStyle w:val="Contents"/>
      </w:pPr>
      <w:hyperlink w:anchor="chapter_deployment">
        <w:r>
          <w:rPr>
            <w:color w:val="275E67"/>
            <w:u w:val="single"/>
          </w:rPr>
          <w:t xml:space="preserve">Room design and deployment</w:t>
        </w:r>
      </w:hyperlink>
      <w:r>
        <w:tab/>
      </w:r>
      <w:r>
        <w:fldChar w:fldCharType="begin"/>
      </w:r>
      <w:r>
        <w:instrText xml:space="preserve"> PAGEREF chapter_deployment \h </w:instrText>
      </w:r>
      <w:r>
        <w:fldChar w:fldCharType="separate"/>
      </w:r>
      <w:r>
        <w:t>9</w:t>
      </w:r>
      <w:r>
        <w:fldChar w:fldCharType="end"/>
      </w:r>
    </w:p>
    <w:p>
      <w:pPr>
        <w:pStyle w:val="Contents"/>
      </w:pPr>
      <w:hyperlink w:anchor="chapter_economics">
        <w:r>
          <w:rPr>
            <w:color w:val="275E67"/>
            <w:u w:val="single"/>
          </w:rPr>
          <w:t xml:space="preserve">Itemised setup and operating economics</w:t>
        </w:r>
      </w:hyperlink>
      <w:r>
        <w:tab/>
      </w:r>
      <w:r>
        <w:fldChar w:fldCharType="begin"/>
      </w:r>
      <w:r>
        <w:instrText xml:space="preserve"> PAGEREF chapter_economics \h </w:instrText>
      </w:r>
      <w:r>
        <w:fldChar w:fldCharType="separate"/>
      </w:r>
      <w:r>
        <w:t>12</w:t>
      </w:r>
      <w:r>
        <w:fldChar w:fldCharType="end"/>
      </w:r>
    </w:p>
    <w:p>
      <w:pPr>
        <w:pStyle w:val="Contents"/>
      </w:pPr>
      <w:hyperlink w:anchor="chapter_finance">
        <w:r>
          <w:rPr>
            <w:color w:val="275E67"/>
            <w:u w:val="single"/>
          </w:rPr>
          <w:t xml:space="preserve">Finance, settlements and local ownership</w:t>
        </w:r>
      </w:hyperlink>
      <w:r>
        <w:tab/>
      </w:r>
      <w:r>
        <w:fldChar w:fldCharType="begin"/>
      </w:r>
      <w:r>
        <w:instrText xml:space="preserve"> PAGEREF chapter_finance \h </w:instrText>
      </w:r>
      <w:r>
        <w:fldChar w:fldCharType="separate"/>
      </w:r>
      <w:r>
        <w:t>19</w:t>
      </w:r>
      <w:r>
        <w:fldChar w:fldCharType="end"/>
      </w:r>
    </w:p>
    <w:p>
      <w:pPr>
        <w:pStyle w:val="Contents"/>
      </w:pPr>
      <w:hyperlink w:anchor="chapter_learning">
        <w:r>
          <w:rPr>
            <w:color w:val="275E67"/>
            <w:u w:val="single"/>
          </w:rPr>
          <w:t xml:space="preserve">Language, teamwork and whole-life learning</w:t>
        </w:r>
      </w:hyperlink>
      <w:r>
        <w:tab/>
      </w:r>
      <w:r>
        <w:fldChar w:fldCharType="begin"/>
      </w:r>
      <w:r>
        <w:instrText xml:space="preserve"> PAGEREF chapter_learning \h </w:instrText>
      </w:r>
      <w:r>
        <w:fldChar w:fldCharType="separate"/>
      </w:r>
      <w:r>
        <w:t>24</w:t>
      </w:r>
      <w:r>
        <w:fldChar w:fldCharType="end"/>
      </w:r>
    </w:p>
    <w:p>
      <w:pPr>
        <w:pStyle w:val="Contents"/>
      </w:pPr>
      <w:hyperlink w:anchor="chapter_agent_roles">
        <w:r>
          <w:rPr>
            <w:color w:val="275E67"/>
            <w:u w:val="single"/>
          </w:rPr>
          <w:t xml:space="preserve">Luke and the proposed agent suite</w:t>
        </w:r>
      </w:hyperlink>
      <w:r>
        <w:tab/>
      </w:r>
      <w:r>
        <w:fldChar w:fldCharType="begin"/>
      </w:r>
      <w:r>
        <w:instrText xml:space="preserve"> PAGEREF chapter_agent_roles \h </w:instrText>
      </w:r>
      <w:r>
        <w:fldChar w:fldCharType="separate"/>
      </w:r>
      <w:r>
        <w:t>27</w:t>
      </w:r>
      <w:r>
        <w:fldChar w:fldCharType="end"/>
      </w:r>
    </w:p>
    <w:p>
      <w:pPr>
        <w:pStyle w:val="Contents"/>
      </w:pPr>
      <w:hyperlink w:anchor="chapter_renewal">
        <w:r>
          <w:rPr>
            <w:color w:val="275E67"/>
            <w:u w:val="single"/>
          </w:rPr>
          <w:t xml:space="preserve">Renewal, rotation and useful asset life</w:t>
        </w:r>
      </w:hyperlink>
      <w:r>
        <w:tab/>
      </w:r>
      <w:r>
        <w:fldChar w:fldCharType="begin"/>
      </w:r>
      <w:r>
        <w:instrText xml:space="preserve"> PAGEREF chapter_renewal \h </w:instrText>
      </w:r>
      <w:r>
        <w:fldChar w:fldCharType="separate"/>
      </w:r>
      <w:r>
        <w:t>29</w:t>
      </w:r>
      <w:r>
        <w:fldChar w:fldCharType="end"/>
      </w:r>
    </w:p>
    <w:p>
      <w:pPr>
        <w:pStyle w:val="Contents"/>
      </w:pPr>
      <w:hyperlink w:anchor="chapter_partnerships">
        <w:r>
          <w:rPr>
            <w:color w:val="275E67"/>
            <w:u w:val="single"/>
          </w:rPr>
          <w:t xml:space="preserve">Local enterprise, councils and a fair go</w:t>
        </w:r>
      </w:hyperlink>
      <w:r>
        <w:tab/>
      </w:r>
      <w:r>
        <w:fldChar w:fldCharType="begin"/>
      </w:r>
      <w:r>
        <w:instrText xml:space="preserve"> PAGEREF chapter_partnerships \h </w:instrText>
      </w:r>
      <w:r>
        <w:fldChar w:fldCharType="separate"/>
      </w:r>
      <w:r>
        <w:t>31</w:t>
      </w:r>
      <w:r>
        <w:fldChar w:fldCharType="end"/>
      </w:r>
    </w:p>
    <w:p>
      <w:pPr>
        <w:pStyle w:val="Contents"/>
      </w:pPr>
      <w:hyperlink w:anchor="chapter_roadmap">
        <w:r>
          <w:rPr>
            <w:color w:val="275E67"/>
            <w:u w:val="single"/>
          </w:rPr>
          <w:t xml:space="preserve">Programme, decisions and delivery milestones</w:t>
        </w:r>
      </w:hyperlink>
      <w:r>
        <w:tab/>
      </w:r>
      <w:r>
        <w:fldChar w:fldCharType="begin"/>
      </w:r>
      <w:r>
        <w:instrText xml:space="preserve"> PAGEREF chapter_roadmap \h </w:instrText>
      </w:r>
      <w:r>
        <w:fldChar w:fldCharType="separate"/>
      </w:r>
      <w:r>
        <w:t>33</w:t>
      </w:r>
      <w:r>
        <w:fldChar w:fldCharType="end"/>
      </w:r>
    </w:p>
    <w:p>
      <w:pPr>
        <w:pStyle w:val="Contents"/>
      </w:pPr>
      <w:hyperlink w:anchor="source_register">
        <w:r>
          <w:rPr>
            <w:color w:val="275E67"/>
            <w:u w:val="single"/>
          </w:rPr>
          <w:t xml:space="preserve">Sources and project inventory</w:t>
        </w:r>
      </w:hyperlink>
      <w:r>
        <w:tab/>
      </w:r>
      <w:r>
        <w:fldChar w:fldCharType="begin"/>
      </w:r>
      <w:r>
        <w:instrText xml:space="preserve"> PAGEREF source_register \h </w:instrText>
      </w:r>
      <w:r>
        <w:fldChar w:fldCharType="separate"/>
      </w:r>
      <w:r>
        <w:t>35</w:t>
      </w:r>
      <w:r>
        <w:fldChar w:fldCharType="end"/>
      </w:r>
    </w:p>
    <w:p>
      <w:pPr>
        <w:pStyle w:val="Contents"/>
      </w:pPr>
      <w:hyperlink w:anchor="rights">
        <w:r>
          <w:rPr>
            <w:color w:val="275E67"/>
            <w:u w:val="single"/>
          </w:rPr>
          <w:t xml:space="preserve">Rights and provenance</w:t>
        </w:r>
      </w:hyperlink>
      <w:r>
        <w:tab/>
      </w:r>
      <w:r>
        <w:fldChar w:fldCharType="begin"/>
      </w:r>
      <w:r>
        <w:instrText xml:space="preserve"> PAGEREF rights \h </w:instrText>
      </w:r>
      <w:r>
        <w:fldChar w:fldCharType="separate"/>
      </w:r>
      <w:r>
        <w:t>45</w:t>
      </w:r>
      <w:r>
        <w:fldChar w:fldCharType="end"/>
      </w:r>
    </w:p>
    <w:p>
      <w:pPr>
        <w:pStyle w:val="Contents"/>
      </w:pPr>
      <w:hyperlink w:anchor="licence">
        <w:r>
          <w:rPr>
            <w:color w:val="275E67"/>
            <w:u w:val="single"/>
          </w:rPr>
          <w:t xml:space="preserve">Strange But True Public Source Licence</w:t>
        </w:r>
      </w:hyperlink>
      <w:r>
        <w:tab/>
      </w:r>
      <w:r>
        <w:fldChar w:fldCharType="begin"/>
      </w:r>
      <w:r>
        <w:instrText xml:space="preserve"> PAGEREF licence \h </w:instrText>
      </w:r>
      <w:r>
        <w:fldChar w:fldCharType="separate"/>
      </w:r>
      <w:r>
        <w:t>45</w:t>
      </w:r>
      <w:r>
        <w:fldChar w:fldCharType="end"/>
      </w:r>
    </w:p>
    <w:p>
      <w:pPr>
        <w:pStyle w:val="SourceNote"/>
      </w:pPr>
      <w:hyperlink r:id="rId11">
        <w:r>
          <w:rPr>
            <w:color w:val="275E67"/>
            <w:u w:val="single"/>
          </w:rPr>
          <w:t xml:space="preserve">Online business plan</w:t>
        </w:r>
      </w:hyperlink>
      <w:r>
        <w:t xml:space="preserve">  |  </w:t>
      </w:r>
      <w:hyperlink r:id="rId12">
        <w:r>
          <w:rPr>
            <w:color w:val="275E67"/>
            <w:u w:val="single"/>
          </w:rPr>
          <w:t xml:space="preserve">Source files and full reference trail</w:t>
        </w:r>
      </w:hyperlink>
    </w:p>
    <w:p>
      <w:bookmarkStart w:id="8" w:name="chapter_market"/>
      <w:pPr>
        <w:pStyle w:val="Heading1"/>
        <w:pageBreakBefore/>
      </w:pPr>
      <w:r>
        <w:t>Market and venue evidence</w:t>
      </w:r>
      <w:bookmarkEnd w:id="8"/>
    </w:p>
    <w:p>
      <w:pPr>
        <w:pStyle w:val="Lead"/>
      </w:pPr>
      <w:r>
        <w:t>Enter through a specific local opportunity, with a clear offer for each customer and a measured plan for every room.</w:t>
      </w:r>
    </w:p>
    <w:p>
      <w:bookmarkStart w:id="9" w:name="s_market_Four_customer_markets_684dbf"/>
      <w:pPr>
        <w:pStyle w:val="Heading2"/>
      </w:pPr>
      <w:r>
        <w:t>Four customer markets</w:t>
      </w:r>
      <w:bookmarkEnd w:id="9"/>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462"/>
        <w:gridCol w:w="3506"/>
        <w:gridCol w:w="4184"/>
      </w:tblGrid>
      <w:tr>
        <w:trPr>
          <w:cantSplit/>
          <w:tblHeader w:val="true"/>
        </w:trPr>
        <w:tc>
          <w:tcPr>
            <w:tcW w:type="dxa" w:w="2462"/>
            <w:vAlign w:val="center"/>
            <w:shd w:fill="203B4C"/>
          </w:tcPr>
          <w:p>
            <w:pPr>
              <w:pStyle w:val="TableHead"/>
              <w:keepNext/>
              <w:keepLines/>
            </w:pPr>
            <w:r>
              <w:rPr>
                <w:color w:val="FFFFFF"/>
              </w:rPr>
              <w:t>Customer</w:t>
            </w:r>
          </w:p>
        </w:tc>
        <w:tc>
          <w:tcPr>
            <w:tcW w:type="dxa" w:w="3506"/>
            <w:vAlign w:val="center"/>
            <w:shd w:fill="203B4C"/>
          </w:tcPr>
          <w:p>
            <w:pPr>
              <w:pStyle w:val="TableHead"/>
              <w:keepNext/>
              <w:keepLines/>
            </w:pPr>
            <w:r>
              <w:rPr>
                <w:color w:val="FFFFFF"/>
              </w:rPr>
              <w:t>Reason to buy</w:t>
            </w:r>
          </w:p>
        </w:tc>
        <w:tc>
          <w:tcPr>
            <w:tcW w:type="dxa" w:w="4184"/>
            <w:vAlign w:val="center"/>
            <w:shd w:fill="203B4C"/>
          </w:tcPr>
          <w:p>
            <w:pPr>
              <w:pStyle w:val="TableHead"/>
              <w:keepNext/>
              <w:keepLines/>
            </w:pPr>
            <w:r>
              <w:rPr>
                <w:color w:val="FFFFFF"/>
              </w:rPr>
              <w:t>Buying pattern and commercial response</w:t>
            </w:r>
          </w:p>
        </w:tc>
      </w:tr>
      <w:tr>
        <w:trPr>
          <w:cantSplit/>
        </w:trPr>
        <w:tc>
          <w:tcPr>
            <w:tcW w:type="dxa" w:w="2462"/>
            <w:vAlign w:val="top"/>
            <w:shd w:fill="EDF2EE"/>
          </w:tcPr>
          <w:p>
            <w:pPr>
              <w:pStyle w:val="TableText"/>
              <w:keepNext w:val="0"/>
              <w:keepLines/>
            </w:pPr>
            <w:r>
              <w:t>Public groups, families and visitors</w:t>
            </w:r>
          </w:p>
        </w:tc>
        <w:tc>
          <w:tcPr>
            <w:tcW w:type="dxa" w:w="3506"/>
            <w:vAlign w:val="top"/>
            <w:shd w:fill="EDF2EE"/>
          </w:tcPr>
          <w:p>
            <w:pPr>
              <w:pStyle w:val="TableText"/>
              <w:keepNext w:val="0"/>
              <w:keepLines/>
            </w:pPr>
            <w:r>
              <w:t>Enjoyment, novelty, an occasion together and a memorable local experience</w:t>
            </w:r>
          </w:p>
        </w:tc>
        <w:tc>
          <w:tcPr>
            <w:tcW w:type="dxa" w:w="4184"/>
            <w:vAlign w:val="top"/>
            <w:shd w:fill="EDF2EE"/>
          </w:tcPr>
          <w:p>
            <w:pPr>
              <w:pStyle w:val="TableText"/>
              <w:keepNext w:val="0"/>
              <w:keepLines/>
            </w:pPr>
            <w:r>
              <w:t>Weekends, evenings and holidays; clear group limits, reliable booking and fresh rooms for return visits.</w:t>
            </w:r>
          </w:p>
        </w:tc>
      </w:tr>
      <w:tr>
        <w:trPr>
          <w:cantSplit/>
        </w:trPr>
        <w:tc>
          <w:tcPr>
            <w:tcW w:type="dxa" w:w="2462"/>
            <w:vAlign w:val="top"/>
            <w:shd w:fill="FFFFFF"/>
          </w:tcPr>
          <w:p>
            <w:pPr>
              <w:pStyle w:val="TableText"/>
              <w:keepNext w:val="0"/>
              <w:keepLines/>
            </w:pPr>
            <w:r>
              <w:t>Schools and youth organisations</w:t>
            </w:r>
          </w:p>
        </w:tc>
        <w:tc>
          <w:tcPr>
            <w:tcW w:type="dxa" w:w="3506"/>
            <w:vAlign w:val="top"/>
            <w:shd w:fill="FFFFFF"/>
          </w:tcPr>
          <w:p>
            <w:pPr>
              <w:pStyle w:val="TableText"/>
              <w:keepNext w:val="0"/>
              <w:keepLines/>
            </w:pPr>
            <w:r>
              <w:t>Curriculum-linked excursions, communication and collaboration, an accessible shared challenge</w:t>
            </w:r>
          </w:p>
        </w:tc>
        <w:tc>
          <w:tcPr>
            <w:tcW w:type="dxa" w:w="4184"/>
            <w:vAlign w:val="top"/>
            <w:shd w:fill="FFFFFF"/>
          </w:tcPr>
          <w:p>
            <w:pPr>
              <w:pStyle w:val="TableText"/>
              <w:keepNext w:val="0"/>
              <w:keepLines/>
            </w:pPr>
            <w:r>
              <w:t>Term-time blocks; transport, supervision, class size and reflection capacity determine the timetable.</w:t>
            </w:r>
          </w:p>
        </w:tc>
      </w:tr>
      <w:tr>
        <w:trPr>
          <w:cantSplit/>
        </w:trPr>
        <w:tc>
          <w:tcPr>
            <w:tcW w:type="dxa" w:w="2462"/>
            <w:vAlign w:val="top"/>
            <w:shd w:fill="EDF2EE"/>
          </w:tcPr>
          <w:p>
            <w:pPr>
              <w:pStyle w:val="TableText"/>
              <w:keepNext w:val="0"/>
              <w:keepLines/>
            </w:pPr>
            <w:r>
              <w:t>Employers and business-event organisers</w:t>
            </w:r>
          </w:p>
        </w:tc>
        <w:tc>
          <w:tcPr>
            <w:tcW w:type="dxa" w:w="3506"/>
            <w:vAlign w:val="top"/>
            <w:shd w:fill="EDF2EE"/>
          </w:tcPr>
          <w:p>
            <w:pPr>
              <w:pStyle w:val="TableText"/>
              <w:keepNext w:val="0"/>
              <w:keepLines/>
            </w:pPr>
            <w:r>
              <w:t>Team development, a useful retreat activity and application to real work</w:t>
            </w:r>
          </w:p>
        </w:tc>
        <w:tc>
          <w:tcPr>
            <w:tcW w:type="dxa" w:w="4184"/>
            <w:vAlign w:val="top"/>
            <w:shd w:fill="EDF2EE"/>
          </w:tcPr>
          <w:p>
            <w:pPr>
              <w:pStyle w:val="TableText"/>
              <w:keepNext w:val="0"/>
              <w:keepLines/>
            </w:pPr>
            <w:r>
              <w:t>Weekday and conference bookings; a defined workshop, facilitator and agreed group outputs.</w:t>
            </w:r>
          </w:p>
        </w:tc>
      </w:tr>
      <w:tr>
        <w:trPr>
          <w:cantSplit/>
        </w:trPr>
        <w:tc>
          <w:tcPr>
            <w:tcW w:type="dxa" w:w="2462"/>
            <w:vAlign w:val="top"/>
            <w:shd w:fill="FFFFFF"/>
          </w:tcPr>
          <w:p>
            <w:pPr>
              <w:pStyle w:val="TableText"/>
              <w:keepNext w:val="0"/>
              <w:keepLines/>
            </w:pPr>
            <w:r>
              <w:t>Tourism partners and local operators</w:t>
            </w:r>
          </w:p>
        </w:tc>
        <w:tc>
          <w:tcPr>
            <w:tcW w:type="dxa" w:w="3506"/>
            <w:vAlign w:val="top"/>
            <w:shd w:fill="FFFFFF"/>
          </w:tcPr>
          <w:p>
            <w:pPr>
              <w:pStyle w:val="TableText"/>
              <w:keepNext w:val="0"/>
              <w:keepLines/>
            </w:pPr>
            <w:r>
              <w:t>More reasons to visit, stay, return and spend locally</w:t>
            </w:r>
          </w:p>
        </w:tc>
        <w:tc>
          <w:tcPr>
            <w:tcW w:type="dxa" w:w="4184"/>
            <w:vAlign w:val="top"/>
            <w:shd w:fill="FFFFFF"/>
          </w:tcPr>
          <w:p>
            <w:pPr>
              <w:pStyle w:val="TableText"/>
              <w:keepNext w:val="0"/>
              <w:keepLines/>
            </w:pPr>
            <w:r>
              <w:t>Bookable routes, referral terms, live availability, reliable settlement and regionally distinctive content.</w:t>
            </w:r>
          </w:p>
        </w:tc>
      </w:tr>
    </w:tbl>
    <w:p>
      <w:pPr>
        <w:spacing w:after="20" w:before="0" w:line="240" w:lineRule="auto"/>
      </w:pPr>
      <w:r>
        <w:rPr>
          <w:sz w:val="6"/>
        </w:rPr>
      </w:r>
    </w:p>
    <w:p>
      <w:pPr/>
      <w:r>
        <w:t>Tourism Research Australia reports 112.5 million domestic overnight trips and $108.1 billion in spending, plus 288.4 million day trips and $52.0 billion in spending, for the year ending June 2026. These are travel occasions and spending across tourism. The escape-room opportunity is assessed locally within those flows.</w:t>
      </w:r>
    </w:p>
    <w:p>
      <w:pPr/>
      <w:r>
        <w:t>ABS records 4,160,918 school students in 9,673 Australian schools in 2025. TRA reports $17.2 billion in business-event visitor spending during 2025. The school register and business-event calendar are starting points for identifying buyers, timing and transport requirements.</w:t>
      </w:r>
    </w:p>
    <w:p>
      <w:pPr>
        <w:pStyle w:val="SourceNote"/>
      </w:pPr>
      <w:r>
        <w:t xml:space="preserve">Sources: </w:t>
      </w:r>
      <w:hyperlink w:anchor="source_M01">
        <w:r>
          <w:rPr>
            <w:color w:val="275E67"/>
            <w:u w:val="single"/>
          </w:rPr>
          <w:t xml:space="preserve">M01</w:t>
        </w:r>
      </w:hyperlink>
      <w:r>
        <w:t xml:space="preserve">, </w:t>
      </w:r>
      <w:hyperlink w:anchor="source_M02">
        <w:r>
          <w:rPr>
            <w:color w:val="275E67"/>
            <w:u w:val="single"/>
          </w:rPr>
          <w:t xml:space="preserve">M02</w:t>
        </w:r>
      </w:hyperlink>
      <w:r>
        <w:t xml:space="preserve">, </w:t>
      </w:r>
      <w:hyperlink w:anchor="source_M03">
        <w:r>
          <w:rPr>
            <w:color w:val="275E67"/>
            <w:u w:val="single"/>
          </w:rPr>
          <w:t xml:space="preserve">M03</w:t>
        </w:r>
      </w:hyperlink>
      <w:r>
        <w:t xml:space="preserve">, </w:t>
      </w:r>
      <w:hyperlink w:anchor="source_M04">
        <w:r>
          <w:rPr>
            <w:color w:val="275E67"/>
            <w:u w:val="single"/>
          </w:rPr>
          <w:t xml:space="preserve">M04</w:t>
        </w:r>
      </w:hyperlink>
    </w:p>
    <w:p>
      <w:bookmarkStart w:id="10" w:name="s_market_Published_room_counts__a454ce"/>
      <w:pPr>
        <w:pStyle w:val="Heading2"/>
      </w:pPr>
      <w:r>
        <w:t>Published room counts and simultaneous capacity</w:t>
      </w:r>
      <w:bookmarkEnd w:id="10"/>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3444"/>
        <w:gridCol w:w="2828"/>
        <w:gridCol w:w="3880"/>
      </w:tblGrid>
      <w:tr>
        <w:trPr>
          <w:cantSplit/>
          <w:tblHeader w:val="true"/>
        </w:trPr>
        <w:tc>
          <w:tcPr>
            <w:tcW w:type="dxa" w:w="3444"/>
            <w:vAlign w:val="center"/>
            <w:shd w:fill="203B4C"/>
          </w:tcPr>
          <w:p>
            <w:pPr>
              <w:pStyle w:val="TableHead"/>
              <w:keepNext/>
              <w:keepLines/>
            </w:pPr>
            <w:r>
              <w:rPr>
                <w:color w:val="FFFFFF"/>
              </w:rPr>
              <w:t>Operator and location</w:t>
            </w:r>
          </w:p>
        </w:tc>
        <w:tc>
          <w:tcPr>
            <w:tcW w:type="dxa" w:w="2828"/>
            <w:vAlign w:val="center"/>
            <w:shd w:fill="203B4C"/>
          </w:tcPr>
          <w:p>
            <w:pPr>
              <w:pStyle w:val="TableHead"/>
              <w:keepNext/>
              <w:keepLines/>
              <w:jc w:val="center"/>
            </w:pPr>
            <w:r>
              <w:rPr>
                <w:color w:val="FFFFFF"/>
              </w:rPr>
              <w:t>Published room count</w:t>
            </w:r>
          </w:p>
        </w:tc>
        <w:tc>
          <w:tcPr>
            <w:tcW w:type="dxa" w:w="3880"/>
            <w:vAlign w:val="center"/>
            <w:shd w:fill="203B4C"/>
          </w:tcPr>
          <w:p>
            <w:pPr>
              <w:pStyle w:val="TableHead"/>
              <w:keepNext/>
              <w:keepLines/>
              <w:jc w:val="center"/>
            </w:pPr>
            <w:r>
              <w:rPr>
                <w:color w:val="FFFFFF"/>
              </w:rPr>
              <w:t>Published simultaneous player capacity</w:t>
            </w:r>
          </w:p>
        </w:tc>
      </w:tr>
      <w:tr>
        <w:trPr>
          <w:cantSplit/>
        </w:trPr>
        <w:tc>
          <w:tcPr>
            <w:tcW w:type="dxa" w:w="3444"/>
            <w:vAlign w:val="top"/>
            <w:shd w:fill="EDF2EE"/>
          </w:tcPr>
          <w:p>
            <w:pPr>
              <w:pStyle w:val="TableText"/>
              <w:keepNext w:val="0"/>
              <w:keepLines/>
            </w:pPr>
            <w:r>
              <w:t>Escape This, Perth CBD</w:t>
            </w:r>
          </w:p>
        </w:tc>
        <w:tc>
          <w:tcPr>
            <w:tcW w:type="dxa" w:w="2828"/>
            <w:vAlign w:val="center"/>
            <w:shd w:fill="EDF2EE"/>
          </w:tcPr>
          <w:p>
            <w:pPr>
              <w:pStyle w:val="TableText"/>
              <w:keepNext w:val="0"/>
              <w:keepLines/>
              <w:jc w:val="center"/>
            </w:pPr>
            <w:r>
              <w:t>14</w:t>
            </w:r>
          </w:p>
        </w:tc>
        <w:tc>
          <w:tcPr>
            <w:tcW w:type="dxa" w:w="3880"/>
            <w:vAlign w:val="center"/>
            <w:shd w:fill="EDF2EE"/>
          </w:tcPr>
          <w:p>
            <w:pPr>
              <w:pStyle w:val="TableText"/>
              <w:keepNext w:val="0"/>
              <w:keepLines/>
              <w:jc w:val="center"/>
            </w:pPr>
            <w:r>
              <w:t>108</w:t>
            </w:r>
          </w:p>
        </w:tc>
      </w:tr>
      <w:tr>
        <w:trPr>
          <w:cantSplit/>
        </w:trPr>
        <w:tc>
          <w:tcPr>
            <w:tcW w:type="dxa" w:w="3444"/>
            <w:vAlign w:val="top"/>
            <w:shd w:fill="FFFFFF"/>
          </w:tcPr>
          <w:p>
            <w:pPr>
              <w:pStyle w:val="TableText"/>
              <w:keepNext w:val="0"/>
              <w:keepLines/>
            </w:pPr>
            <w:r>
              <w:t>Escape This, Northbridge</w:t>
            </w:r>
          </w:p>
        </w:tc>
        <w:tc>
          <w:tcPr>
            <w:tcW w:type="dxa" w:w="2828"/>
            <w:vAlign w:val="center"/>
            <w:shd w:fill="FFFFFF"/>
          </w:tcPr>
          <w:p>
            <w:pPr>
              <w:pStyle w:val="TableText"/>
              <w:keepNext w:val="0"/>
              <w:keepLines/>
              <w:jc w:val="center"/>
            </w:pPr>
            <w:r>
              <w:t>9</w:t>
            </w:r>
          </w:p>
        </w:tc>
        <w:tc>
          <w:tcPr>
            <w:tcW w:type="dxa" w:w="3880"/>
            <w:vAlign w:val="center"/>
            <w:shd w:fill="FFFFFF"/>
          </w:tcPr>
          <w:p>
            <w:pPr>
              <w:pStyle w:val="TableText"/>
              <w:keepNext w:val="0"/>
              <w:keepLines/>
              <w:jc w:val="center"/>
            </w:pPr>
            <w:r>
              <w:t>62</w:t>
            </w:r>
          </w:p>
        </w:tc>
      </w:tr>
      <w:tr>
        <w:trPr>
          <w:cantSplit/>
        </w:trPr>
        <w:tc>
          <w:tcPr>
            <w:tcW w:type="dxa" w:w="3444"/>
            <w:vAlign w:val="top"/>
            <w:shd w:fill="EDF2EE"/>
          </w:tcPr>
          <w:p>
            <w:pPr>
              <w:pStyle w:val="TableText"/>
              <w:keepNext w:val="0"/>
              <w:keepLines/>
            </w:pPr>
            <w:r>
              <w:t>Escape This, Sydney CBD</w:t>
            </w:r>
          </w:p>
        </w:tc>
        <w:tc>
          <w:tcPr>
            <w:tcW w:type="dxa" w:w="2828"/>
            <w:vAlign w:val="center"/>
            <w:shd w:fill="EDF2EE"/>
          </w:tcPr>
          <w:p>
            <w:pPr>
              <w:pStyle w:val="TableText"/>
              <w:keepNext w:val="0"/>
              <w:keepLines/>
              <w:jc w:val="center"/>
            </w:pPr>
            <w:r>
              <w:t>10</w:t>
            </w:r>
          </w:p>
        </w:tc>
        <w:tc>
          <w:tcPr>
            <w:tcW w:type="dxa" w:w="3880"/>
            <w:vAlign w:val="center"/>
            <w:shd w:fill="EDF2EE"/>
          </w:tcPr>
          <w:p>
            <w:pPr>
              <w:pStyle w:val="TableText"/>
              <w:keepNext w:val="0"/>
              <w:keepLines/>
              <w:jc w:val="center"/>
            </w:pPr>
            <w:r>
              <w:t>66</w:t>
            </w:r>
          </w:p>
        </w:tc>
      </w:tr>
      <w:tr>
        <w:trPr>
          <w:cantSplit/>
        </w:trPr>
        <w:tc>
          <w:tcPr>
            <w:tcW w:type="dxa" w:w="3444"/>
            <w:vAlign w:val="top"/>
            <w:shd w:fill="FFFFFF"/>
          </w:tcPr>
          <w:p>
            <w:pPr>
              <w:pStyle w:val="TableText"/>
              <w:keepNext w:val="0"/>
              <w:keepLines/>
            </w:pPr>
            <w:r>
              <w:t>Escape This, Manly</w:t>
            </w:r>
          </w:p>
        </w:tc>
        <w:tc>
          <w:tcPr>
            <w:tcW w:type="dxa" w:w="2828"/>
            <w:vAlign w:val="center"/>
            <w:shd w:fill="FFFFFF"/>
          </w:tcPr>
          <w:p>
            <w:pPr>
              <w:pStyle w:val="TableText"/>
              <w:keepNext w:val="0"/>
              <w:keepLines/>
              <w:jc w:val="center"/>
            </w:pPr>
            <w:r>
              <w:t>3</w:t>
            </w:r>
          </w:p>
        </w:tc>
        <w:tc>
          <w:tcPr>
            <w:tcW w:type="dxa" w:w="3880"/>
            <w:vAlign w:val="center"/>
            <w:shd w:fill="FFFFFF"/>
          </w:tcPr>
          <w:p>
            <w:pPr>
              <w:pStyle w:val="TableText"/>
              <w:keepNext w:val="0"/>
              <w:keepLines/>
              <w:jc w:val="center"/>
            </w:pPr>
            <w:r>
              <w:t>18</w:t>
            </w:r>
          </w:p>
        </w:tc>
      </w:tr>
      <w:tr>
        <w:trPr>
          <w:cantSplit/>
        </w:trPr>
        <w:tc>
          <w:tcPr>
            <w:tcW w:type="dxa" w:w="3444"/>
            <w:vAlign w:val="top"/>
            <w:shd w:fill="EDF2EE"/>
          </w:tcPr>
          <w:p>
            <w:pPr>
              <w:pStyle w:val="TableText"/>
              <w:keepNext w:val="0"/>
              <w:keepLines/>
            </w:pPr>
            <w:r>
              <w:t>Escape This, Melbourne CBD</w:t>
            </w:r>
          </w:p>
        </w:tc>
        <w:tc>
          <w:tcPr>
            <w:tcW w:type="dxa" w:w="2828"/>
            <w:vAlign w:val="center"/>
            <w:shd w:fill="EDF2EE"/>
          </w:tcPr>
          <w:p>
            <w:pPr>
              <w:pStyle w:val="TableText"/>
              <w:keepNext w:val="0"/>
              <w:keepLines/>
              <w:jc w:val="center"/>
            </w:pPr>
            <w:r>
              <w:t>12</w:t>
            </w:r>
          </w:p>
        </w:tc>
        <w:tc>
          <w:tcPr>
            <w:tcW w:type="dxa" w:w="3880"/>
            <w:vAlign w:val="center"/>
            <w:shd w:fill="EDF2EE"/>
          </w:tcPr>
          <w:p>
            <w:pPr>
              <w:pStyle w:val="TableText"/>
              <w:keepNext w:val="0"/>
              <w:keepLines/>
              <w:jc w:val="center"/>
            </w:pPr>
            <w:r>
              <w:t>82</w:t>
            </w:r>
          </w:p>
        </w:tc>
      </w:tr>
      <w:tr>
        <w:trPr>
          <w:cantSplit/>
        </w:trPr>
        <w:tc>
          <w:tcPr>
            <w:tcW w:type="dxa" w:w="3444"/>
            <w:vAlign w:val="top"/>
            <w:shd w:fill="FFFFFF"/>
          </w:tcPr>
          <w:p>
            <w:pPr>
              <w:pStyle w:val="TableText"/>
              <w:keepNext w:val="0"/>
              <w:keepLines/>
            </w:pPr>
            <w:r>
              <w:t>Fox in a Box, Brisbane</w:t>
            </w:r>
          </w:p>
        </w:tc>
        <w:tc>
          <w:tcPr>
            <w:tcW w:type="dxa" w:w="2828"/>
            <w:vAlign w:val="center"/>
            <w:shd w:fill="FFFFFF"/>
          </w:tcPr>
          <w:p>
            <w:pPr>
              <w:pStyle w:val="TableText"/>
              <w:keepNext w:val="0"/>
              <w:keepLines/>
              <w:jc w:val="center"/>
            </w:pPr>
            <w:r>
              <w:t>10</w:t>
            </w:r>
          </w:p>
        </w:tc>
        <w:tc>
          <w:tcPr>
            <w:tcW w:type="dxa" w:w="3880"/>
            <w:vAlign w:val="center"/>
            <w:shd w:fill="FFFFFF"/>
          </w:tcPr>
          <w:p>
            <w:pPr>
              <w:pStyle w:val="TableText"/>
              <w:keepNext w:val="0"/>
              <w:keepLines/>
              <w:jc w:val="center"/>
            </w:pPr>
            <w:r>
              <w:t>60</w:t>
            </w:r>
          </w:p>
        </w:tc>
      </w:tr>
      <w:tr>
        <w:trPr>
          <w:cantSplit/>
        </w:trPr>
        <w:tc>
          <w:tcPr>
            <w:tcW w:type="dxa" w:w="3444"/>
            <w:vAlign w:val="top"/>
            <w:shd w:fill="EDF2EE"/>
          </w:tcPr>
          <w:p>
            <w:pPr>
              <w:pStyle w:val="TableText"/>
              <w:keepNext w:val="0"/>
              <w:keepLines/>
            </w:pPr>
            <w:r>
              <w:t>The Great Escape, Melbourne CBD</w:t>
            </w:r>
          </w:p>
        </w:tc>
        <w:tc>
          <w:tcPr>
            <w:tcW w:type="dxa" w:w="2828"/>
            <w:vAlign w:val="center"/>
            <w:shd w:fill="EDF2EE"/>
          </w:tcPr>
          <w:p>
            <w:pPr>
              <w:pStyle w:val="TableText"/>
              <w:keepNext w:val="0"/>
              <w:keepLines/>
              <w:jc w:val="center"/>
            </w:pPr>
            <w:r>
              <w:t>Nine-room design; five currently advertised open</w:t>
            </w:r>
          </w:p>
        </w:tc>
        <w:tc>
          <w:tcPr>
            <w:tcW w:type="dxa" w:w="3880"/>
            <w:vAlign w:val="center"/>
            <w:shd w:fill="EDF2EE"/>
          </w:tcPr>
          <w:p>
            <w:pPr>
              <w:pStyle w:val="TableText"/>
              <w:keepNext w:val="0"/>
              <w:keepLines/>
              <w:jc w:val="center"/>
            </w:pPr>
            <w:r>
              <w:t>Individual game limits published; no combined operating total assumed</w:t>
            </w:r>
          </w:p>
        </w:tc>
      </w:tr>
    </w:tbl>
    <w:p>
      <w:pPr>
        <w:spacing w:after="20" w:before="0" w:line="240" w:lineRule="auto"/>
      </w:pPr>
      <w:r>
        <w:rPr>
          <w:sz w:val="6"/>
        </w:rPr>
      </w:r>
    </w:p>
    <w:p>
      <w:pPr/>
      <w:r>
        <w:t>These are observed venue examples, checked on 29 October 2026. Room limits differ within a venue. Escape This's five listed venues total 48 rooms and a theoretical 336 players at the individual room maxima. A separately advertised corporate event may have a different booking limit.</w:t>
      </w:r>
    </w:p>
    <w:p>
      <w:pPr/>
      <w:r>
        <w:t>Padlockd advertises sixteen experiences across several Gold Coast locations. That is a network catalogue, rather than sixteen rooms in one premises. These distinctions matter when comparing throughput, floor space and the investment required.</w:t>
      </w:r>
    </w:p>
    <w:p>
      <w:pPr>
        <w:pStyle w:val="SourceNote"/>
      </w:pPr>
      <w:r>
        <w:t xml:space="preserve">Sources: </w:t>
      </w:r>
      <w:hyperlink w:anchor="source_M07">
        <w:r>
          <w:rPr>
            <w:color w:val="275E67"/>
            <w:u w:val="single"/>
          </w:rPr>
          <w:t xml:space="preserve">M07</w:t>
        </w:r>
      </w:hyperlink>
      <w:r>
        <w:t xml:space="preserve">, </w:t>
      </w:r>
      <w:hyperlink w:anchor="source_M08">
        <w:r>
          <w:rPr>
            <w:color w:val="275E67"/>
            <w:u w:val="single"/>
          </w:rPr>
          <w:t xml:space="preserve">M08</w:t>
        </w:r>
      </w:hyperlink>
      <w:r>
        <w:t xml:space="preserve">, </w:t>
      </w:r>
      <w:hyperlink w:anchor="source_M10">
        <w:r>
          <w:rPr>
            <w:color w:val="275E67"/>
            <w:u w:val="single"/>
          </w:rPr>
          <w:t xml:space="preserve">M10</w:t>
        </w:r>
      </w:hyperlink>
      <w:r>
        <w:t xml:space="preserve">, </w:t>
      </w:r>
      <w:hyperlink w:anchor="source_M12">
        <w:r>
          <w:rPr>
            <w:color w:val="275E67"/>
            <w:u w:val="single"/>
          </w:rPr>
          <w:t xml:space="preserve">M12</w:t>
        </w:r>
      </w:hyperlink>
      <w:r>
        <w:t xml:space="preserve">, </w:t>
      </w:r>
      <w:hyperlink w:anchor="source_M17">
        <w:r>
          <w:rPr>
            <w:color w:val="275E67"/>
            <w:u w:val="single"/>
          </w:rPr>
          <w:t xml:space="preserve">M17</w:t>
        </w:r>
      </w:hyperlink>
    </w:p>
    <w:p>
      <w:bookmarkStart w:id="11" w:name="s_market_Published_physical_are_b4e6ab"/>
      <w:pPr>
        <w:pStyle w:val="Heading2"/>
      </w:pPr>
      <w:r>
        <w:t>Published physical area and what it measures</w:t>
      </w:r>
      <w:bookmarkEnd w:id="11"/>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3329"/>
        <w:gridCol w:w="1970"/>
        <w:gridCol w:w="4853"/>
      </w:tblGrid>
      <w:tr>
        <w:trPr>
          <w:cantSplit/>
          <w:tblHeader w:val="true"/>
        </w:trPr>
        <w:tc>
          <w:tcPr>
            <w:tcW w:type="dxa" w:w="3329"/>
            <w:vAlign w:val="center"/>
            <w:shd w:fill="203B4C"/>
          </w:tcPr>
          <w:p>
            <w:pPr>
              <w:pStyle w:val="TableHead"/>
              <w:keepNext/>
              <w:keepLines/>
            </w:pPr>
            <w:r>
              <w:rPr>
                <w:color w:val="FFFFFF"/>
              </w:rPr>
              <w:t>Source and configuration</w:t>
            </w:r>
          </w:p>
        </w:tc>
        <w:tc>
          <w:tcPr>
            <w:tcW w:type="dxa" w:w="1970"/>
            <w:vAlign w:val="center"/>
            <w:shd w:fill="203B4C"/>
          </w:tcPr>
          <w:p>
            <w:pPr>
              <w:pStyle w:val="TableHead"/>
              <w:keepNext/>
              <w:keepLines/>
            </w:pPr>
            <w:r>
              <w:rPr>
                <w:color w:val="FFFFFF"/>
              </w:rPr>
              <w:t>Published area</w:t>
            </w:r>
          </w:p>
        </w:tc>
        <w:tc>
          <w:tcPr>
            <w:tcW w:type="dxa" w:w="4853"/>
            <w:vAlign w:val="center"/>
            <w:shd w:fill="203B4C"/>
          </w:tcPr>
          <w:p>
            <w:pPr>
              <w:pStyle w:val="TableHead"/>
              <w:keepNext/>
              <w:keepLines/>
            </w:pPr>
            <w:r>
              <w:rPr>
                <w:color w:val="FFFFFF"/>
              </w:rPr>
              <w:t>Scope of the measurement</w:t>
            </w:r>
          </w:p>
        </w:tc>
      </w:tr>
      <w:tr>
        <w:trPr>
          <w:cantSplit/>
        </w:trPr>
        <w:tc>
          <w:tcPr>
            <w:tcW w:type="dxa" w:w="3329"/>
            <w:vAlign w:val="top"/>
            <w:shd w:fill="EDF2EE"/>
          </w:tcPr>
          <w:p>
            <w:pPr>
              <w:pStyle w:val="TableText"/>
              <w:keepNext w:val="0"/>
              <w:keepLines/>
            </w:pPr>
            <w:r>
              <w:t>Indestroom Jungle and Magic School</w:t>
            </w:r>
          </w:p>
        </w:tc>
        <w:tc>
          <w:tcPr>
            <w:tcW w:type="dxa" w:w="1970"/>
            <w:vAlign w:val="top"/>
            <w:shd w:fill="EDF2EE"/>
          </w:tcPr>
          <w:p>
            <w:pPr>
              <w:pStyle w:val="TableText"/>
              <w:keepNext w:val="0"/>
              <w:keepLines/>
            </w:pPr>
            <w:r>
              <w:t>30 to 50 m²</w:t>
            </w:r>
          </w:p>
        </w:tc>
        <w:tc>
          <w:tcPr>
            <w:tcW w:type="dxa" w:w="4853"/>
            <w:vAlign w:val="top"/>
            <w:shd w:fill="EDF2EE"/>
          </w:tcPr>
          <w:p>
            <w:pPr>
              <w:pStyle w:val="TableText"/>
              <w:keepNext w:val="0"/>
              <w:keepLines/>
            </w:pPr>
            <w:r>
              <w:t>Supplier game configuration, with different player limits.</w:t>
            </w:r>
          </w:p>
        </w:tc>
      </w:tr>
      <w:tr>
        <w:trPr>
          <w:cantSplit/>
        </w:trPr>
        <w:tc>
          <w:tcPr>
            <w:tcW w:type="dxa" w:w="3329"/>
            <w:vAlign w:val="top"/>
            <w:shd w:fill="FFFFFF"/>
          </w:tcPr>
          <w:p>
            <w:pPr>
              <w:pStyle w:val="TableText"/>
              <w:keepNext w:val="0"/>
              <w:keepLines/>
            </w:pPr>
            <w:r>
              <w:t>Indestroom Pharaoh's Tomb</w:t>
            </w:r>
          </w:p>
        </w:tc>
        <w:tc>
          <w:tcPr>
            <w:tcW w:type="dxa" w:w="1970"/>
            <w:vAlign w:val="top"/>
            <w:shd w:fill="FFFFFF"/>
          </w:tcPr>
          <w:p>
            <w:pPr>
              <w:pStyle w:val="TableText"/>
              <w:keepNext w:val="0"/>
              <w:keepLines/>
            </w:pPr>
            <w:r>
              <w:t>30 to 70 m²</w:t>
            </w:r>
          </w:p>
        </w:tc>
        <w:tc>
          <w:tcPr>
            <w:tcW w:type="dxa" w:w="4853"/>
            <w:vAlign w:val="top"/>
            <w:shd w:fill="FFFFFF"/>
          </w:tcPr>
          <w:p>
            <w:pPr>
              <w:pStyle w:val="TableText"/>
              <w:keepNext w:val="0"/>
              <w:keepLines/>
            </w:pPr>
            <w:r>
              <w:t>Supplier game configuration for two to six players.</w:t>
            </w:r>
          </w:p>
        </w:tc>
      </w:tr>
      <w:tr>
        <w:trPr>
          <w:cantSplit/>
        </w:trPr>
        <w:tc>
          <w:tcPr>
            <w:tcW w:type="dxa" w:w="3329"/>
            <w:vAlign w:val="top"/>
            <w:shd w:fill="EDF2EE"/>
          </w:tcPr>
          <w:p>
            <w:pPr>
              <w:pStyle w:val="TableText"/>
              <w:keepNext w:val="0"/>
              <w:keepLines/>
            </w:pPr>
            <w:r>
              <w:t>Indestroom Vault-32 and Enchanted Forest</w:t>
            </w:r>
          </w:p>
        </w:tc>
        <w:tc>
          <w:tcPr>
            <w:tcW w:type="dxa" w:w="1970"/>
            <w:vAlign w:val="top"/>
            <w:shd w:fill="EDF2EE"/>
          </w:tcPr>
          <w:p>
            <w:pPr>
              <w:pStyle w:val="TableText"/>
              <w:keepNext w:val="0"/>
              <w:keepLines/>
            </w:pPr>
            <w:r>
              <w:t>40 to 80 m²</w:t>
            </w:r>
          </w:p>
        </w:tc>
        <w:tc>
          <w:tcPr>
            <w:tcW w:type="dxa" w:w="4853"/>
            <w:vAlign w:val="top"/>
            <w:shd w:fill="EDF2EE"/>
          </w:tcPr>
          <w:p>
            <w:pPr>
              <w:pStyle w:val="TableText"/>
              <w:keepNext w:val="0"/>
              <w:keepLines/>
            </w:pPr>
            <w:r>
              <w:t>Supplier game configuration for larger groups.</w:t>
            </w:r>
          </w:p>
        </w:tc>
      </w:tr>
      <w:tr>
        <w:trPr>
          <w:cantSplit/>
        </w:trPr>
        <w:tc>
          <w:tcPr>
            <w:tcW w:type="dxa" w:w="3329"/>
            <w:vAlign w:val="top"/>
            <w:shd w:fill="FFFFFF"/>
          </w:tcPr>
          <w:p>
            <w:pPr>
              <w:pStyle w:val="TableText"/>
              <w:keepNext w:val="0"/>
              <w:keepLines/>
            </w:pPr>
            <w:r>
              <w:t>Mission Sydney, Trapped</w:t>
            </w:r>
          </w:p>
        </w:tc>
        <w:tc>
          <w:tcPr>
            <w:tcW w:type="dxa" w:w="1970"/>
            <w:vAlign w:val="top"/>
            <w:shd w:fill="FFFFFF"/>
          </w:tcPr>
          <w:p>
            <w:pPr>
              <w:pStyle w:val="TableText"/>
              <w:keepNext w:val="0"/>
              <w:keepLines/>
            </w:pPr>
            <w:r>
              <w:t>About 6 m²</w:t>
            </w:r>
          </w:p>
        </w:tc>
        <w:tc>
          <w:tcPr>
            <w:tcW w:type="dxa" w:w="4853"/>
            <w:vAlign w:val="top"/>
            <w:shd w:fill="FFFFFF"/>
          </w:tcPr>
          <w:p>
            <w:pPr>
              <w:pStyle w:val="TableText"/>
              <w:keepNext w:val="0"/>
              <w:keepLines/>
            </w:pPr>
            <w:r>
              <w:t>The smallest lift chamber inside the set, not the complete adventure.</w:t>
            </w:r>
          </w:p>
        </w:tc>
      </w:tr>
      <w:tr>
        <w:trPr>
          <w:cantSplit/>
        </w:trPr>
        <w:tc>
          <w:tcPr>
            <w:tcW w:type="dxa" w:w="3329"/>
            <w:vAlign w:val="top"/>
            <w:shd w:fill="EDF2EE"/>
          </w:tcPr>
          <w:p>
            <w:pPr>
              <w:pStyle w:val="TableText"/>
              <w:keepNext w:val="0"/>
              <w:keepLines/>
            </w:pPr>
            <w:r>
              <w:t>The Great Escape Melbourne, Amicus project record</w:t>
            </w:r>
          </w:p>
        </w:tc>
        <w:tc>
          <w:tcPr>
            <w:tcW w:type="dxa" w:w="1970"/>
            <w:vAlign w:val="top"/>
            <w:shd w:fill="EDF2EE"/>
          </w:tcPr>
          <w:p>
            <w:pPr>
              <w:pStyle w:val="TableText"/>
              <w:keepNext w:val="0"/>
              <w:keepLines/>
            </w:pPr>
            <w:r>
              <w:t>1,240 m²</w:t>
            </w:r>
          </w:p>
        </w:tc>
        <w:tc>
          <w:tcPr>
            <w:tcW w:type="dxa" w:w="4853"/>
            <w:vAlign w:val="top"/>
            <w:shd w:fill="EDF2EE"/>
          </w:tcPr>
          <w:p>
            <w:pPr>
              <w:pStyle w:val="TableText"/>
              <w:keepNext w:val="0"/>
              <w:keepLines/>
            </w:pPr>
            <w:r>
              <w:t>The whole mixed venue: nine-room design, mini-golf, arcade, bar, kitchen and lounges.</w:t>
            </w:r>
          </w:p>
        </w:tc>
      </w:tr>
      <w:tr>
        <w:trPr>
          <w:cantSplit/>
        </w:trPr>
        <w:tc>
          <w:tcPr>
            <w:tcW w:type="dxa" w:w="3329"/>
            <w:vAlign w:val="top"/>
            <w:shd w:fill="FFFFFF"/>
          </w:tcPr>
          <w:p>
            <w:pPr>
              <w:pStyle w:val="TableText"/>
              <w:keepNext w:val="0"/>
              <w:keepLines/>
            </w:pPr>
            <w:r>
              <w:t>Lost Locks founder interview, May 2023</w:t>
            </w:r>
          </w:p>
        </w:tc>
        <w:tc>
          <w:tcPr>
            <w:tcW w:type="dxa" w:w="1970"/>
            <w:vAlign w:val="top"/>
            <w:shd w:fill="FFFFFF"/>
          </w:tcPr>
          <w:p>
            <w:pPr>
              <w:pStyle w:val="TableText"/>
              <w:keepNext w:val="0"/>
              <w:keepLines/>
            </w:pPr>
            <w:r>
              <w:t>About 500 m² sought</w:t>
            </w:r>
          </w:p>
        </w:tc>
        <w:tc>
          <w:tcPr>
            <w:tcW w:type="dxa" w:w="4853"/>
            <w:vAlign w:val="top"/>
            <w:shd w:fill="FFFFFF"/>
          </w:tcPr>
          <w:p>
            <w:pPr>
              <w:pStyle w:val="TableText"/>
              <w:keepNext w:val="0"/>
              <w:keepLines/>
            </w:pPr>
            <w:r>
              <w:t>Historical whole-premises search target for up to ten rooms; six were open at interview.</w:t>
            </w:r>
          </w:p>
        </w:tc>
      </w:tr>
    </w:tbl>
    <w:p>
      <w:pPr>
        <w:spacing w:after="20" w:before="0" w:line="240" w:lineRule="auto"/>
      </w:pPr>
      <w:r>
        <w:rPr>
          <w:sz w:val="6"/>
        </w:rPr>
      </w:r>
    </w:p>
    <w:p>
      <w:pPr/>
      <w:r>
        <w:t>This sample supports a range of formats. It does not provide a national mean room size. The selected 45 m² game module in this plan sits within the published supplier ranges. Reflection, storage, circulation, access and staff facilities are budgeted separately. A measured building plan will establish the eventual area.</w:t>
      </w:r>
    </w:p>
    <w:p>
      <w:pPr/>
      <w:r>
        <w:t>The larger venue examples show where growth can lead. The first premises should match the actual room catalogue, buyer groups and delivery capacity.</w:t>
      </w:r>
    </w:p>
    <w:p>
      <w:pPr>
        <w:pStyle w:val="SourceNote"/>
      </w:pPr>
      <w:r>
        <w:t xml:space="preserve">Sources: </w:t>
      </w:r>
      <w:hyperlink w:anchor="source_M11">
        <w:r>
          <w:rPr>
            <w:color w:val="275E67"/>
            <w:u w:val="single"/>
          </w:rPr>
          <w:t xml:space="preserve">M11</w:t>
        </w:r>
      </w:hyperlink>
      <w:r>
        <w:t xml:space="preserve">, </w:t>
      </w:r>
      <w:hyperlink w:anchor="source_M12">
        <w:r>
          <w:rPr>
            <w:color w:val="275E67"/>
            <w:u w:val="single"/>
          </w:rPr>
          <w:t xml:space="preserve">M12</w:t>
        </w:r>
      </w:hyperlink>
      <w:r>
        <w:t xml:space="preserve">, </w:t>
      </w:r>
      <w:hyperlink w:anchor="source_M13">
        <w:r>
          <w:rPr>
            <w:color w:val="275E67"/>
            <w:u w:val="single"/>
          </w:rPr>
          <w:t xml:space="preserve">M13</w:t>
        </w:r>
      </w:hyperlink>
      <w:r>
        <w:t xml:space="preserve">, </w:t>
      </w:r>
      <w:hyperlink w:anchor="source_M14">
        <w:r>
          <w:rPr>
            <w:color w:val="275E67"/>
            <w:u w:val="single"/>
          </w:rPr>
          <w:t xml:space="preserve">M14</w:t>
        </w:r>
      </w:hyperlink>
      <w:r>
        <w:t xml:space="preserve">, </w:t>
      </w:r>
      <w:hyperlink w:anchor="source_M15">
        <w:r>
          <w:rPr>
            <w:color w:val="275E67"/>
            <w:u w:val="single"/>
          </w:rPr>
          <w:t xml:space="preserve">M15</w:t>
        </w:r>
      </w:hyperlink>
    </w:p>
    <w:p>
      <w:bookmarkStart w:id="12" w:name="s_market_Competitors__pricing_a_87930c"/>
      <w:pPr>
        <w:pStyle w:val="Heading2"/>
      </w:pPr>
      <w:r>
        <w:t>Competitors, pricing and differentiation</w:t>
      </w:r>
      <w:bookmarkEnd w:id="12"/>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4047"/>
        <w:gridCol w:w="6105"/>
      </w:tblGrid>
      <w:tr>
        <w:trPr>
          <w:cantSplit/>
          <w:tblHeader w:val="true"/>
        </w:trPr>
        <w:tc>
          <w:tcPr>
            <w:tcW w:type="dxa" w:w="4047"/>
            <w:vAlign w:val="center"/>
            <w:shd w:fill="203B4C"/>
          </w:tcPr>
          <w:p>
            <w:pPr>
              <w:pStyle w:val="TableHead"/>
              <w:keepNext/>
              <w:keepLines/>
            </w:pPr>
            <w:r>
              <w:rPr>
                <w:color w:val="FFFFFF"/>
              </w:rPr>
              <w:t>Published offer</w:t>
            </w:r>
          </w:p>
        </w:tc>
        <w:tc>
          <w:tcPr>
            <w:tcW w:type="dxa" w:w="6105"/>
            <w:vAlign w:val="center"/>
            <w:shd w:fill="203B4C"/>
          </w:tcPr>
          <w:p>
            <w:pPr>
              <w:pStyle w:val="TableHead"/>
              <w:keepNext/>
              <w:keepLines/>
            </w:pPr>
            <w:r>
              <w:rPr>
                <w:color w:val="FFFFFF"/>
              </w:rPr>
              <w:t>Price and key conditions</w:t>
            </w:r>
          </w:p>
        </w:tc>
      </w:tr>
      <w:tr>
        <w:trPr>
          <w:cantSplit/>
        </w:trPr>
        <w:tc>
          <w:tcPr>
            <w:tcW w:type="dxa" w:w="4047"/>
            <w:vAlign w:val="top"/>
            <w:shd w:fill="EDF2EE"/>
          </w:tcPr>
          <w:p>
            <w:pPr>
              <w:pStyle w:val="TableText"/>
              <w:keepNext w:val="0"/>
              <w:keepLines/>
            </w:pPr>
            <w:r>
              <w:t>Puzzled public, Brisbane</w:t>
            </w:r>
          </w:p>
        </w:tc>
        <w:tc>
          <w:tcPr>
            <w:tcW w:type="dxa" w:w="6105"/>
            <w:vAlign w:val="top"/>
            <w:shd w:fill="EDF2EE"/>
          </w:tcPr>
          <w:p>
            <w:pPr>
              <w:pStyle w:val="TableText"/>
              <w:keepNext w:val="0"/>
              <w:keepLines/>
            </w:pPr>
            <w:r>
              <w:t>$42 per person for four to six players; smaller groups pay more.</w:t>
            </w:r>
          </w:p>
        </w:tc>
      </w:tr>
      <w:tr>
        <w:trPr>
          <w:cantSplit/>
        </w:trPr>
        <w:tc>
          <w:tcPr>
            <w:tcW w:type="dxa" w:w="4047"/>
            <w:vAlign w:val="top"/>
            <w:shd w:fill="FFFFFF"/>
          </w:tcPr>
          <w:p>
            <w:pPr>
              <w:pStyle w:val="TableText"/>
              <w:keepNext w:val="0"/>
              <w:keepLines/>
            </w:pPr>
            <w:r>
              <w:t>Puzzled student programme</w:t>
            </w:r>
          </w:p>
        </w:tc>
        <w:tc>
          <w:tcPr>
            <w:tcW w:type="dxa" w:w="6105"/>
            <w:vAlign w:val="top"/>
            <w:shd w:fill="FFFFFF"/>
          </w:tcPr>
          <w:p>
            <w:pPr>
              <w:pStyle w:val="TableText"/>
              <w:keepNext w:val="0"/>
              <w:keepLines/>
            </w:pPr>
            <w:r>
              <w:t>$35 per person on weekdays, minimum twenty.</w:t>
            </w:r>
          </w:p>
        </w:tc>
      </w:tr>
      <w:tr>
        <w:trPr>
          <w:cantSplit/>
        </w:trPr>
        <w:tc>
          <w:tcPr>
            <w:tcW w:type="dxa" w:w="4047"/>
            <w:vAlign w:val="top"/>
            <w:shd w:fill="EDF2EE"/>
          </w:tcPr>
          <w:p>
            <w:pPr>
              <w:pStyle w:val="TableText"/>
              <w:keepNext w:val="0"/>
              <w:keepLines/>
            </w:pPr>
            <w:r>
              <w:t>Project Immersive group event</w:t>
            </w:r>
          </w:p>
        </w:tc>
        <w:tc>
          <w:tcPr>
            <w:tcW w:type="dxa" w:w="6105"/>
            <w:vAlign w:val="top"/>
            <w:shd w:fill="EDF2EE"/>
          </w:tcPr>
          <w:p>
            <w:pPr>
              <w:pStyle w:val="TableText"/>
              <w:keepNext w:val="0"/>
              <w:keepLines/>
            </w:pPr>
            <w:r>
              <w:t>$44 per person for seven to twenty people; minimum three per game.</w:t>
            </w:r>
          </w:p>
        </w:tc>
      </w:tr>
      <w:tr>
        <w:trPr>
          <w:cantSplit/>
        </w:trPr>
        <w:tc>
          <w:tcPr>
            <w:tcW w:type="dxa" w:w="4047"/>
            <w:vAlign w:val="top"/>
            <w:shd w:fill="FFFFFF"/>
          </w:tcPr>
          <w:p>
            <w:pPr>
              <w:pStyle w:val="TableText"/>
              <w:keepNext w:val="0"/>
              <w:keepLines/>
            </w:pPr>
            <w:r>
              <w:t>Fox in a Box corporate</w:t>
            </w:r>
          </w:p>
        </w:tc>
        <w:tc>
          <w:tcPr>
            <w:tcW w:type="dxa" w:w="6105"/>
            <w:vAlign w:val="top"/>
            <w:shd w:fill="FFFFFF"/>
          </w:tcPr>
          <w:p>
            <w:pPr>
              <w:pStyle w:val="TableText"/>
              <w:keepNext w:val="0"/>
              <w:keepLines/>
            </w:pPr>
            <w:r>
              <w:t>$45 for one game or $80 for two, minimum thirteen participants.</w:t>
            </w:r>
          </w:p>
        </w:tc>
      </w:tr>
      <w:tr>
        <w:trPr>
          <w:cantSplit/>
        </w:trPr>
        <w:tc>
          <w:tcPr>
            <w:tcW w:type="dxa" w:w="4047"/>
            <w:vAlign w:val="top"/>
            <w:shd w:fill="EDF2EE"/>
          </w:tcPr>
          <w:p>
            <w:pPr>
              <w:pStyle w:val="TableText"/>
              <w:keepNext w:val="0"/>
              <w:keepLines/>
            </w:pPr>
            <w:r>
              <w:t>Red Lock weekday multi-game package</w:t>
            </w:r>
          </w:p>
        </w:tc>
        <w:tc>
          <w:tcPr>
            <w:tcW w:type="dxa" w:w="6105"/>
            <w:vAlign w:val="top"/>
            <w:shd w:fill="EDF2EE"/>
          </w:tcPr>
          <w:p>
            <w:pPr>
              <w:pStyle w:val="TableText"/>
              <w:keepNext w:val="0"/>
              <w:keepLines/>
            </w:pPr>
            <w:r>
              <w:t>Three rooms for $99 per person; further rooms $33 each; conditions exclude Queensland school holidays.</w:t>
            </w:r>
          </w:p>
        </w:tc>
      </w:tr>
    </w:tbl>
    <w:p>
      <w:pPr>
        <w:spacing w:after="20" w:before="0" w:line="240" w:lineRule="auto"/>
      </w:pPr>
      <w:r>
        <w:rPr>
          <w:sz w:val="6"/>
        </w:rPr>
      </w:r>
    </w:p>
    <w:p>
      <w:pPr/>
      <w:r>
        <w:t>The proposed $59 public price includes a structured reflection on the actual experience. The $99 workshop adds application to a chosen team or life situation. The quality of the rooms and facilitation must make those inclusions worth buying.</w:t>
      </w:r>
    </w:p>
    <w:p>
      <w:pPr/>
      <w:r>
        <w:t>The distinctive offer joins independent play without hints, contextual noticing of language and teamwork, progression across life, local content, cross-venue travel and continuing personal Aura records chosen by the participant. Existing team-building operators also offer communication and reflection, so the business will compete through delivery quality, integration and repeat value.</w:t>
      </w:r>
    </w:p>
    <w:p>
      <w:pPr>
        <w:pStyle w:val="SourceNote"/>
      </w:pPr>
      <w:r>
        <w:t xml:space="preserve">Sources: </w:t>
      </w:r>
      <w:hyperlink w:anchor="source_M07">
        <w:r>
          <w:rPr>
            <w:color w:val="275E67"/>
            <w:u w:val="single"/>
          </w:rPr>
          <w:t xml:space="preserve">M07</w:t>
        </w:r>
      </w:hyperlink>
      <w:r>
        <w:t xml:space="preserve">, </w:t>
      </w:r>
      <w:hyperlink w:anchor="source_M09">
        <w:r>
          <w:rPr>
            <w:color w:val="275E67"/>
            <w:u w:val="single"/>
          </w:rPr>
          <w:t xml:space="preserve">M09</w:t>
        </w:r>
      </w:hyperlink>
      <w:r>
        <w:t xml:space="preserve">, </w:t>
      </w:r>
      <w:hyperlink w:anchor="source_M10">
        <w:r>
          <w:rPr>
            <w:color w:val="275E67"/>
            <w:u w:val="single"/>
          </w:rPr>
          <w:t xml:space="preserve">M10</w:t>
        </w:r>
      </w:hyperlink>
      <w:r>
        <w:t xml:space="preserve">, </w:t>
      </w:r>
      <w:hyperlink w:anchor="source_M18">
        <w:r>
          <w:rPr>
            <w:color w:val="275E67"/>
            <w:u w:val="single"/>
          </w:rPr>
          <w:t xml:space="preserve">M18</w:t>
        </w:r>
      </w:hyperlink>
      <w:r>
        <w:t xml:space="preserve">, </w:t>
      </w:r>
      <w:hyperlink w:anchor="source_M19">
        <w:r>
          <w:rPr>
            <w:color w:val="275E67"/>
            <w:u w:val="single"/>
          </w:rPr>
          <w:t xml:space="preserve">M19</w:t>
        </w:r>
      </w:hyperlink>
      <w:r>
        <w:t xml:space="preserve">, </w:t>
      </w:r>
      <w:hyperlink w:anchor="source_M20">
        <w:r>
          <w:rPr>
            <w:color w:val="275E67"/>
            <w:u w:val="single"/>
          </w:rPr>
          <w:t xml:space="preserve">M20</w:t>
        </w:r>
      </w:hyperlink>
    </w:p>
    <w:p>
      <w:bookmarkStart w:id="13" w:name="s_market_A_site_level_market_ca_c2690f"/>
      <w:pPr>
        <w:pStyle w:val="Heading2"/>
      </w:pPr>
      <w:r>
        <w:t>A site-level market case</w:t>
      </w:r>
      <w:bookmarkEnd w:id="13"/>
    </w:p>
    <w:p>
      <w:pPr/>
      <w:r>
        <w:t>Each candidate record contains the measured premises and permitted use; local competitor prices, capacities and availability; reachable schools and employers; visitor nights and seasonal patterns; accommodation and event partners; transport and parking; suitable local contractors; and customers at each stage of interest, quotation and paid booking.</w:t>
      </w:r>
    </w:p>
    <w:p>
      <w:pPr/>
      <w:r>
        <w:t>The sales forecast is assembled by customer segment, month, room session and expected group size. A school class that needs six room sessions consumes six sessions. A traveller playing three destinations generates three admissions and remains one customer in the customer count.</w:t>
      </w:r>
    </w:p>
    <w:p>
      <w:pPr/>
      <w:r>
        <w:t>Compare direct bookings, partner referrals and tourism distribution separately. Retain the net amount after each channel's commission and payment fees. Track enquiries, conversion, advance bookings, cancellations, repeat visits, room utilisation and contribution per staffed opening block. Those results guide the next deployment.</w:t>
      </w:r>
    </w:p>
    <w:p>
      <w:pPr>
        <w:pStyle w:val="SourceNote"/>
      </w:pPr>
      <w:r>
        <w:t xml:space="preserve">Sources: </w:t>
      </w:r>
      <w:hyperlink w:anchor="source_M05">
        <w:r>
          <w:rPr>
            <w:color w:val="275E67"/>
            <w:u w:val="single"/>
          </w:rPr>
          <w:t xml:space="preserve">M05</w:t>
        </w:r>
      </w:hyperlink>
      <w:r>
        <w:t xml:space="preserve">, </w:t>
      </w:r>
      <w:hyperlink w:anchor="source_M06">
        <w:r>
          <w:rPr>
            <w:color w:val="275E67"/>
            <w:u w:val="single"/>
          </w:rPr>
          <w:t xml:space="preserve">M06</w:t>
        </w:r>
      </w:hyperlink>
      <w:r>
        <w:t xml:space="preserve">, </w:t>
      </w:r>
      <w:hyperlink w:anchor="source_M21">
        <w:r>
          <w:rPr>
            <w:color w:val="275E67"/>
            <w:u w:val="single"/>
          </w:rPr>
          <w:t xml:space="preserve">M21</w:t>
        </w:r>
      </w:hyperlink>
      <w:r>
        <w:t xml:space="preserve">, </w:t>
      </w:r>
      <w:hyperlink w:anchor="source_M22">
        <w:r>
          <w:rPr>
            <w:color w:val="275E67"/>
            <w:u w:val="single"/>
          </w:rPr>
          <w:t xml:space="preserve">M22</w:t>
        </w:r>
      </w:hyperlink>
    </w:p>
    <w:p>
      <w:bookmarkStart w:id="14" w:name="chapter_network_tourism"/>
      <w:pPr>
        <w:pStyle w:val="Heading1"/>
        <w:pageBreakBefore/>
      </w:pPr>
      <w:r>
        <w:t>A tourism network that rewards return visits</w:t>
      </w:r>
      <w:bookmarkEnd w:id="14"/>
    </w:p>
    <w:p>
      <w:pPr>
        <w:pStyle w:val="Lead"/>
      </w:pPr>
      <w:r>
        <w:t>Give every destination its own character and every returning group a fresh reason to travel, contribute and learn.</w:t>
      </w:r>
    </w:p>
    <w:p>
      <w:bookmarkStart w:id="15" w:name="s_network_tourism_The_network_p_76c679"/>
      <w:pPr>
        <w:pStyle w:val="Heading2"/>
      </w:pPr>
      <w:r>
        <w:t>The network product</w:t>
      </w:r>
      <w:bookmarkEnd w:id="15"/>
    </w:p>
    <w:p>
      <w:pPr/>
      <w:r>
        <w:t>A visitor can enjoy one room as a complete experience, then choose a linked journey through other participating venues. Each room has a different story, task structure and local connection. The network maintains room and scenario versions so returning groups can find genuinely unfamiliar experiences.</w:t>
      </w:r>
    </w:p>
    <w:p>
      <w:pPr/>
      <w:r>
        <w:t>Three product lengths serve different customers: a local day with two experiences and an independent food or cultural stop; a regional weekend with several rooms and accommodation; and a longer passport used across a journey. Employer retreats add a workshop tied to actual work. School series can revisit the same capabilities through different room settings.</w:t>
      </w:r>
    </w:p>
    <w:p>
      <w:pPr/>
      <w:r>
        <w:t>Partner businesses publish their actual offer, price, capacity, accessibility and booking arrangements. A package can be sold by a named contracting operator, or customers can buy linked services directly. The selling and settlement model is clear before bookings open.</w:t>
      </w:r>
    </w:p>
    <w:p>
      <w:pPr>
        <w:pStyle w:val="SourceNote"/>
      </w:pPr>
      <w:r>
        <w:t xml:space="preserve">Sources: </w:t>
      </w:r>
      <w:hyperlink w:anchor="source_D07">
        <w:r>
          <w:rPr>
            <w:color w:val="275E67"/>
            <w:u w:val="single"/>
          </w:rPr>
          <w:t xml:space="preserve">D07</w:t>
        </w:r>
      </w:hyperlink>
      <w:r>
        <w:t xml:space="preserve">, </w:t>
      </w:r>
      <w:hyperlink w:anchor="source_M06">
        <w:r>
          <w:rPr>
            <w:color w:val="275E67"/>
            <w:u w:val="single"/>
          </w:rPr>
          <w:t xml:space="preserve">M06</w:t>
        </w:r>
      </w:hyperlink>
      <w:r>
        <w:t xml:space="preserve">, </w:t>
      </w:r>
      <w:hyperlink w:anchor="source_M09">
        <w:r>
          <w:rPr>
            <w:color w:val="275E67"/>
            <w:u w:val="single"/>
          </w:rPr>
          <w:t xml:space="preserve">M09</w:t>
        </w:r>
      </w:hyperlink>
      <w:r>
        <w:t xml:space="preserve">, </w:t>
      </w:r>
      <w:hyperlink w:anchor="source_M22">
        <w:r>
          <w:rPr>
            <w:color w:val="275E67"/>
            <w:u w:val="single"/>
          </w:rPr>
          <w:t xml:space="preserve">M22</w:t>
        </w:r>
      </w:hyperlink>
    </w:p>
    <w:p>
      <w:bookmarkStart w:id="16" w:name="s_network_tourism_A_proposed_th_dfed49"/>
      <w:pPr>
        <w:pStyle w:val="Heading2"/>
      </w:pPr>
      <w:r>
        <w:t>A proposed three-destination journey</w:t>
      </w:r>
      <w:bookmarkEnd w:id="16"/>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1785"/>
        <w:gridCol w:w="4332"/>
        <w:gridCol w:w="4035"/>
      </w:tblGrid>
      <w:tr>
        <w:trPr>
          <w:cantSplit/>
          <w:tblHeader w:val="true"/>
        </w:trPr>
        <w:tc>
          <w:tcPr>
            <w:tcW w:type="dxa" w:w="1785"/>
            <w:vAlign w:val="center"/>
            <w:shd w:fill="203B4C"/>
          </w:tcPr>
          <w:p>
            <w:pPr>
              <w:pStyle w:val="TableHead"/>
              <w:keepNext/>
              <w:keepLines/>
            </w:pPr>
            <w:r>
              <w:rPr>
                <w:color w:val="FFFFFF"/>
              </w:rPr>
              <w:t>Stage</w:t>
            </w:r>
          </w:p>
        </w:tc>
        <w:tc>
          <w:tcPr>
            <w:tcW w:type="dxa" w:w="4332"/>
            <w:vAlign w:val="center"/>
            <w:shd w:fill="203B4C"/>
          </w:tcPr>
          <w:p>
            <w:pPr>
              <w:pStyle w:val="TableHead"/>
              <w:keepNext/>
              <w:keepLines/>
            </w:pPr>
            <w:r>
              <w:rPr>
                <w:color w:val="FFFFFF"/>
              </w:rPr>
              <w:t>Experience and local trade</w:t>
            </w:r>
          </w:p>
        </w:tc>
        <w:tc>
          <w:tcPr>
            <w:tcW w:type="dxa" w:w="4035"/>
            <w:vAlign w:val="center"/>
            <w:shd w:fill="203B4C"/>
          </w:tcPr>
          <w:p>
            <w:pPr>
              <w:pStyle w:val="TableHead"/>
              <w:keepNext/>
              <w:keepLines/>
            </w:pPr>
            <w:r>
              <w:rPr>
                <w:color w:val="FFFFFF"/>
              </w:rPr>
              <w:t>Skill carried into the next setting</w:t>
            </w:r>
          </w:p>
        </w:tc>
      </w:tr>
      <w:tr>
        <w:trPr>
          <w:cantSplit/>
        </w:trPr>
        <w:tc>
          <w:tcPr>
            <w:tcW w:type="dxa" w:w="1785"/>
            <w:vAlign w:val="top"/>
            <w:shd w:fill="EDF2EE"/>
          </w:tcPr>
          <w:p>
            <w:pPr>
              <w:pStyle w:val="TableText"/>
              <w:keepNext w:val="0"/>
              <w:keepLines/>
            </w:pPr>
            <w:r>
              <w:t>First destination</w:t>
            </w:r>
          </w:p>
        </w:tc>
        <w:tc>
          <w:tcPr>
            <w:tcW w:type="dxa" w:w="4332"/>
            <w:vAlign w:val="top"/>
            <w:shd w:fill="EDF2EE"/>
          </w:tcPr>
          <w:p>
            <w:pPr>
              <w:pStyle w:val="TableText"/>
              <w:keepNext w:val="0"/>
              <w:keepLines/>
            </w:pPr>
            <w:r>
              <w:t>A practical workshop room, followed by an independently operated lunch or gallery visit</w:t>
            </w:r>
          </w:p>
        </w:tc>
        <w:tc>
          <w:tcPr>
            <w:tcW w:type="dxa" w:w="4035"/>
            <w:vAlign w:val="top"/>
            <w:shd w:fill="EDF2EE"/>
          </w:tcPr>
          <w:p>
            <w:pPr>
              <w:pStyle w:val="TableText"/>
              <w:keepNext w:val="0"/>
              <w:keepLines/>
            </w:pPr>
            <w:r>
              <w:t>Share information, make a clear request and notice assumptions.</w:t>
            </w:r>
          </w:p>
        </w:tc>
      </w:tr>
      <w:tr>
        <w:trPr>
          <w:cantSplit/>
        </w:trPr>
        <w:tc>
          <w:tcPr>
            <w:tcW w:type="dxa" w:w="1785"/>
            <w:vAlign w:val="top"/>
            <w:shd w:fill="FFFFFF"/>
          </w:tcPr>
          <w:p>
            <w:pPr>
              <w:pStyle w:val="TableText"/>
              <w:keepNext w:val="0"/>
              <w:keepLines/>
            </w:pPr>
            <w:r>
              <w:t>Second destination</w:t>
            </w:r>
          </w:p>
        </w:tc>
        <w:tc>
          <w:tcPr>
            <w:tcW w:type="dxa" w:w="4332"/>
            <w:vAlign w:val="top"/>
            <w:shd w:fill="FFFFFF"/>
          </w:tcPr>
          <w:p>
            <w:pPr>
              <w:pStyle w:val="TableText"/>
              <w:keepNext w:val="0"/>
              <w:keepLines/>
            </w:pPr>
            <w:r>
              <w:t>An investigation room in another town, with accommodation and local experiences available through partners</w:t>
            </w:r>
          </w:p>
        </w:tc>
        <w:tc>
          <w:tcPr>
            <w:tcW w:type="dxa" w:w="4035"/>
            <w:vAlign w:val="top"/>
            <w:shd w:fill="FFFFFF"/>
          </w:tcPr>
          <w:p>
            <w:pPr>
              <w:pStyle w:val="TableText"/>
              <w:keepNext w:val="0"/>
              <w:keepLines/>
            </w:pPr>
            <w:r>
              <w:t>Check evidence, hear another interpretation and revise a plan.</w:t>
            </w:r>
          </w:p>
        </w:tc>
      </w:tr>
      <w:tr>
        <w:trPr>
          <w:cantSplit/>
        </w:trPr>
        <w:tc>
          <w:tcPr>
            <w:tcW w:type="dxa" w:w="1785"/>
            <w:vAlign w:val="top"/>
            <w:shd w:fill="EDF2EE"/>
          </w:tcPr>
          <w:p>
            <w:pPr>
              <w:pStyle w:val="TableText"/>
              <w:keepNext w:val="0"/>
              <w:keepLines/>
            </w:pPr>
            <w:r>
              <w:t>Third destination</w:t>
            </w:r>
          </w:p>
        </w:tc>
        <w:tc>
          <w:tcPr>
            <w:tcW w:type="dxa" w:w="4332"/>
            <w:vAlign w:val="top"/>
            <w:shd w:fill="EDF2EE"/>
          </w:tcPr>
          <w:p>
            <w:pPr>
              <w:pStyle w:val="TableText"/>
              <w:keepNext w:val="0"/>
              <w:keepLines/>
            </w:pPr>
            <w:r>
              <w:t>A shared-place room and optional final reflection</w:t>
            </w:r>
          </w:p>
        </w:tc>
        <w:tc>
          <w:tcPr>
            <w:tcW w:type="dxa" w:w="4035"/>
            <w:vAlign w:val="top"/>
            <w:shd w:fill="EDF2EE"/>
          </w:tcPr>
          <w:p>
            <w:pPr>
              <w:pStyle w:val="TableText"/>
              <w:keepNext w:val="0"/>
              <w:keepLines/>
            </w:pPr>
            <w:r>
              <w:t>Negotiate responsibilities, repair an unhelpful exchange and choose a real-life application.</w:t>
            </w:r>
          </w:p>
        </w:tc>
      </w:tr>
    </w:tbl>
    <w:p>
      <w:pPr>
        <w:spacing w:after="20" w:before="0" w:line="240" w:lineRule="auto"/>
      </w:pPr>
      <w:r>
        <w:rPr>
          <w:sz w:val="6"/>
        </w:rPr>
      </w:r>
    </w:p>
    <w:p>
      <w:pPr/>
      <w:r>
        <w:t>Brisbane, Redlands and Minjerribah provide one route concept for development. Sunshine Coast and hinterland, Northern Rivers and Coffs Harbour, and Melbourne, Beechworth and Albury provide other possible regional patterns. These are development examples. Actual participating venues, ferry or road timetables, accessible transport, cultural hosts and accommodation must be assembled for each published itinerary.</w:t>
      </w:r>
    </w:p>
    <w:p>
      <w:pPr/>
      <w:r>
        <w:t>Travel itself creates useful practice: agreeing a meeting time, accommodating different needs, asking for assistance, changing a plan and sharing responsibility. The next room introduces a fresh task where people can use their skills without an in-game reminder.</w:t>
      </w:r>
    </w:p>
    <w:p>
      <w:pPr>
        <w:pStyle w:val="SourceNote"/>
      </w:pPr>
      <w:r>
        <w:t xml:space="preserve">Sources: </w:t>
      </w:r>
      <w:hyperlink w:anchor="source_D07">
        <w:r>
          <w:rPr>
            <w:color w:val="275E67"/>
            <w:u w:val="single"/>
          </w:rPr>
          <w:t xml:space="preserve">D07</w:t>
        </w:r>
      </w:hyperlink>
      <w:r>
        <w:t xml:space="preserve">, </w:t>
      </w:r>
      <w:hyperlink w:anchor="source_P05">
        <w:r>
          <w:rPr>
            <w:color w:val="275E67"/>
            <w:u w:val="single"/>
          </w:rPr>
          <w:t xml:space="preserve">P05</w:t>
        </w:r>
      </w:hyperlink>
      <w:r>
        <w:t xml:space="preserve">, </w:t>
      </w:r>
      <w:hyperlink w:anchor="source_M16">
        <w:r>
          <w:rPr>
            <w:color w:val="275E67"/>
            <w:u w:val="single"/>
          </w:rPr>
          <w:t xml:space="preserve">M16</w:t>
        </w:r>
      </w:hyperlink>
    </w:p>
    <w:p>
      <w:bookmarkStart w:id="17" w:name="s_network_tourism_The_direct_ne_56c083"/>
      <w:pPr>
        <w:pStyle w:val="Heading2"/>
      </w:pPr>
      <w:r>
        <w:t>The direct network pass and settlement</w:t>
      </w:r>
      <w:bookmarkEnd w:id="17"/>
    </w:p>
    <w:p>
      <w:pPr/>
      <w:r>
        <w:t>The proposed direct pass is $169 per person for three participating rooms. Its allocation is $53 to each receiving venue and $10 for the network service, all stated as GST-inclusive cash amounts where applicable. Compared with three individual $59 admissions, the pass saves $8 and offers a connected journey.</w:t>
      </w:r>
    </w:p>
    <w:p>
      <w:pPr/>
      <w:r>
        <w:t>The venue allocations remain committed to future admissions until the relevant service is delivered or the booking is otherwise resolved under the agreed terms. A venue records its own admission revenue. The network records its service amount under its agreed agency or principal arrangement. Accounting and tax treatment are confirmed in the operating agreements.</w:t>
      </w:r>
    </w:p>
    <w:p>
      <w:pPr/>
      <w:r>
        <w:t>For five passes bought in one domestic-card transaction, $845 is collected, $795 is allocated to venue admissions and $50 to the network service. Payment processing and the network's own delivery costs come out of the network amount in this example. The finance chapter shows the calculation and the limits of this tariff.</w:t>
      </w:r>
    </w:p>
    <w:p>
      <w:pPr/>
      <w:r>
        <w:t>Wholesale and high-commission channels need a separately priced offer. The direct pass cannot absorb every distribution fee while preserving the same venue payments. Refunds, cancellations, unredeemed admissions, partner departure and failed delivery each have an assigned payer and settlement procedure.</w:t>
      </w:r>
    </w:p>
    <w:p>
      <w:pPr>
        <w:pStyle w:val="SourceNote"/>
      </w:pPr>
      <w:r>
        <w:t xml:space="preserve">Sources: </w:t>
      </w:r>
      <w:hyperlink w:anchor="source_M05">
        <w:r>
          <w:rPr>
            <w:color w:val="275E67"/>
            <w:u w:val="single"/>
          </w:rPr>
          <w:t xml:space="preserve">M05</w:t>
        </w:r>
      </w:hyperlink>
      <w:r>
        <w:t xml:space="preserve">, </w:t>
      </w:r>
      <w:hyperlink w:anchor="source_M16">
        <w:r>
          <w:rPr>
            <w:color w:val="275E67"/>
            <w:u w:val="single"/>
          </w:rPr>
          <w:t xml:space="preserve">M16</w:t>
        </w:r>
      </w:hyperlink>
    </w:p>
    <w:p>
      <w:bookmarkStart w:id="18" w:name="s_network_tourism_How_neighbour_77d95b"/>
      <w:pPr>
        <w:pStyle w:val="Heading2"/>
      </w:pPr>
      <w:r>
        <w:t>How neighbouring businesses benefit</w:t>
      </w:r>
      <w:bookmarkEnd w:id="18"/>
    </w:p>
    <w:p>
      <w:pPr/>
      <w:r>
        <w:t>Accommodation providers gain a reason for an extra night. Cafes and restaurants gain groups with a planned break. Galleries, museums, guides and cultural hosts can offer their own experiences between rooms. Local makers can supply set dressing, props, repairs and original stories. Councils and tourism organisations can help connect venues with precincts, visitor information and relevant regional programmes.</w:t>
      </w:r>
    </w:p>
    <w:p>
      <w:pPr/>
      <w:r>
        <w:t>Measure partner benefit through authorised referral codes, actual redeemed bookings and optional group feedback. Report partner sales separately from the escape-room business's revenue. A useful local-impact report includes supplier payments, paid work, room admissions, attributed partner transactions and funded access places.</w:t>
      </w:r>
    </w:p>
    <w:p>
      <w:pPr/>
      <w:r>
        <w:t>Participants can retain a chosen learning thread in their personal Aura. Tourism partners receive the booking information needed to deliver their service. Personal reflections are not a condition of cross-venue ticket redemption.</w:t>
      </w:r>
    </w:p>
    <w:p>
      <w:pPr>
        <w:pStyle w:val="SourceNote"/>
      </w:pPr>
      <w:r>
        <w:t xml:space="preserve">Sources: </w:t>
      </w:r>
      <w:hyperlink w:anchor="source_D07">
        <w:r>
          <w:rPr>
            <w:color w:val="275E67"/>
            <w:u w:val="single"/>
          </w:rPr>
          <w:t xml:space="preserve">D07</w:t>
        </w:r>
      </w:hyperlink>
      <w:r>
        <w:t xml:space="preserve">, </w:t>
      </w:r>
      <w:hyperlink w:anchor="source_D15">
        <w:r>
          <w:rPr>
            <w:color w:val="275E67"/>
            <w:u w:val="single"/>
          </w:rPr>
          <w:t xml:space="preserve">D15</w:t>
        </w:r>
      </w:hyperlink>
      <w:r>
        <w:t xml:space="preserve">, </w:t>
      </w:r>
      <w:hyperlink w:anchor="source_P03">
        <w:r>
          <w:rPr>
            <w:color w:val="275E67"/>
            <w:u w:val="single"/>
          </w:rPr>
          <w:t xml:space="preserve">P03</w:t>
        </w:r>
      </w:hyperlink>
      <w:r>
        <w:t xml:space="preserve">, </w:t>
      </w:r>
      <w:hyperlink w:anchor="source_P10">
        <w:r>
          <w:rPr>
            <w:color w:val="275E67"/>
            <w:u w:val="single"/>
          </w:rPr>
          <w:t xml:space="preserve">P10</w:t>
        </w:r>
      </w:hyperlink>
    </w:p>
    <w:p>
      <w:bookmarkStart w:id="19" w:name="s_network_tourism_Rotation_make_9b021b"/>
      <w:pPr>
        <w:pStyle w:val="Heading2"/>
      </w:pPr>
      <w:r>
        <w:t>Rotation makes the network more valuable</w:t>
      </w:r>
      <w:bookmarkEnd w:id="19"/>
    </w:p>
    <w:p>
      <w:pPr/>
      <w:r>
        <w:t>Mystery Rooms provides a practical precedent for game movement: its current Geelong page describes consolidation at Fitzroy and long-term residencies for two games with operators in Beechworth and Albury. Its vouchers exclude those partner venues, demonstrating why a shared pass needs deliberately negotiated redemption terms.</w:t>
      </w:r>
    </w:p>
    <w:p>
      <w:pPr/>
      <w:r>
        <w:t>Our rooms are designed with documented interfaces, transportable components and a version history. A room can gain a new audience in another region while its previous venue receives a fresh experience. The renewal contract accounts for deinstallation, condition checks, freight, receiving-site works, commissioning, training and downtime. The venue and network each earn only the revenue their agreement provides.</w:t>
      </w:r>
    </w:p>
    <w:p>
      <w:pPr>
        <w:pStyle w:val="SourceNote"/>
      </w:pPr>
      <w:r>
        <w:t xml:space="preserve">Sources: </w:t>
      </w:r>
      <w:hyperlink w:anchor="source_M16">
        <w:r>
          <w:rPr>
            <w:color w:val="275E67"/>
            <w:u w:val="single"/>
          </w:rPr>
          <w:t xml:space="preserve">M16</w:t>
        </w:r>
      </w:hyperlink>
      <w:r>
        <w:t xml:space="preserve">, </w:t>
      </w:r>
      <w:hyperlink w:anchor="source_P05">
        <w:r>
          <w:rPr>
            <w:color w:val="275E67"/>
            <w:u w:val="single"/>
          </w:rPr>
          <w:t xml:space="preserve">P05</w:t>
        </w:r>
      </w:hyperlink>
    </w:p>
    <w:p>
      <w:bookmarkStart w:id="20" w:name="chapter_deployment"/>
      <w:pPr>
        <w:pStyle w:val="Heading1"/>
        <w:pageBreakBefore/>
      </w:pPr>
      <w:r>
        <w:t>Room design and deployment</w:t>
      </w:r>
      <w:bookmarkEnd w:id="20"/>
    </w:p>
    <w:p>
      <w:pPr>
        <w:pStyle w:val="Lead"/>
      </w:pPr>
      <w:r>
        <w:t>Build a complete operating room, then turn each installation into practical knowledge for the next paid crew.</w:t>
      </w:r>
    </w:p>
    <w:p>
      <w:bookmarkStart w:id="21" w:name="s_deployment_Three_deployment_f_d86777"/>
      <w:pPr>
        <w:pStyle w:val="Heading2"/>
      </w:pPr>
      <w:r>
        <w:t>Three deployment formats</w:t>
      </w:r>
      <w:bookmarkEnd w:id="21"/>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387"/>
        <w:gridCol w:w="4299"/>
        <w:gridCol w:w="3466"/>
      </w:tblGrid>
      <w:tr>
        <w:trPr>
          <w:cantSplit/>
          <w:tblHeader w:val="true"/>
        </w:trPr>
        <w:tc>
          <w:tcPr>
            <w:tcW w:type="dxa" w:w="2387"/>
            <w:vAlign w:val="center"/>
            <w:shd w:fill="203B4C"/>
          </w:tcPr>
          <w:p>
            <w:pPr>
              <w:pStyle w:val="TableHead"/>
              <w:keepNext/>
              <w:keepLines/>
            </w:pPr>
            <w:r>
              <w:rPr>
                <w:color w:val="FFFFFF"/>
              </w:rPr>
              <w:t>Format</w:t>
            </w:r>
          </w:p>
        </w:tc>
        <w:tc>
          <w:tcPr>
            <w:tcW w:type="dxa" w:w="4299"/>
            <w:vAlign w:val="center"/>
            <w:shd w:fill="203B4C"/>
          </w:tcPr>
          <w:p>
            <w:pPr>
              <w:pStyle w:val="TableHead"/>
              <w:keepNext/>
              <w:keepLines/>
            </w:pPr>
            <w:r>
              <w:rPr>
                <w:color w:val="FFFFFF"/>
              </w:rPr>
              <w:t>Physical scope</w:t>
            </w:r>
          </w:p>
        </w:tc>
        <w:tc>
          <w:tcPr>
            <w:tcW w:type="dxa" w:w="3466"/>
            <w:vAlign w:val="center"/>
            <w:shd w:fill="203B4C"/>
          </w:tcPr>
          <w:p>
            <w:pPr>
              <w:pStyle w:val="TableHead"/>
              <w:keepNext/>
              <w:keepLines/>
            </w:pPr>
            <w:r>
              <w:rPr>
                <w:color w:val="FFFFFF"/>
              </w:rPr>
              <w:t>Commercial purpose</w:t>
            </w:r>
          </w:p>
        </w:tc>
      </w:tr>
      <w:tr>
        <w:trPr>
          <w:cantSplit/>
        </w:trPr>
        <w:tc>
          <w:tcPr>
            <w:tcW w:type="dxa" w:w="2387"/>
            <w:vAlign w:val="top"/>
            <w:shd w:fill="EDF2EE"/>
          </w:tcPr>
          <w:p>
            <w:pPr>
              <w:pStyle w:val="TableText"/>
              <w:keepNext w:val="0"/>
              <w:keepLines/>
            </w:pPr>
            <w:r>
              <w:t>Hosted two-room pilot</w:t>
            </w:r>
          </w:p>
        </w:tc>
        <w:tc>
          <w:tcPr>
            <w:tcW w:type="dxa" w:w="4299"/>
            <w:vAlign w:val="top"/>
            <w:shd w:fill="EDF2EE"/>
          </w:tcPr>
          <w:p>
            <w:pPr>
              <w:pStyle w:val="TableText"/>
              <w:keepNext w:val="0"/>
              <w:keepLines/>
            </w:pPr>
            <w:r>
              <w:t>Two game modules, selected at 40 to 50 m² each, plus measured shared briefing, reflection, storage and access facilities</w:t>
            </w:r>
          </w:p>
        </w:tc>
        <w:tc>
          <w:tcPr>
            <w:tcW w:type="dxa" w:w="3466"/>
            <w:vAlign w:val="top"/>
            <w:shd w:fill="EDF2EE"/>
          </w:tcPr>
          <w:p>
            <w:pPr>
              <w:pStyle w:val="TableText"/>
              <w:keepNext w:val="0"/>
              <w:keepLines/>
            </w:pPr>
            <w:r>
              <w:t>Establish the complete visitor, reset, training and cost record with a host.</w:t>
            </w:r>
          </w:p>
        </w:tc>
      </w:tr>
      <w:tr>
        <w:trPr>
          <w:cantSplit/>
        </w:trPr>
        <w:tc>
          <w:tcPr>
            <w:tcW w:type="dxa" w:w="2387"/>
            <w:vAlign w:val="top"/>
            <w:shd w:fill="FFFFFF"/>
          </w:tcPr>
          <w:p>
            <w:pPr>
              <w:pStyle w:val="TableText"/>
              <w:keepNext w:val="0"/>
              <w:keepLines/>
            </w:pPr>
            <w:r>
              <w:t>Four-room reference venue</w:t>
            </w:r>
          </w:p>
        </w:tc>
        <w:tc>
          <w:tcPr>
            <w:tcW w:type="dxa" w:w="4299"/>
            <w:vAlign w:val="top"/>
            <w:shd w:fill="FFFFFF"/>
          </w:tcPr>
          <w:p>
            <w:pPr>
              <w:pStyle w:val="TableText"/>
              <w:keepNext w:val="0"/>
              <w:keepLines/>
            </w:pPr>
            <w:r>
              <w:t>Four selected 45 m² games with dedicated reflection and support spaces in a 400 m² programme</w:t>
            </w:r>
          </w:p>
        </w:tc>
        <w:tc>
          <w:tcPr>
            <w:tcW w:type="dxa" w:w="3466"/>
            <w:vAlign w:val="top"/>
            <w:shd w:fill="FFFFFF"/>
          </w:tcPr>
          <w:p>
            <w:pPr>
              <w:pStyle w:val="TableText"/>
              <w:keepNext w:val="0"/>
              <w:keepLines/>
            </w:pPr>
            <w:r>
              <w:t>Serve several segments across the week and support a broader repeat catalogue.</w:t>
            </w:r>
          </w:p>
        </w:tc>
      </w:tr>
      <w:tr>
        <w:trPr>
          <w:cantSplit/>
        </w:trPr>
        <w:tc>
          <w:tcPr>
            <w:tcW w:type="dxa" w:w="2387"/>
            <w:vAlign w:val="top"/>
            <w:shd w:fill="EDF2EE"/>
          </w:tcPr>
          <w:p>
            <w:pPr>
              <w:pStyle w:val="TableText"/>
              <w:keepNext w:val="0"/>
              <w:keepLines/>
            </w:pPr>
            <w:r>
              <w:t>Partner expansion or room replacement</w:t>
            </w:r>
          </w:p>
        </w:tc>
        <w:tc>
          <w:tcPr>
            <w:tcW w:type="dxa" w:w="4299"/>
            <w:vAlign w:val="top"/>
            <w:shd w:fill="EDF2EE"/>
          </w:tcPr>
          <w:p>
            <w:pPr>
              <w:pStyle w:val="TableText"/>
              <w:keepNext w:val="0"/>
              <w:keepLines/>
            </w:pPr>
            <w:r>
              <w:t>One or more measured modules integrated into a working host venue</w:t>
            </w:r>
          </w:p>
        </w:tc>
        <w:tc>
          <w:tcPr>
            <w:tcW w:type="dxa" w:w="3466"/>
            <w:vAlign w:val="top"/>
            <w:shd w:fill="EDF2EE"/>
          </w:tcPr>
          <w:p>
            <w:pPr>
              <w:pStyle w:val="TableText"/>
              <w:keepNext w:val="0"/>
              <w:keepLines/>
            </w:pPr>
            <w:r>
              <w:t>Add a new experience or rotate content without rebuilding the whole business.</w:t>
            </w:r>
          </w:p>
        </w:tc>
      </w:tr>
    </w:tbl>
    <w:p>
      <w:pPr>
        <w:spacing w:after="20" w:before="0" w:line="240" w:lineRule="auto"/>
      </w:pPr>
      <w:r>
        <w:rPr>
          <w:sz w:val="6"/>
        </w:rPr>
      </w:r>
    </w:p>
    <w:p>
      <w:pPr/>
      <w:r>
        <w:t>The project register records the actual host, property owner, operator, room owner and contracting seller. Those roles can belong to different entities. Capacity is calculated from games, people, cycle times and staffed hours. The premises is selected against that brief.</w:t>
      </w:r>
    </w:p>
    <w:p>
      <w:pPr>
        <w:pStyle w:val="SourceNote"/>
      </w:pPr>
      <w:r>
        <w:t xml:space="preserve">Sources: </w:t>
      </w:r>
      <w:hyperlink w:anchor="source_M10">
        <w:r>
          <w:rPr>
            <w:color w:val="275E67"/>
            <w:u w:val="single"/>
          </w:rPr>
          <w:t xml:space="preserve">M10</w:t>
        </w:r>
      </w:hyperlink>
      <w:r>
        <w:t xml:space="preserve">, </w:t>
      </w:r>
      <w:hyperlink w:anchor="source_M14">
        <w:r>
          <w:rPr>
            <w:color w:val="275E67"/>
            <w:u w:val="single"/>
          </w:rPr>
          <w:t xml:space="preserve">M14</w:t>
        </w:r>
      </w:hyperlink>
      <w:r>
        <w:t xml:space="preserve">, </w:t>
      </w:r>
      <w:hyperlink w:anchor="source_P14">
        <w:r>
          <w:rPr>
            <w:color w:val="275E67"/>
            <w:u w:val="single"/>
          </w:rPr>
          <w:t xml:space="preserve">P14</w:t>
        </w:r>
      </w:hyperlink>
    </w:p>
    <w:p>
      <w:bookmarkStart w:id="22" w:name="s_deployment_The_four_room_spac_2130c5"/>
      <w:pPr>
        <w:pStyle w:val="Heading2"/>
      </w:pPr>
      <w:r>
        <w:t>The four-room space programme</w:t>
      </w:r>
      <w:bookmarkEnd w:id="22"/>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4215"/>
        <w:gridCol w:w="3753"/>
        <w:gridCol w:w="2184"/>
      </w:tblGrid>
      <w:tr>
        <w:trPr>
          <w:cantSplit/>
          <w:tblHeader w:val="true"/>
        </w:trPr>
        <w:tc>
          <w:tcPr>
            <w:tcW w:type="dxa" w:w="4215"/>
            <w:vAlign w:val="center"/>
            <w:shd w:fill="203B4C"/>
          </w:tcPr>
          <w:p>
            <w:pPr>
              <w:pStyle w:val="TableHead"/>
              <w:keepNext/>
              <w:keepLines/>
            </w:pPr>
            <w:r>
              <w:rPr>
                <w:color w:val="FFFFFF"/>
              </w:rPr>
              <w:t>Area</w:t>
            </w:r>
          </w:p>
        </w:tc>
        <w:tc>
          <w:tcPr>
            <w:tcW w:type="dxa" w:w="3753"/>
            <w:vAlign w:val="center"/>
            <w:shd w:fill="203B4C"/>
          </w:tcPr>
          <w:p>
            <w:pPr>
              <w:pStyle w:val="TableHead"/>
              <w:keepNext/>
              <w:keepLines/>
            </w:pPr>
            <w:r>
              <w:rPr>
                <w:color w:val="FFFFFF"/>
              </w:rPr>
              <w:t>Design quantity</w:t>
            </w:r>
          </w:p>
        </w:tc>
        <w:tc>
          <w:tcPr>
            <w:tcW w:type="dxa" w:w="2184"/>
            <w:vAlign w:val="center"/>
            <w:shd w:fill="203B4C"/>
          </w:tcPr>
          <w:p>
            <w:pPr>
              <w:pStyle w:val="TableHead"/>
              <w:keepNext/>
              <w:keepLines/>
            </w:pPr>
            <w:r>
              <w:rPr>
                <w:color w:val="FFFFFF"/>
              </w:rPr>
              <w:t>Area</w:t>
            </w:r>
          </w:p>
        </w:tc>
      </w:tr>
      <w:tr>
        <w:trPr>
          <w:cantSplit/>
        </w:trPr>
        <w:tc>
          <w:tcPr>
            <w:tcW w:type="dxa" w:w="4215"/>
            <w:vAlign w:val="top"/>
            <w:shd w:fill="EDF2EE"/>
          </w:tcPr>
          <w:p>
            <w:pPr>
              <w:pStyle w:val="TableText"/>
              <w:keepNext w:val="0"/>
              <w:keepLines/>
            </w:pPr>
            <w:r>
              <w:t>Game modules</w:t>
            </w:r>
          </w:p>
        </w:tc>
        <w:tc>
          <w:tcPr>
            <w:tcW w:type="dxa" w:w="3753"/>
            <w:vAlign w:val="top"/>
            <w:shd w:fill="EDF2EE"/>
          </w:tcPr>
          <w:p>
            <w:pPr>
              <w:pStyle w:val="TableText"/>
              <w:keepNext w:val="0"/>
              <w:keepLines/>
            </w:pPr>
            <w:r>
              <w:t>Four at 45 m²</w:t>
            </w:r>
          </w:p>
        </w:tc>
        <w:tc>
          <w:tcPr>
            <w:tcW w:type="dxa" w:w="2184"/>
            <w:vAlign w:val="top"/>
            <w:shd w:fill="EDF2EE"/>
          </w:tcPr>
          <w:p>
            <w:pPr>
              <w:pStyle w:val="TableText"/>
              <w:keepNext w:val="0"/>
              <w:keepLines/>
            </w:pPr>
            <w:r>
              <w:t>180 m²</w:t>
            </w:r>
          </w:p>
        </w:tc>
      </w:tr>
      <w:tr>
        <w:trPr>
          <w:cantSplit/>
        </w:trPr>
        <w:tc>
          <w:tcPr>
            <w:tcW w:type="dxa" w:w="4215"/>
            <w:vAlign w:val="top"/>
            <w:shd w:fill="FFFFFF"/>
          </w:tcPr>
          <w:p>
            <w:pPr>
              <w:pStyle w:val="TableText"/>
              <w:keepNext w:val="0"/>
              <w:keepLines/>
            </w:pPr>
            <w:r>
              <w:t>Reflection rooms</w:t>
            </w:r>
          </w:p>
        </w:tc>
        <w:tc>
          <w:tcPr>
            <w:tcW w:type="dxa" w:w="3753"/>
            <w:vAlign w:val="top"/>
            <w:shd w:fill="FFFFFF"/>
          </w:tcPr>
          <w:p>
            <w:pPr>
              <w:pStyle w:val="TableText"/>
              <w:keepNext w:val="0"/>
              <w:keepLines/>
            </w:pPr>
            <w:r>
              <w:t>Two at 20 m²</w:t>
            </w:r>
          </w:p>
        </w:tc>
        <w:tc>
          <w:tcPr>
            <w:tcW w:type="dxa" w:w="2184"/>
            <w:vAlign w:val="top"/>
            <w:shd w:fill="FFFFFF"/>
          </w:tcPr>
          <w:p>
            <w:pPr>
              <w:pStyle w:val="TableText"/>
              <w:keepNext w:val="0"/>
              <w:keepLines/>
            </w:pPr>
            <w:r>
              <w:t>40 m²</w:t>
            </w:r>
          </w:p>
        </w:tc>
      </w:tr>
      <w:tr>
        <w:trPr>
          <w:cantSplit/>
        </w:trPr>
        <w:tc>
          <w:tcPr>
            <w:tcW w:type="dxa" w:w="4215"/>
            <w:vAlign w:val="top"/>
            <w:shd w:fill="EDF2EE"/>
          </w:tcPr>
          <w:p>
            <w:pPr>
              <w:pStyle w:val="TableText"/>
              <w:keepNext w:val="0"/>
              <w:keepLines/>
            </w:pPr>
            <w:r>
              <w:t>Flexible teaching and workshop room</w:t>
            </w:r>
          </w:p>
        </w:tc>
        <w:tc>
          <w:tcPr>
            <w:tcW w:type="dxa" w:w="3753"/>
            <w:vAlign w:val="top"/>
            <w:shd w:fill="EDF2EE"/>
          </w:tcPr>
          <w:p>
            <w:pPr>
              <w:pStyle w:val="TableText"/>
              <w:keepNext w:val="0"/>
              <w:keepLines/>
            </w:pPr>
            <w:r>
              <w:t>One</w:t>
            </w:r>
          </w:p>
        </w:tc>
        <w:tc>
          <w:tcPr>
            <w:tcW w:type="dxa" w:w="2184"/>
            <w:vAlign w:val="top"/>
            <w:shd w:fill="EDF2EE"/>
          </w:tcPr>
          <w:p>
            <w:pPr>
              <w:pStyle w:val="TableText"/>
              <w:keepNext w:val="0"/>
              <w:keepLines/>
            </w:pPr>
            <w:r>
              <w:t>45 m²</w:t>
            </w:r>
          </w:p>
        </w:tc>
      </w:tr>
      <w:tr>
        <w:trPr>
          <w:cantSplit/>
        </w:trPr>
        <w:tc>
          <w:tcPr>
            <w:tcW w:type="dxa" w:w="4215"/>
            <w:vAlign w:val="top"/>
            <w:shd w:fill="FFFFFF"/>
          </w:tcPr>
          <w:p>
            <w:pPr>
              <w:pStyle w:val="TableText"/>
              <w:keepNext w:val="0"/>
              <w:keepLines/>
            </w:pPr>
            <w:r>
              <w:t>Reception and briefing</w:t>
            </w:r>
          </w:p>
        </w:tc>
        <w:tc>
          <w:tcPr>
            <w:tcW w:type="dxa" w:w="3753"/>
            <w:vAlign w:val="top"/>
            <w:shd w:fill="FFFFFF"/>
          </w:tcPr>
          <w:p>
            <w:pPr>
              <w:pStyle w:val="TableText"/>
              <w:keepNext w:val="0"/>
              <w:keepLines/>
            </w:pPr>
            <w:r>
              <w:t>One</w:t>
            </w:r>
          </w:p>
        </w:tc>
        <w:tc>
          <w:tcPr>
            <w:tcW w:type="dxa" w:w="2184"/>
            <w:vAlign w:val="top"/>
            <w:shd w:fill="FFFFFF"/>
          </w:tcPr>
          <w:p>
            <w:pPr>
              <w:pStyle w:val="TableText"/>
              <w:keepNext w:val="0"/>
              <w:keepLines/>
            </w:pPr>
            <w:r>
              <w:t>30 m²</w:t>
            </w:r>
          </w:p>
        </w:tc>
      </w:tr>
      <w:tr>
        <w:trPr>
          <w:cantSplit/>
        </w:trPr>
        <w:tc>
          <w:tcPr>
            <w:tcW w:type="dxa" w:w="4215"/>
            <w:vAlign w:val="top"/>
            <w:shd w:fill="EDF2EE"/>
          </w:tcPr>
          <w:p>
            <w:pPr>
              <w:pStyle w:val="TableText"/>
              <w:keepNext w:val="0"/>
              <w:keepLines/>
            </w:pPr>
            <w:r>
              <w:t>Control and technical position</w:t>
            </w:r>
          </w:p>
        </w:tc>
        <w:tc>
          <w:tcPr>
            <w:tcW w:type="dxa" w:w="3753"/>
            <w:vAlign w:val="top"/>
            <w:shd w:fill="EDF2EE"/>
          </w:tcPr>
          <w:p>
            <w:pPr>
              <w:pStyle w:val="TableText"/>
              <w:keepNext w:val="0"/>
              <w:keepLines/>
            </w:pPr>
            <w:r>
              <w:t>One</w:t>
            </w:r>
          </w:p>
        </w:tc>
        <w:tc>
          <w:tcPr>
            <w:tcW w:type="dxa" w:w="2184"/>
            <w:vAlign w:val="top"/>
            <w:shd w:fill="EDF2EE"/>
          </w:tcPr>
          <w:p>
            <w:pPr>
              <w:pStyle w:val="TableText"/>
              <w:keepNext w:val="0"/>
              <w:keepLines/>
            </w:pPr>
            <w:r>
              <w:t>12 m²</w:t>
            </w:r>
          </w:p>
        </w:tc>
      </w:tr>
      <w:tr>
        <w:trPr>
          <w:cantSplit/>
        </w:trPr>
        <w:tc>
          <w:tcPr>
            <w:tcW w:type="dxa" w:w="4215"/>
            <w:vAlign w:val="top"/>
            <w:shd w:fill="FFFFFF"/>
          </w:tcPr>
          <w:p>
            <w:pPr>
              <w:pStyle w:val="TableText"/>
              <w:keepNext w:val="0"/>
              <w:keepLines/>
            </w:pPr>
            <w:r>
              <w:t>Reset preparation and storage</w:t>
            </w:r>
          </w:p>
        </w:tc>
        <w:tc>
          <w:tcPr>
            <w:tcW w:type="dxa" w:w="3753"/>
            <w:vAlign w:val="top"/>
            <w:shd w:fill="FFFFFF"/>
          </w:tcPr>
          <w:p>
            <w:pPr>
              <w:pStyle w:val="TableText"/>
              <w:keepNext w:val="0"/>
              <w:keepLines/>
            </w:pPr>
            <w:r>
              <w:t>One</w:t>
            </w:r>
          </w:p>
        </w:tc>
        <w:tc>
          <w:tcPr>
            <w:tcW w:type="dxa" w:w="2184"/>
            <w:vAlign w:val="top"/>
            <w:shd w:fill="FFFFFF"/>
          </w:tcPr>
          <w:p>
            <w:pPr>
              <w:pStyle w:val="TableText"/>
              <w:keepNext w:val="0"/>
              <w:keepLines/>
            </w:pPr>
            <w:r>
              <w:t>20 m²</w:t>
            </w:r>
          </w:p>
        </w:tc>
      </w:tr>
      <w:tr>
        <w:trPr>
          <w:cantSplit/>
        </w:trPr>
        <w:tc>
          <w:tcPr>
            <w:tcW w:type="dxa" w:w="4215"/>
            <w:vAlign w:val="top"/>
            <w:shd w:fill="EDF2EE"/>
          </w:tcPr>
          <w:p>
            <w:pPr>
              <w:pStyle w:val="TableText"/>
              <w:keepNext w:val="0"/>
              <w:keepLines/>
            </w:pPr>
            <w:r>
              <w:t>Quiet space</w:t>
            </w:r>
          </w:p>
        </w:tc>
        <w:tc>
          <w:tcPr>
            <w:tcW w:type="dxa" w:w="3753"/>
            <w:vAlign w:val="top"/>
            <w:shd w:fill="EDF2EE"/>
          </w:tcPr>
          <w:p>
            <w:pPr>
              <w:pStyle w:val="TableText"/>
              <w:keepNext w:val="0"/>
              <w:keepLines/>
            </w:pPr>
            <w:r>
              <w:t>One</w:t>
            </w:r>
          </w:p>
        </w:tc>
        <w:tc>
          <w:tcPr>
            <w:tcW w:type="dxa" w:w="2184"/>
            <w:vAlign w:val="top"/>
            <w:shd w:fill="EDF2EE"/>
          </w:tcPr>
          <w:p>
            <w:pPr>
              <w:pStyle w:val="TableText"/>
              <w:keepNext w:val="0"/>
              <w:keepLines/>
            </w:pPr>
            <w:r>
              <w:t>12 m²</w:t>
            </w:r>
          </w:p>
        </w:tc>
      </w:tr>
      <w:tr>
        <w:trPr>
          <w:cantSplit/>
        </w:trPr>
        <w:tc>
          <w:tcPr>
            <w:tcW w:type="dxa" w:w="4215"/>
            <w:vAlign w:val="top"/>
            <w:shd w:fill="FFFFFF"/>
          </w:tcPr>
          <w:p>
            <w:pPr>
              <w:pStyle w:val="TableText"/>
              <w:keepNext w:val="0"/>
              <w:keepLines/>
            </w:pPr>
            <w:r>
              <w:t>Amenities</w:t>
            </w:r>
          </w:p>
        </w:tc>
        <w:tc>
          <w:tcPr>
            <w:tcW w:type="dxa" w:w="3753"/>
            <w:vAlign w:val="top"/>
            <w:shd w:fill="FFFFFF"/>
          </w:tcPr>
          <w:p>
            <w:pPr>
              <w:pStyle w:val="TableText"/>
              <w:keepNext w:val="0"/>
              <w:keepLines/>
            </w:pPr>
            <w:r>
              <w:t>Measured site allowance</w:t>
            </w:r>
          </w:p>
        </w:tc>
        <w:tc>
          <w:tcPr>
            <w:tcW w:type="dxa" w:w="2184"/>
            <w:vAlign w:val="top"/>
            <w:shd w:fill="FFFFFF"/>
          </w:tcPr>
          <w:p>
            <w:pPr>
              <w:pStyle w:val="TableText"/>
              <w:keepNext w:val="0"/>
              <w:keepLines/>
            </w:pPr>
            <w:r>
              <w:t>25 m²</w:t>
            </w:r>
          </w:p>
        </w:tc>
      </w:tr>
      <w:tr>
        <w:trPr>
          <w:cantSplit/>
        </w:trPr>
        <w:tc>
          <w:tcPr>
            <w:tcW w:type="dxa" w:w="4215"/>
            <w:vAlign w:val="top"/>
            <w:shd w:fill="EDF2EE"/>
          </w:tcPr>
          <w:p>
            <w:pPr>
              <w:pStyle w:val="TableText"/>
              <w:keepNext w:val="0"/>
              <w:keepLines/>
            </w:pPr>
            <w:r>
              <w:t>Circulation</w:t>
            </w:r>
          </w:p>
        </w:tc>
        <w:tc>
          <w:tcPr>
            <w:tcW w:type="dxa" w:w="3753"/>
            <w:vAlign w:val="top"/>
            <w:shd w:fill="EDF2EE"/>
          </w:tcPr>
          <w:p>
            <w:pPr>
              <w:pStyle w:val="TableText"/>
              <w:keepNext w:val="0"/>
              <w:keepLines/>
            </w:pPr>
            <w:r>
              <w:t>Initial programme allocation</w:t>
            </w:r>
          </w:p>
        </w:tc>
        <w:tc>
          <w:tcPr>
            <w:tcW w:type="dxa" w:w="2184"/>
            <w:vAlign w:val="top"/>
            <w:shd w:fill="EDF2EE"/>
          </w:tcPr>
          <w:p>
            <w:pPr>
              <w:pStyle w:val="TableText"/>
              <w:keepNext w:val="0"/>
              <w:keepLines/>
            </w:pPr>
            <w:r>
              <w:t>36 m²</w:t>
            </w:r>
          </w:p>
        </w:tc>
      </w:tr>
      <w:tr>
        <w:trPr>
          <w:cantSplit/>
        </w:trPr>
        <w:tc>
          <w:tcPr>
            <w:tcW w:type="dxa" w:w="4215"/>
            <w:vAlign w:val="top"/>
            <w:shd w:fill="FFFFFF"/>
          </w:tcPr>
          <w:p>
            <w:pPr>
              <w:pStyle w:val="TableText"/>
              <w:keepNext w:val="0"/>
              <w:keepLines/>
            </w:pPr>
            <w:r>
              <w:rPr>
                <w:b/>
              </w:rPr>
              <w:t>Total</w:t>
            </w:r>
          </w:p>
        </w:tc>
        <w:tc>
          <w:tcPr>
            <w:tcW w:type="dxa" w:w="3753"/>
            <w:vAlign w:val="top"/>
            <w:shd w:fill="FFFFFF"/>
          </w:tcPr>
          <w:p>
            <w:pPr>
              <w:pStyle w:val="TableText"/>
              <w:keepNext w:val="0"/>
              <w:keepLines/>
            </w:pPr>
            <w:r>
              <w:rPr>
                <w:b/>
              </w:rPr>
              <w:t>Selected design programme</w:t>
            </w:r>
          </w:p>
        </w:tc>
        <w:tc>
          <w:tcPr>
            <w:tcW w:type="dxa" w:w="2184"/>
            <w:vAlign w:val="top"/>
            <w:shd w:fill="FFFFFF"/>
          </w:tcPr>
          <w:p>
            <w:pPr>
              <w:pStyle w:val="TableText"/>
              <w:keepNext w:val="0"/>
              <w:keepLines/>
            </w:pPr>
            <w:r>
              <w:rPr>
                <w:b/>
              </w:rPr>
              <w:t>400 m²</w:t>
            </w:r>
          </w:p>
        </w:tc>
      </w:tr>
    </w:tbl>
    <w:p>
      <w:pPr>
        <w:spacing w:after="20" w:before="0" w:line="240" w:lineRule="auto"/>
      </w:pPr>
      <w:r>
        <w:rPr>
          <w:sz w:val="6"/>
        </w:rPr>
      </w:r>
    </w:p>
    <w:p>
      <w:pPr/>
      <w:r>
        <w:t>The selected game size falls within the supplier examples in the market chapter. The other areas describe the intended operation. A measured layout and building assessment determine the final dimensions, usable capacity and works. The priced equipment basket does not imply that any unselected building already contains these spaces.</w:t>
      </w:r>
    </w:p>
    <w:p>
      <w:pPr/>
      <w:r>
        <w:t>Four six-player rooms accommodate twenty-four paying players at once. A fifth room takes game capacity to thirty, but it also changes reflection, supervision and circulation requirements. A class of thirty can instead use two cohorts of fifteen in three teams of five, consuming six room sessions with a supervised parallel activity.</w:t>
      </w:r>
    </w:p>
    <w:p>
      <w:pPr>
        <w:pStyle w:val="SourceNote"/>
      </w:pPr>
      <w:r>
        <w:t xml:space="preserve">Sources: </w:t>
      </w:r>
      <w:hyperlink w:anchor="source_M11">
        <w:r>
          <w:rPr>
            <w:color w:val="275E67"/>
            <w:u w:val="single"/>
          </w:rPr>
          <w:t xml:space="preserve">M11</w:t>
        </w:r>
      </w:hyperlink>
      <w:r>
        <w:t xml:space="preserve">, </w:t>
      </w:r>
      <w:hyperlink w:anchor="source_M14">
        <w:r>
          <w:rPr>
            <w:color w:val="275E67"/>
            <w:u w:val="single"/>
          </w:rPr>
          <w:t xml:space="preserve">M14</w:t>
        </w:r>
      </w:hyperlink>
    </w:p>
    <w:p>
      <w:bookmarkStart w:id="23" w:name="s_deployment_A_reusable_physica_9972f4"/>
      <w:pPr>
        <w:pStyle w:val="Heading2"/>
      </w:pPr>
      <w:r>
        <w:t>A reusable physical and story system</w:t>
      </w:r>
      <w:bookmarkEnd w:id="23"/>
    </w:p>
    <w:p>
      <w:pPr/>
      <w:r>
        <w:t>Four initial room families cover practical coordination, investigation, shared-place decisions and a journey through changing conditions. Each uses three parallel task paths before a combined decision. Different participants can contribute information, observation, making, organising or explanation.</w:t>
      </w:r>
    </w:p>
    <w:p>
      <w:pPr/>
      <w:r>
        <w:t>The game contains its necessary clues and instructions. Once play starts there are no hints from staff or AI, including vocabulary or teamwork prompts. Staff handle safety, access and equipment faults directly. The hard stop and reflection remain part of the experience even when the group has unfinished work.</w:t>
      </w:r>
    </w:p>
    <w:p>
      <w:pPr/>
      <w:r>
        <w:t>Use replaceable puzzle cassettes, accessible service panels, labelled wiring, robust connectors, reusable furniture and a consistent reset state. Scenic elements can vary by place without changing every technical component. Each scenario has age and access settings, a parts list, solution record, reset checklist, fault response, version and independent-play test record.</w:t>
      </w:r>
    </w:p>
    <w:p>
      <w:pPr>
        <w:pStyle w:val="SourceNote"/>
      </w:pPr>
      <w:r>
        <w:t xml:space="preserve">Sources: </w:t>
      </w:r>
      <w:hyperlink w:anchor="source_D05">
        <w:r>
          <w:rPr>
            <w:color w:val="275E67"/>
            <w:u w:val="single"/>
          </w:rPr>
          <w:t xml:space="preserve">D05</w:t>
        </w:r>
      </w:hyperlink>
      <w:r>
        <w:t xml:space="preserve">, </w:t>
      </w:r>
      <w:hyperlink w:anchor="source_D14">
        <w:r>
          <w:rPr>
            <w:color w:val="275E67"/>
            <w:u w:val="single"/>
          </w:rPr>
          <w:t xml:space="preserve">D14</w:t>
        </w:r>
      </w:hyperlink>
    </w:p>
    <w:p>
      <w:bookmarkStart w:id="24" w:name="s_deployment_The_room_cycle_and_c822d5"/>
      <w:pPr>
        <w:pStyle w:val="Heading2"/>
      </w:pPr>
      <w:r>
        <w:t>The room cycle and people onsite</w:t>
      </w:r>
      <w:bookmarkEnd w:id="24"/>
    </w:p>
    <w:p>
      <w:pPr/>
      <w:r>
        <w:t>The reference product uses 10 minutes of briefing, 45 minutes of play, 25 minutes of reflection and 10 minutes of transitions: a 90-minute visit. The game room itself has a 60-minute cycle, with 10 minutes of reset and 5 minutes of buffer after play. This is a selected product format; the market sample also contains longer games.</w:t>
      </w:r>
    </w:p>
    <w:p>
      <w:pPr/>
      <w:r>
        <w:t>Stagger four room starts by 15 minutes. Eight starts per room provide 32 offered team sessions per day. Six days across 48 trading weeks provide 9,216 offered sessions a year. These are timetable opportunities. Sold sessions and actual group sizes determine attendance and sales.</w:t>
      </w:r>
    </w:p>
    <w:p>
      <w:pPr/>
      <w:r>
        <w:t>The ordinary stagger has up to three games active and two reflections at once. Peak roles are reception and briefing, game monitoring, reset and technical work, and two reflection facilitators. Premium workshops, breaks, younger children and specific support needs require their own staffed coverage. A simultaneous school start requires a different reflection roster.</w:t>
      </w:r>
    </w:p>
    <w:p>
      <w:pPr/>
      <w:r>
        <w:t>The workshop room has a separate calendar. A premium workshop adds 45 minutes after the standard visit. School holding activities and premium workshops cannot be promised the same space at the same time. A slower 75-minute alternative uses 45 minutes of play, 15 minutes of reset and 15 minutes of buffer. Its cost model pays for the five additional reset minutes.</w:t>
      </w:r>
    </w:p>
    <w:p>
      <w:pPr>
        <w:pStyle w:val="SourceNote"/>
      </w:pPr>
      <w:r>
        <w:t xml:space="preserve">Sources: </w:t>
      </w:r>
      <w:hyperlink w:anchor="source_M08">
        <w:r>
          <w:rPr>
            <w:color w:val="275E67"/>
            <w:u w:val="single"/>
          </w:rPr>
          <w:t xml:space="preserve">M08</w:t>
        </w:r>
      </w:hyperlink>
      <w:r>
        <w:t xml:space="preserve">, </w:t>
      </w:r>
      <w:hyperlink w:anchor="source_M20">
        <w:r>
          <w:rPr>
            <w:color w:val="275E67"/>
            <w:u w:val="single"/>
          </w:rPr>
          <w:t xml:space="preserve">M20</w:t>
        </w:r>
      </w:hyperlink>
    </w:p>
    <w:p>
      <w:bookmarkStart w:id="25" w:name="s_deployment_Audio__controls_an_f7ed9a"/>
      <w:pPr>
        <w:pStyle w:val="Heading2"/>
      </w:pPr>
      <w:r>
        <w:t>Audio, controls and the room record</w:t>
      </w:r>
      <w:bookmarkEnd w:id="25"/>
    </w:p>
    <w:p>
      <w:pPr/>
      <w:r>
        <w:t>The prototype tests speech capture during movement and overlapping conversation. Speaker attribution and room-event timestamps support the facilitator's review. Game controls remain independent of the transcription service so a processing interruption does not stop play.</w:t>
      </w:r>
    </w:p>
    <w:p>
      <w:pPr/>
      <w:r>
        <w:t>A single-room consumer wireless demonstration does not establish a four-room radio system. The itemised budget separates the one-room capture prototype from the multi-room RF, acoustic and integration work package. Acoustic isolation, sound absorption, background audio, microphone placement, cleaning, charging and spare equipment are included in the technical brief.</w:t>
      </w:r>
    </w:p>
    <w:p>
      <w:pPr/>
      <w:r>
        <w:t>Each deployed room has an asset register and spatial record covering its layout, interfaces, operating state, maintenance, warranties and versions. The room record, booking ledger, business finances and participant's private Aura are distinct records with authorised connections.</w:t>
      </w:r>
    </w:p>
    <w:p>
      <w:pPr>
        <w:pStyle w:val="SourceNote"/>
      </w:pPr>
      <w:r>
        <w:t xml:space="preserve">Sources: </w:t>
      </w:r>
      <w:hyperlink w:anchor="source_D05">
        <w:r>
          <w:rPr>
            <w:color w:val="275E67"/>
            <w:u w:val="single"/>
          </w:rPr>
          <w:t xml:space="preserve">D05</w:t>
        </w:r>
      </w:hyperlink>
      <w:r>
        <w:t xml:space="preserve">, </w:t>
      </w:r>
      <w:hyperlink w:anchor="source_D06">
        <w:r>
          <w:rPr>
            <w:color w:val="275E67"/>
            <w:u w:val="single"/>
          </w:rPr>
          <w:t xml:space="preserve">D06</w:t>
        </w:r>
      </w:hyperlink>
      <w:r>
        <w:t xml:space="preserve">, </w:t>
      </w:r>
      <w:hyperlink w:anchor="source_P02">
        <w:r>
          <w:rPr>
            <w:color w:val="275E67"/>
            <w:u w:val="single"/>
          </w:rPr>
          <w:t xml:space="preserve">P02</w:t>
        </w:r>
      </w:hyperlink>
    </w:p>
    <w:p>
      <w:bookmarkStart w:id="26" w:name="s_deployment_Just_in_time_learn_cd11de"/>
      <w:pPr>
        <w:pStyle w:val="Heading2"/>
      </w:pPr>
      <w:r>
        <w:t>Just-in-time learning for installation and operations</w:t>
      </w:r>
      <w:bookmarkEnd w:id="26"/>
    </w:p>
    <w:p>
      <w:pPr/>
      <w:r>
        <w:t>Capture selected work with 360-degree video, appropriate wearable or handheld views, drawings and the skilled worker's explanation. Associate each lesson with its component, conditions, tools, steps, checks and result. Useful faults and corrections become part of the learning material.</w:t>
      </w:r>
    </w:p>
    <w:p>
      <w:pPr/>
      <w:r>
        <w:t>A labourer can receive the specific lesson for labelling a module, fitting a scenic panel, preparing a reset kit or checking a documented starting state. Licensed and specialist work remains assigned to the people authorised and competent to perform it. A recorded lesson supports the work and its supervision.</w:t>
      </w:r>
    </w:p>
    <w:p>
      <w:pPr/>
      <w:r>
        <w:t>The deployment record shows who observed, rehearsed, performed and accepted each task. Include paid learning, filming, editing, mentoring and handover in the work package. The next crew receives an improved method and the changes that apply to its actual site.</w:t>
      </w:r>
    </w:p>
    <w:p>
      <w:pPr>
        <w:pStyle w:val="SourceNote"/>
      </w:pPr>
      <w:r>
        <w:t xml:space="preserve">Sources: </w:t>
      </w:r>
      <w:hyperlink w:anchor="source_D05">
        <w:r>
          <w:rPr>
            <w:color w:val="275E67"/>
            <w:u w:val="single"/>
          </w:rPr>
          <w:t xml:space="preserve">D05</w:t>
        </w:r>
      </w:hyperlink>
      <w:r>
        <w:t xml:space="preserve">, </w:t>
      </w:r>
      <w:hyperlink w:anchor="source_D13">
        <w:r>
          <w:rPr>
            <w:color w:val="275E67"/>
            <w:u w:val="single"/>
          </w:rPr>
          <w:t xml:space="preserve">D13</w:t>
        </w:r>
      </w:hyperlink>
      <w:r>
        <w:t xml:space="preserve">, </w:t>
      </w:r>
      <w:hyperlink w:anchor="source_P02">
        <w:r>
          <w:rPr>
            <w:color w:val="275E67"/>
            <w:u w:val="single"/>
          </w:rPr>
          <w:t xml:space="preserve">P02</w:t>
        </w:r>
      </w:hyperlink>
      <w:r>
        <w:t xml:space="preserve">, </w:t>
      </w:r>
      <w:hyperlink w:anchor="source_P03">
        <w:r>
          <w:rPr>
            <w:color w:val="275E67"/>
            <w:u w:val="single"/>
          </w:rPr>
          <w:t xml:space="preserve">P03</w:t>
        </w:r>
      </w:hyperlink>
      <w:r>
        <w:t xml:space="preserve">, </w:t>
      </w:r>
      <w:hyperlink w:anchor="source_P05">
        <w:r>
          <w:rPr>
            <w:color w:val="275E67"/>
            <w:u w:val="single"/>
          </w:rPr>
          <w:t xml:space="preserve">P05</w:t>
        </w:r>
      </w:hyperlink>
      <w:r>
        <w:t xml:space="preserve">, </w:t>
      </w:r>
      <w:hyperlink w:anchor="source_P14">
        <w:r>
          <w:rPr>
            <w:color w:val="275E67"/>
            <w:u w:val="single"/>
          </w:rPr>
          <w:t xml:space="preserve">P14</w:t>
        </w:r>
      </w:hyperlink>
    </w:p>
    <w:p>
      <w:bookmarkStart w:id="27" w:name="chapter_economics"/>
      <w:pPr>
        <w:pStyle w:val="Heading1"/>
        <w:pageBreakBefore/>
      </w:pPr>
      <w:r>
        <w:t>Itemised setup and operating economics</w:t>
      </w:r>
      <w:bookmarkEnd w:id="27"/>
    </w:p>
    <w:p>
      <w:pPr>
        <w:pStyle w:val="Lead"/>
      </w:pPr>
      <w:r>
        <w:t>Every budget line has a quantity, a price or rate, a reason, a source and a status.</w:t>
      </w:r>
    </w:p>
    <w:p>
      <w:bookmarkStart w:id="28" w:name="s_economics_The_cost_standard_636501"/>
      <w:pPr>
        <w:pStyle w:val="Heading2"/>
      </w:pPr>
      <w:r>
        <w:t>The cost standard</w:t>
      </w:r>
      <w:bookmarkEnd w:id="28"/>
    </w:p>
    <w:p>
      <w:pPr/>
      <w:r>
        <w:t>The budget uses three clearly identified types of entry. A published unit price is multiplied by a stated design quantity. A work package uses explained task hours and a published wage or contractor charge-rate comparator. A site-specific item remains marked quotation required until its scope and price are available.</w:t>
      </w:r>
    </w:p>
    <w:p>
      <w:pPr/>
      <w:r>
        <w:t>Published retail stock and sale prices are dated. Freight, GST, condition, warranty, installation and access to the actual stock are recorded separately where necessary. A second-hand chair is compared with a suitable new alternative through its delivered and usable cost, including any cleaning or repair.</w:t>
      </w:r>
    </w:p>
    <w:p>
      <w:pPr/>
      <w:r>
        <w:t>Subtotals are labelled according to what they include. The model leaves unquoted work visible and calculates what the business could afford to pay for the remaining scope.</w:t>
      </w:r>
    </w:p>
    <w:p>
      <w:bookmarkStart w:id="29" w:name="s_economics_The_delivery_cost_r_9a6076"/>
      <w:pPr>
        <w:pStyle w:val="Heading2"/>
      </w:pPr>
      <w:r>
        <w:t>The delivery cost record</w:t>
      </w:r>
      <w:bookmarkEnd w:id="29"/>
    </w:p>
    <w:p>
      <w:pPr/>
      <w:r>
        <w:t>Each quoted work package identifies the drawing or room version, quantities, materials, labour roles, time, tools, delivery, installation, tests, training, warranty, payment milestones and exclusions. A supplier's game package and a complete Australian premises are different scopes.</w:t>
      </w:r>
    </w:p>
    <w:p>
      <w:pPr/>
      <w:r>
        <w:t>New and used items are selected by fitness for the task. Durable tables, chairs, cabinets, desks, storage and scenic objects are useful second-hand candidates. Electrical, structural, fire, access, load-bearing and recording-system components require the specific suitability checks and professional work described in the site brief.</w:t>
      </w:r>
    </w:p>
    <w:p>
      <w:pPr/>
      <w:r>
        <w:t>The detailed priced schedules and calculated scenarios follow below.</w:t>
      </w:r>
    </w:p>
    <w:p>
      <w:pPr>
        <w:pStyle w:val="SourceNote"/>
      </w:pPr>
      <w:r>
        <w:t xml:space="preserve">Sources: </w:t>
      </w:r>
      <w:hyperlink w:anchor="source_M14">
        <w:r>
          <w:rPr>
            <w:color w:val="275E67"/>
            <w:u w:val="single"/>
          </w:rPr>
          <w:t xml:space="preserve">M14</w:t>
        </w:r>
      </w:hyperlink>
    </w:p>
    <w:p>
      <w:bookmarkStart w:id="30" w:name="s_economics_Equipment__one_room_4173b0"/>
      <w:pPr>
        <w:pStyle w:val="Heading2"/>
      </w:pPr>
      <w:r>
        <w:t>Equipment: one-room capture prototype</w:t>
      </w:r>
      <w:bookmarkEnd w:id="30"/>
    </w:p>
    <w:p>
      <w:pPr/>
      <w:r>
        <w:t>The prototype tests six participant channels, movement, speech overlap, attribution, transfer speed, room events and preparation of a useful reflection. These items are a priced subset, not a complete venue AV quote.</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210"/>
        <w:gridCol w:w="4334"/>
        <w:gridCol w:w="1181"/>
        <w:gridCol w:w="1246"/>
        <w:gridCol w:w="1181"/>
      </w:tblGrid>
      <w:tr>
        <w:trPr>
          <w:cantSplit/>
          <w:tblHeader w:val="true"/>
        </w:trPr>
        <w:tc>
          <w:tcPr>
            <w:tcW w:type="dxa" w:w="2210"/>
            <w:vAlign w:val="center"/>
            <w:shd w:fill="203B4C"/>
          </w:tcPr>
          <w:p>
            <w:pPr>
              <w:pStyle w:val="TableHead"/>
              <w:keepNext/>
              <w:keepLines/>
            </w:pPr>
            <w:r>
              <w:rPr>
                <w:color w:val="FFFFFF"/>
              </w:rPr>
              <w:t>Item</w:t>
            </w:r>
          </w:p>
        </w:tc>
        <w:tc>
          <w:tcPr>
            <w:tcW w:type="dxa" w:w="4334"/>
            <w:vAlign w:val="center"/>
            <w:shd w:fill="203B4C"/>
          </w:tcPr>
          <w:p>
            <w:pPr>
              <w:pStyle w:val="TableHead"/>
              <w:keepNext/>
              <w:keepLines/>
            </w:pPr>
            <w:r>
              <w:rPr>
                <w:color w:val="FFFFFF"/>
              </w:rPr>
              <w:t>Quantity and reason</w:t>
            </w:r>
          </w:p>
        </w:tc>
        <w:tc>
          <w:tcPr>
            <w:tcW w:type="dxa" w:w="1181"/>
            <w:vAlign w:val="center"/>
            <w:shd w:fill="203B4C"/>
          </w:tcPr>
          <w:p>
            <w:pPr>
              <w:pStyle w:val="TableHead"/>
              <w:keepNext/>
              <w:keepLines/>
              <w:jc w:val="center"/>
            </w:pPr>
            <w:r>
              <w:rPr>
                <w:color w:val="FFFFFF"/>
              </w:rPr>
              <w:t>Listed unit price</w:t>
            </w:r>
          </w:p>
        </w:tc>
        <w:tc>
          <w:tcPr>
            <w:tcW w:type="dxa" w:w="1246"/>
            <w:vAlign w:val="center"/>
            <w:shd w:fill="203B4C"/>
          </w:tcPr>
          <w:p>
            <w:pPr>
              <w:pStyle w:val="TableHead"/>
              <w:keepNext/>
              <w:keepLines/>
              <w:jc w:val="center"/>
            </w:pPr>
            <w:r>
              <w:rPr>
                <w:color w:val="FFFFFF"/>
              </w:rPr>
              <w:t>Listed extension</w:t>
            </w:r>
          </w:p>
        </w:tc>
        <w:tc>
          <w:tcPr>
            <w:tcW w:type="dxa" w:w="1181"/>
            <w:vAlign w:val="center"/>
            <w:shd w:fill="203B4C"/>
          </w:tcPr>
          <w:p>
            <w:pPr>
              <w:pStyle w:val="TableHead"/>
              <w:keepNext/>
              <w:keepLines/>
            </w:pPr>
            <w:r>
              <w:rPr>
                <w:color w:val="FFFFFF"/>
              </w:rPr>
              <w:t>Source</w:t>
            </w:r>
          </w:p>
        </w:tc>
      </w:tr>
      <w:tr>
        <w:trPr>
          <w:cantSplit/>
        </w:trPr>
        <w:tc>
          <w:tcPr>
            <w:tcW w:type="dxa" w:w="2210"/>
            <w:vAlign w:val="top"/>
            <w:shd w:fill="EDF2EE"/>
          </w:tcPr>
          <w:p>
            <w:pPr>
              <w:pStyle w:val="TableText"/>
              <w:keepNext w:val="0"/>
              <w:keepLines/>
            </w:pPr>
            <w:r>
              <w:t>Rode Wireless PRO dual kit</w:t>
            </w:r>
          </w:p>
        </w:tc>
        <w:tc>
          <w:tcPr>
            <w:tcW w:type="dxa" w:w="4334"/>
            <w:vAlign w:val="top"/>
            <w:shd w:fill="EDF2EE"/>
          </w:tcPr>
          <w:p>
            <w:pPr>
              <w:pStyle w:val="TableText"/>
              <w:keepNext w:val="0"/>
              <w:keepLines/>
            </w:pPr>
            <w:r>
              <w:t>4 kit; Three active dual kits provide six independently recorded participant channels; one cold spare. One-room prototype only.</w:t>
            </w:r>
          </w:p>
        </w:tc>
        <w:tc>
          <w:tcPr>
            <w:tcW w:type="dxa" w:w="1181"/>
            <w:vAlign w:val="center"/>
            <w:shd w:fill="EDF2EE"/>
          </w:tcPr>
          <w:p>
            <w:pPr>
              <w:pStyle w:val="TableText"/>
              <w:keepNext w:val="0"/>
              <w:keepLines/>
              <w:jc w:val="center"/>
            </w:pPr>
            <w:r>
              <w:t>$385.00</w:t>
            </w:r>
          </w:p>
        </w:tc>
        <w:tc>
          <w:tcPr>
            <w:tcW w:type="dxa" w:w="1246"/>
            <w:vAlign w:val="center"/>
            <w:shd w:fill="EDF2EE"/>
          </w:tcPr>
          <w:p>
            <w:pPr>
              <w:pStyle w:val="TableText"/>
              <w:keepNext w:val="0"/>
              <w:keepLines/>
              <w:jc w:val="center"/>
            </w:pPr>
            <w:r>
              <w:t>$1,540.00</w:t>
            </w:r>
          </w:p>
        </w:tc>
        <w:tc>
          <w:tcPr>
            <w:tcW w:type="dxa" w:w="1181"/>
            <w:vAlign w:val="top"/>
            <w:shd w:fill="EDF2EE"/>
          </w:tcPr>
          <w:p>
            <w:pPr>
              <w:pStyle w:val="TableText"/>
              <w:keepNext w:val="0"/>
              <w:keepLines/>
            </w:pPr>
            <w:hyperlink w:anchor="source_R106">
              <w:r>
                <w:rPr>
                  <w:color w:val="275E67"/>
                  <w:u w:val="single"/>
                </w:rPr>
                <w:t xml:space="preserve">R106</w:t>
              </w:r>
            </w:hyperlink>
            <w:r>
              <w:t xml:space="preserve">, </w:t>
            </w:r>
            <w:hyperlink w:anchor="source_R107">
              <w:r>
                <w:rPr>
                  <w:color w:val="275E67"/>
                  <w:u w:val="single"/>
                </w:rPr>
                <w:t xml:space="preserve">R107</w:t>
              </w:r>
            </w:hyperlink>
          </w:p>
        </w:tc>
      </w:tr>
      <w:tr>
        <w:trPr>
          <w:cantSplit/>
        </w:trPr>
        <w:tc>
          <w:tcPr>
            <w:tcW w:type="dxa" w:w="2210"/>
            <w:vAlign w:val="top"/>
            <w:shd w:fill="FFFFFF"/>
          </w:tcPr>
          <w:p>
            <w:pPr>
              <w:pStyle w:val="TableText"/>
              <w:keepNext w:val="0"/>
              <w:keepLines/>
            </w:pPr>
            <w:r>
              <w:t>Zoom LiveTrak L-8 mixer/recorder</w:t>
            </w:r>
          </w:p>
        </w:tc>
        <w:tc>
          <w:tcPr>
            <w:tcW w:type="dxa" w:w="4334"/>
            <w:vAlign w:val="top"/>
            <w:shd w:fill="FFFFFF"/>
          </w:tcPr>
          <w:p>
            <w:pPr>
              <w:pStyle w:val="TableText"/>
              <w:keepNext w:val="0"/>
              <w:keepLines/>
            </w:pPr>
            <w:r>
              <w:t>1 unit; Six inputs for the three split stereo receiver outputs. Backorder status must be resolved.</w:t>
            </w:r>
          </w:p>
        </w:tc>
        <w:tc>
          <w:tcPr>
            <w:tcW w:type="dxa" w:w="1181"/>
            <w:vAlign w:val="center"/>
            <w:shd w:fill="FFFFFF"/>
          </w:tcPr>
          <w:p>
            <w:pPr>
              <w:pStyle w:val="TableText"/>
              <w:keepNext w:val="0"/>
              <w:keepLines/>
              <w:jc w:val="center"/>
            </w:pPr>
            <w:r>
              <w:t>$715.00</w:t>
            </w:r>
          </w:p>
        </w:tc>
        <w:tc>
          <w:tcPr>
            <w:tcW w:type="dxa" w:w="1246"/>
            <w:vAlign w:val="center"/>
            <w:shd w:fill="FFFFFF"/>
          </w:tcPr>
          <w:p>
            <w:pPr>
              <w:pStyle w:val="TableText"/>
              <w:keepNext w:val="0"/>
              <w:keepLines/>
              <w:jc w:val="center"/>
            </w:pPr>
            <w:r>
              <w:t>$715.00</w:t>
            </w:r>
          </w:p>
        </w:tc>
        <w:tc>
          <w:tcPr>
            <w:tcW w:type="dxa" w:w="1181"/>
            <w:vAlign w:val="top"/>
            <w:shd w:fill="FFFFFF"/>
          </w:tcPr>
          <w:p>
            <w:pPr>
              <w:pStyle w:val="TableText"/>
              <w:keepNext w:val="0"/>
              <w:keepLines/>
            </w:pPr>
            <w:hyperlink w:anchor="source_R108">
              <w:r>
                <w:rPr>
                  <w:color w:val="275E67"/>
                  <w:u w:val="single"/>
                </w:rPr>
                <w:t xml:space="preserve">R108</w:t>
              </w:r>
            </w:hyperlink>
          </w:p>
        </w:tc>
      </w:tr>
      <w:tr>
        <w:trPr>
          <w:cantSplit/>
        </w:trPr>
        <w:tc>
          <w:tcPr>
            <w:tcW w:type="dxa" w:w="2210"/>
            <w:vAlign w:val="top"/>
            <w:shd w:fill="EDF2EE"/>
          </w:tcPr>
          <w:p>
            <w:pPr>
              <w:pStyle w:val="TableText"/>
              <w:keepNext w:val="0"/>
              <w:keepLines/>
            </w:pPr>
            <w:r>
              <w:t>Hosa CMP-159 breakout cable</w:t>
            </w:r>
          </w:p>
        </w:tc>
        <w:tc>
          <w:tcPr>
            <w:tcW w:type="dxa" w:w="4334"/>
            <w:vAlign w:val="top"/>
            <w:shd w:fill="EDF2EE"/>
          </w:tcPr>
          <w:p>
            <w:pPr>
              <w:pStyle w:val="TableText"/>
              <w:keepNext w:val="0"/>
              <w:keepLines/>
            </w:pPr>
            <w:r>
              <w:t>4 cable; Three working stereo-to-dual-mono cables plus one spare.</w:t>
            </w:r>
          </w:p>
        </w:tc>
        <w:tc>
          <w:tcPr>
            <w:tcW w:type="dxa" w:w="1181"/>
            <w:vAlign w:val="center"/>
            <w:shd w:fill="EDF2EE"/>
          </w:tcPr>
          <w:p>
            <w:pPr>
              <w:pStyle w:val="TableText"/>
              <w:keepNext w:val="0"/>
              <w:keepLines/>
              <w:jc w:val="center"/>
            </w:pPr>
            <w:r>
              <w:t>$22.00</w:t>
            </w:r>
          </w:p>
        </w:tc>
        <w:tc>
          <w:tcPr>
            <w:tcW w:type="dxa" w:w="1246"/>
            <w:vAlign w:val="center"/>
            <w:shd w:fill="EDF2EE"/>
          </w:tcPr>
          <w:p>
            <w:pPr>
              <w:pStyle w:val="TableText"/>
              <w:keepNext w:val="0"/>
              <w:keepLines/>
              <w:jc w:val="center"/>
            </w:pPr>
            <w:r>
              <w:t>$88.00</w:t>
            </w:r>
          </w:p>
        </w:tc>
        <w:tc>
          <w:tcPr>
            <w:tcW w:type="dxa" w:w="1181"/>
            <w:vAlign w:val="top"/>
            <w:shd w:fill="EDF2EE"/>
          </w:tcPr>
          <w:p>
            <w:pPr>
              <w:pStyle w:val="TableText"/>
              <w:keepNext w:val="0"/>
              <w:keepLines/>
            </w:pPr>
            <w:hyperlink w:anchor="source_R109">
              <w:r>
                <w:rPr>
                  <w:color w:val="275E67"/>
                  <w:u w:val="single"/>
                </w:rPr>
                <w:t xml:space="preserve">R109</w:t>
              </w:r>
            </w:hyperlink>
          </w:p>
        </w:tc>
      </w:tr>
      <w:tr>
        <w:trPr>
          <w:cantSplit/>
        </w:trPr>
        <w:tc>
          <w:tcPr>
            <w:tcW w:type="dxa" w:w="2210"/>
            <w:vAlign w:val="top"/>
            <w:shd w:fill="FFFFFF"/>
          </w:tcPr>
          <w:p>
            <w:pPr>
              <w:pStyle w:val="TableText"/>
              <w:keepNext w:val="0"/>
              <w:keepLines/>
            </w:pPr>
            <w:r>
              <w:t>Refurbished HP EliteDesk 800 G6 Mini</w:t>
            </w:r>
          </w:p>
        </w:tc>
        <w:tc>
          <w:tcPr>
            <w:tcW w:type="dxa" w:w="4334"/>
            <w:vAlign w:val="top"/>
            <w:shd w:fill="FFFFFF"/>
          </w:tcPr>
          <w:p>
            <w:pPr>
              <w:pStyle w:val="TableText"/>
              <w:keepNext w:val="0"/>
              <w:keepLines/>
            </w:pPr>
            <w:r>
              <w:t>1 computer; Prototype capture/control and transfer testing. Display, archive storage and AI throughput are separate requirements.</w:t>
            </w:r>
          </w:p>
        </w:tc>
        <w:tc>
          <w:tcPr>
            <w:tcW w:type="dxa" w:w="1181"/>
            <w:vAlign w:val="center"/>
            <w:shd w:fill="FFFFFF"/>
          </w:tcPr>
          <w:p>
            <w:pPr>
              <w:pStyle w:val="TableText"/>
              <w:keepNext w:val="0"/>
              <w:keepLines/>
              <w:jc w:val="center"/>
            </w:pPr>
            <w:r>
              <w:t>$399.00</w:t>
            </w:r>
          </w:p>
        </w:tc>
        <w:tc>
          <w:tcPr>
            <w:tcW w:type="dxa" w:w="1246"/>
            <w:vAlign w:val="center"/>
            <w:shd w:fill="FFFFFF"/>
          </w:tcPr>
          <w:p>
            <w:pPr>
              <w:pStyle w:val="TableText"/>
              <w:keepNext w:val="0"/>
              <w:keepLines/>
              <w:jc w:val="center"/>
            </w:pPr>
            <w:r>
              <w:t>$399.00</w:t>
            </w:r>
          </w:p>
        </w:tc>
        <w:tc>
          <w:tcPr>
            <w:tcW w:type="dxa" w:w="1181"/>
            <w:vAlign w:val="top"/>
            <w:shd w:fill="FFFFFF"/>
          </w:tcPr>
          <w:p>
            <w:pPr>
              <w:pStyle w:val="TableText"/>
              <w:keepNext w:val="0"/>
              <w:keepLines/>
            </w:pPr>
            <w:hyperlink w:anchor="source_R115">
              <w:r>
                <w:rPr>
                  <w:color w:val="275E67"/>
                  <w:u w:val="single"/>
                </w:rPr>
                <w:t xml:space="preserve">R115</w:t>
              </w:r>
            </w:hyperlink>
          </w:p>
        </w:tc>
      </w:tr>
      <w:tr>
        <w:trPr>
          <w:cantSplit/>
        </w:trPr>
        <w:tc>
          <w:tcPr>
            <w:tcW w:type="dxa" w:w="2210"/>
            <w:vAlign w:val="top"/>
            <w:shd w:fill="EDF2EE"/>
          </w:tcPr>
          <w:p>
            <w:pPr>
              <w:pStyle w:val="TableText"/>
              <w:keepNext w:val="0"/>
              <w:keepLines/>
            </w:pPr>
            <w:r>
              <w:t>CyberPower 900 VA/540 W UPS</w:t>
            </w:r>
          </w:p>
        </w:tc>
        <w:tc>
          <w:tcPr>
            <w:tcW w:type="dxa" w:w="4334"/>
            <w:vAlign w:val="top"/>
            <w:shd w:fill="EDF2EE"/>
          </w:tcPr>
          <w:p>
            <w:pPr>
              <w:pStyle w:val="TableText"/>
              <w:keepNext w:val="0"/>
              <w:keepLines/>
            </w:pPr>
            <w:r>
              <w:t>1 unit; Prototype recorder/control continuity. Actual runtime test and load schedule required.</w:t>
            </w:r>
          </w:p>
        </w:tc>
        <w:tc>
          <w:tcPr>
            <w:tcW w:type="dxa" w:w="1181"/>
            <w:vAlign w:val="center"/>
            <w:shd w:fill="EDF2EE"/>
          </w:tcPr>
          <w:p>
            <w:pPr>
              <w:pStyle w:val="TableText"/>
              <w:keepNext w:val="0"/>
              <w:keepLines/>
              <w:jc w:val="center"/>
            </w:pPr>
            <w:r>
              <w:t>$299.00</w:t>
            </w:r>
          </w:p>
        </w:tc>
        <w:tc>
          <w:tcPr>
            <w:tcW w:type="dxa" w:w="1246"/>
            <w:vAlign w:val="center"/>
            <w:shd w:fill="EDF2EE"/>
          </w:tcPr>
          <w:p>
            <w:pPr>
              <w:pStyle w:val="TableText"/>
              <w:keepNext w:val="0"/>
              <w:keepLines/>
              <w:jc w:val="center"/>
            </w:pPr>
            <w:r>
              <w:t>$299.00</w:t>
            </w:r>
          </w:p>
        </w:tc>
        <w:tc>
          <w:tcPr>
            <w:tcW w:type="dxa" w:w="1181"/>
            <w:vAlign w:val="top"/>
            <w:shd w:fill="EDF2EE"/>
          </w:tcPr>
          <w:p>
            <w:pPr>
              <w:pStyle w:val="TableText"/>
              <w:keepNext w:val="0"/>
              <w:keepLines/>
            </w:pPr>
            <w:hyperlink w:anchor="source_R116">
              <w:r>
                <w:rPr>
                  <w:color w:val="275E67"/>
                  <w:u w:val="single"/>
                </w:rPr>
                <w:t xml:space="preserve">R116</w:t>
              </w:r>
            </w:hyperlink>
          </w:p>
        </w:tc>
      </w:tr>
    </w:tbl>
    <w:p>
      <w:pPr>
        <w:spacing w:after="20" w:before="0" w:line="240" w:lineRule="auto"/>
      </w:pPr>
      <w:r>
        <w:rPr>
          <w:sz w:val="6"/>
        </w:rPr>
      </w:r>
    </w:p>
    <w:p>
      <w:pPr/>
      <w:r>
        <w:t xml:space="preserve">The displayed-price subtotal is </w:t>
      </w:r>
      <w:r>
        <w:rPr>
          <w:b/>
        </w:rPr>
        <w:t>$3,041.00</w:t>
      </w:r>
      <w:r>
        <w:t>, before any unresolved freight, accessories or tax adjustment. The mixer was on backorder and the microphone price was promotional when checked. Recording media, headphones/playback, display, archive storage, networking and software remain separately specified.</w:t>
      </w:r>
    </w:p>
    <w:p>
      <w:pPr/>
      <w:r>
        <w:t>Rode specifies a maximum of four Wireless PRO kits, eight transmitters, in one place. Three active kits plus a cold spare suit a one-room prototype. The four-room business requires a separate RF and acoustic design with a quoted multi-room capture system. Multiplying the inexpensive consumer kit into 24 simultaneous live channels would ignore the manufacturer's stated limit. Local onboard recording is another possible workflow to test, with its actual transfer and facilitator preparation time measured. [</w:t>
      </w:r>
      <w:hyperlink w:anchor="source_R107">
        <w:r>
          <w:rPr>
            <w:color w:val="275E67"/>
            <w:u w:val="single"/>
          </w:rPr>
          <w:t xml:space="preserve">R107</w:t>
        </w:r>
      </w:hyperlink>
      <w:r>
        <w:t>]</w:t>
      </w:r>
    </w:p>
    <w:p>
      <w:pPr>
        <w:pStyle w:val="SourceNote"/>
      </w:pPr>
      <w:r>
        <w:t xml:space="preserve">Sources: </w:t>
      </w:r>
      <w:hyperlink w:anchor="source_R106">
        <w:r>
          <w:rPr>
            <w:color w:val="275E67"/>
            <w:u w:val="single"/>
          </w:rPr>
          <w:t xml:space="preserve">R106</w:t>
        </w:r>
      </w:hyperlink>
      <w:r>
        <w:t xml:space="preserve">, </w:t>
      </w:r>
      <w:hyperlink w:anchor="source_R107">
        <w:r>
          <w:rPr>
            <w:color w:val="275E67"/>
            <w:u w:val="single"/>
          </w:rPr>
          <w:t xml:space="preserve">R107</w:t>
        </w:r>
      </w:hyperlink>
      <w:r>
        <w:t xml:space="preserve">, </w:t>
      </w:r>
      <w:hyperlink w:anchor="source_R108">
        <w:r>
          <w:rPr>
            <w:color w:val="275E67"/>
            <w:u w:val="single"/>
          </w:rPr>
          <w:t xml:space="preserve">R108</w:t>
        </w:r>
      </w:hyperlink>
      <w:r>
        <w:t xml:space="preserve">, </w:t>
      </w:r>
      <w:hyperlink w:anchor="source_R109">
        <w:r>
          <w:rPr>
            <w:color w:val="275E67"/>
            <w:u w:val="single"/>
          </w:rPr>
          <w:t xml:space="preserve">R109</w:t>
        </w:r>
      </w:hyperlink>
      <w:r>
        <w:t xml:space="preserve">, </w:t>
      </w:r>
      <w:hyperlink w:anchor="source_R115">
        <w:r>
          <w:rPr>
            <w:color w:val="275E67"/>
            <w:u w:val="single"/>
          </w:rPr>
          <w:t xml:space="preserve">R115</w:t>
        </w:r>
      </w:hyperlink>
      <w:r>
        <w:t xml:space="preserve">, </w:t>
      </w:r>
      <w:hyperlink w:anchor="source_R116">
        <w:r>
          <w:rPr>
            <w:color w:val="275E67"/>
            <w:u w:val="single"/>
          </w:rPr>
          <w:t xml:space="preserve">R116</w:t>
        </w:r>
      </w:hyperlink>
    </w:p>
    <w:p>
      <w:bookmarkStart w:id="31" w:name="s_economics_Furnishing__useful__bb6168"/>
      <w:pPr>
        <w:pStyle w:val="Heading2"/>
      </w:pPr>
      <w:r>
        <w:t>Furnishing: useful second-hand stock alongside new items</w:t>
      </w:r>
      <w:bookmarkEnd w:id="31"/>
    </w:p>
    <w:p>
      <w:pPr/>
      <w:r>
        <w:t>Furniture is purchased for the function and remaining useful life. Published used stock creates a real opportunity to reduce cash tied up in reception, storage and reflection areas. It does not eliminate delivery, cleaning, repairs or inspection.</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3513"/>
        <w:gridCol w:w="2016"/>
        <w:gridCol w:w="1181"/>
        <w:gridCol w:w="1835"/>
        <w:gridCol w:w="1606"/>
      </w:tblGrid>
      <w:tr>
        <w:trPr>
          <w:cantSplit/>
          <w:tblHeader w:val="true"/>
        </w:trPr>
        <w:tc>
          <w:tcPr>
            <w:tcW w:type="dxa" w:w="3513"/>
            <w:vAlign w:val="center"/>
            <w:shd w:fill="203B4C"/>
          </w:tcPr>
          <w:p>
            <w:pPr>
              <w:pStyle w:val="TableHead"/>
              <w:keepNext/>
              <w:keepLines/>
            </w:pPr>
            <w:r>
              <w:rPr>
                <w:color w:val="FFFFFF"/>
              </w:rPr>
              <w:t>Item and condition</w:t>
            </w:r>
          </w:p>
        </w:tc>
        <w:tc>
          <w:tcPr>
            <w:tcW w:type="dxa" w:w="2016"/>
            <w:vAlign w:val="center"/>
            <w:shd w:fill="203B4C"/>
          </w:tcPr>
          <w:p>
            <w:pPr>
              <w:pStyle w:val="TableHead"/>
              <w:keepNext/>
              <w:keepLines/>
              <w:jc w:val="center"/>
            </w:pPr>
            <w:r>
              <w:rPr>
                <w:color w:val="FFFFFF"/>
              </w:rPr>
              <w:t>Quantity, 2 / 4 rooms</w:t>
            </w:r>
          </w:p>
        </w:tc>
        <w:tc>
          <w:tcPr>
            <w:tcW w:type="dxa" w:w="1181"/>
            <w:vAlign w:val="center"/>
            <w:shd w:fill="203B4C"/>
          </w:tcPr>
          <w:p>
            <w:pPr>
              <w:pStyle w:val="TableHead"/>
              <w:keepNext/>
              <w:keepLines/>
              <w:jc w:val="center"/>
            </w:pPr>
            <w:r>
              <w:rPr>
                <w:color w:val="FFFFFF"/>
              </w:rPr>
              <w:t>Listed each</w:t>
            </w:r>
          </w:p>
        </w:tc>
        <w:tc>
          <w:tcPr>
            <w:tcW w:type="dxa" w:w="1835"/>
            <w:vAlign w:val="center"/>
            <w:shd w:fill="203B4C"/>
          </w:tcPr>
          <w:p>
            <w:pPr>
              <w:pStyle w:val="TableHead"/>
              <w:keepNext/>
              <w:keepLines/>
              <w:jc w:val="center"/>
            </w:pPr>
            <w:r>
              <w:rPr>
                <w:color w:val="FFFFFF"/>
              </w:rPr>
              <w:t>Totals, 2 / 4 rooms</w:t>
            </w:r>
          </w:p>
        </w:tc>
        <w:tc>
          <w:tcPr>
            <w:tcW w:type="dxa" w:w="1606"/>
            <w:vAlign w:val="center"/>
            <w:shd w:fill="203B4C"/>
          </w:tcPr>
          <w:p>
            <w:pPr>
              <w:pStyle w:val="TableHead"/>
              <w:keepNext/>
              <w:keepLines/>
            </w:pPr>
            <w:r>
              <w:rPr>
                <w:color w:val="FFFFFF"/>
              </w:rPr>
              <w:t>Source</w:t>
            </w:r>
          </w:p>
        </w:tc>
      </w:tr>
      <w:tr>
        <w:trPr>
          <w:cantSplit/>
        </w:trPr>
        <w:tc>
          <w:tcPr>
            <w:tcW w:type="dxa" w:w="3513"/>
            <w:vAlign w:val="top"/>
            <w:shd w:fill="EDF2EE"/>
          </w:tcPr>
          <w:p>
            <w:pPr>
              <w:pStyle w:val="TableText"/>
              <w:keepNext w:val="0"/>
              <w:keepLines/>
            </w:pPr>
            <w:r>
              <w:t>Ex-hire Chibel stackable visitor chair</w:t>
            </w:r>
          </w:p>
        </w:tc>
        <w:tc>
          <w:tcPr>
            <w:tcW w:type="dxa" w:w="2016"/>
            <w:vAlign w:val="center"/>
            <w:shd w:fill="EDF2EE"/>
          </w:tcPr>
          <w:p>
            <w:pPr>
              <w:pStyle w:val="TableText"/>
              <w:keepNext w:val="0"/>
              <w:keepLines/>
              <w:jc w:val="center"/>
            </w:pPr>
            <w:r>
              <w:t>14 / 32</w:t>
            </w:r>
          </w:p>
        </w:tc>
        <w:tc>
          <w:tcPr>
            <w:tcW w:type="dxa" w:w="1181"/>
            <w:vAlign w:val="center"/>
            <w:shd w:fill="EDF2EE"/>
          </w:tcPr>
          <w:p>
            <w:pPr>
              <w:pStyle w:val="TableText"/>
              <w:keepNext w:val="0"/>
              <w:keepLines/>
              <w:jc w:val="center"/>
            </w:pPr>
            <w:r>
              <w:t>$39</w:t>
            </w:r>
          </w:p>
        </w:tc>
        <w:tc>
          <w:tcPr>
            <w:tcW w:type="dxa" w:w="1835"/>
            <w:vAlign w:val="center"/>
            <w:shd w:fill="EDF2EE"/>
          </w:tcPr>
          <w:p>
            <w:pPr>
              <w:pStyle w:val="TableText"/>
              <w:keepNext w:val="0"/>
              <w:keepLines/>
              <w:jc w:val="center"/>
            </w:pPr>
            <w:r>
              <w:t>$546 / $1,248</w:t>
            </w:r>
          </w:p>
        </w:tc>
        <w:tc>
          <w:tcPr>
            <w:tcW w:type="dxa" w:w="1606"/>
            <w:vAlign w:val="top"/>
            <w:shd w:fill="EDF2EE"/>
          </w:tcPr>
          <w:p>
            <w:pPr>
              <w:pStyle w:val="TableText"/>
              <w:keepNext w:val="0"/>
              <w:keepLines/>
            </w:pPr>
            <w:hyperlink w:anchor="source_R112">
              <w:r>
                <w:rPr>
                  <w:color w:val="275E67"/>
                  <w:u w:val="single"/>
                </w:rPr>
                <w:t xml:space="preserve">R112</w:t>
              </w:r>
            </w:hyperlink>
          </w:p>
        </w:tc>
      </w:tr>
      <w:tr>
        <w:trPr>
          <w:cantSplit/>
        </w:trPr>
        <w:tc>
          <w:tcPr>
            <w:tcW w:type="dxa" w:w="3513"/>
            <w:vAlign w:val="top"/>
            <w:shd w:fill="FFFFFF"/>
          </w:tcPr>
          <w:p>
            <w:pPr>
              <w:pStyle w:val="TableText"/>
              <w:keepNext w:val="0"/>
              <w:keepLines/>
            </w:pPr>
            <w:r>
              <w:t>New Matrix visitor armchair</w:t>
            </w:r>
          </w:p>
        </w:tc>
        <w:tc>
          <w:tcPr>
            <w:tcW w:type="dxa" w:w="2016"/>
            <w:vAlign w:val="center"/>
            <w:shd w:fill="FFFFFF"/>
          </w:tcPr>
          <w:p>
            <w:pPr>
              <w:pStyle w:val="TableText"/>
              <w:keepNext w:val="0"/>
              <w:keepLines/>
              <w:jc w:val="center"/>
            </w:pPr>
            <w:r>
              <w:t>2 / 4</w:t>
            </w:r>
          </w:p>
        </w:tc>
        <w:tc>
          <w:tcPr>
            <w:tcW w:type="dxa" w:w="1181"/>
            <w:vAlign w:val="center"/>
            <w:shd w:fill="FFFFFF"/>
          </w:tcPr>
          <w:p>
            <w:pPr>
              <w:pStyle w:val="TableText"/>
              <w:keepNext w:val="0"/>
              <w:keepLines/>
              <w:jc w:val="center"/>
            </w:pPr>
            <w:r>
              <w:t>$199</w:t>
            </w:r>
          </w:p>
        </w:tc>
        <w:tc>
          <w:tcPr>
            <w:tcW w:type="dxa" w:w="1835"/>
            <w:vAlign w:val="center"/>
            <w:shd w:fill="FFFFFF"/>
          </w:tcPr>
          <w:p>
            <w:pPr>
              <w:pStyle w:val="TableText"/>
              <w:keepNext w:val="0"/>
              <w:keepLines/>
              <w:jc w:val="center"/>
            </w:pPr>
            <w:r>
              <w:t>$398 / $796</w:t>
            </w:r>
          </w:p>
        </w:tc>
        <w:tc>
          <w:tcPr>
            <w:tcW w:type="dxa" w:w="1606"/>
            <w:vAlign w:val="top"/>
            <w:shd w:fill="FFFFFF"/>
          </w:tcPr>
          <w:p>
            <w:pPr>
              <w:pStyle w:val="TableText"/>
              <w:keepNext w:val="0"/>
              <w:keepLines/>
            </w:pPr>
            <w:hyperlink w:anchor="source_R111">
              <w:r>
                <w:rPr>
                  <w:color w:val="275E67"/>
                  <w:u w:val="single"/>
                </w:rPr>
                <w:t xml:space="preserve">R111</w:t>
              </w:r>
            </w:hyperlink>
          </w:p>
        </w:tc>
      </w:tr>
      <w:tr>
        <w:trPr>
          <w:cantSplit/>
        </w:trPr>
        <w:tc>
          <w:tcPr>
            <w:tcW w:type="dxa" w:w="3513"/>
            <w:vAlign w:val="top"/>
            <w:shd w:fill="EDF2EE"/>
          </w:tcPr>
          <w:p>
            <w:pPr>
              <w:pStyle w:val="TableText"/>
              <w:keepNext w:val="0"/>
              <w:keepLines/>
            </w:pPr>
            <w:r>
              <w:t>New Rapidline 1800 × 900 folding table</w:t>
            </w:r>
          </w:p>
        </w:tc>
        <w:tc>
          <w:tcPr>
            <w:tcW w:type="dxa" w:w="2016"/>
            <w:vAlign w:val="center"/>
            <w:shd w:fill="EDF2EE"/>
          </w:tcPr>
          <w:p>
            <w:pPr>
              <w:pStyle w:val="TableText"/>
              <w:keepNext w:val="0"/>
              <w:keepLines/>
              <w:jc w:val="center"/>
            </w:pPr>
            <w:r>
              <w:t>2 / 4</w:t>
            </w:r>
          </w:p>
        </w:tc>
        <w:tc>
          <w:tcPr>
            <w:tcW w:type="dxa" w:w="1181"/>
            <w:vAlign w:val="center"/>
            <w:shd w:fill="EDF2EE"/>
          </w:tcPr>
          <w:p>
            <w:pPr>
              <w:pStyle w:val="TableText"/>
              <w:keepNext w:val="0"/>
              <w:keepLines/>
              <w:jc w:val="center"/>
            </w:pPr>
            <w:r>
              <w:t>$292</w:t>
            </w:r>
          </w:p>
        </w:tc>
        <w:tc>
          <w:tcPr>
            <w:tcW w:type="dxa" w:w="1835"/>
            <w:vAlign w:val="center"/>
            <w:shd w:fill="EDF2EE"/>
          </w:tcPr>
          <w:p>
            <w:pPr>
              <w:pStyle w:val="TableText"/>
              <w:keepNext w:val="0"/>
              <w:keepLines/>
              <w:jc w:val="center"/>
            </w:pPr>
            <w:r>
              <w:t>$584 / $1,168</w:t>
            </w:r>
          </w:p>
        </w:tc>
        <w:tc>
          <w:tcPr>
            <w:tcW w:type="dxa" w:w="1606"/>
            <w:vAlign w:val="top"/>
            <w:shd w:fill="EDF2EE"/>
          </w:tcPr>
          <w:p>
            <w:pPr>
              <w:pStyle w:val="TableText"/>
              <w:keepNext w:val="0"/>
              <w:keepLines/>
            </w:pPr>
            <w:hyperlink w:anchor="source_R113">
              <w:r>
                <w:rPr>
                  <w:color w:val="275E67"/>
                  <w:u w:val="single"/>
                </w:rPr>
                <w:t xml:space="preserve">R113</w:t>
              </w:r>
            </w:hyperlink>
          </w:p>
        </w:tc>
      </w:tr>
      <w:tr>
        <w:trPr>
          <w:cantSplit/>
        </w:trPr>
        <w:tc>
          <w:tcPr>
            <w:tcW w:type="dxa" w:w="3513"/>
            <w:vAlign w:val="top"/>
            <w:shd w:fill="FFFFFF"/>
          </w:tcPr>
          <w:p>
            <w:pPr>
              <w:pStyle w:val="TableText"/>
              <w:keepNext w:val="0"/>
              <w:keepLines/>
            </w:pPr>
            <w:r>
              <w:t>Used 1600 × 800 metal-frame desk</w:t>
            </w:r>
          </w:p>
        </w:tc>
        <w:tc>
          <w:tcPr>
            <w:tcW w:type="dxa" w:w="2016"/>
            <w:vAlign w:val="center"/>
            <w:shd w:fill="FFFFFF"/>
          </w:tcPr>
          <w:p>
            <w:pPr>
              <w:pStyle w:val="TableText"/>
              <w:keepNext w:val="0"/>
              <w:keepLines/>
              <w:jc w:val="center"/>
            </w:pPr>
            <w:r>
              <w:t>1 / 2</w:t>
            </w:r>
          </w:p>
        </w:tc>
        <w:tc>
          <w:tcPr>
            <w:tcW w:type="dxa" w:w="1181"/>
            <w:vAlign w:val="center"/>
            <w:shd w:fill="FFFFFF"/>
          </w:tcPr>
          <w:p>
            <w:pPr>
              <w:pStyle w:val="TableText"/>
              <w:keepNext w:val="0"/>
              <w:keepLines/>
              <w:jc w:val="center"/>
            </w:pPr>
            <w:r>
              <w:t>$150</w:t>
            </w:r>
          </w:p>
        </w:tc>
        <w:tc>
          <w:tcPr>
            <w:tcW w:type="dxa" w:w="1835"/>
            <w:vAlign w:val="center"/>
            <w:shd w:fill="FFFFFF"/>
          </w:tcPr>
          <w:p>
            <w:pPr>
              <w:pStyle w:val="TableText"/>
              <w:keepNext w:val="0"/>
              <w:keepLines/>
              <w:jc w:val="center"/>
            </w:pPr>
            <w:r>
              <w:t>$150 / $300</w:t>
            </w:r>
          </w:p>
        </w:tc>
        <w:tc>
          <w:tcPr>
            <w:tcW w:type="dxa" w:w="1606"/>
            <w:vAlign w:val="top"/>
            <w:shd w:fill="FFFFFF"/>
          </w:tcPr>
          <w:p>
            <w:pPr>
              <w:pStyle w:val="TableText"/>
              <w:keepNext w:val="0"/>
              <w:keepLines/>
            </w:pPr>
            <w:hyperlink w:anchor="source_R114">
              <w:r>
                <w:rPr>
                  <w:color w:val="275E67"/>
                  <w:u w:val="single"/>
                </w:rPr>
                <w:t xml:space="preserve">R114</w:t>
              </w:r>
            </w:hyperlink>
          </w:p>
        </w:tc>
      </w:tr>
      <w:tr>
        <w:trPr>
          <w:cantSplit/>
        </w:trPr>
        <w:tc>
          <w:tcPr>
            <w:tcW w:type="dxa" w:w="3513"/>
            <w:vAlign w:val="top"/>
            <w:shd w:fill="EDF2EE"/>
          </w:tcPr>
          <w:p>
            <w:pPr>
              <w:pStyle w:val="TableText"/>
              <w:keepNext w:val="0"/>
              <w:keepLines/>
            </w:pPr>
            <w:r>
              <w:t>Used 1600h × 900w × 430d mm storage cupboard</w:t>
            </w:r>
          </w:p>
        </w:tc>
        <w:tc>
          <w:tcPr>
            <w:tcW w:type="dxa" w:w="2016"/>
            <w:vAlign w:val="center"/>
            <w:shd w:fill="EDF2EE"/>
          </w:tcPr>
          <w:p>
            <w:pPr>
              <w:pStyle w:val="TableText"/>
              <w:keepNext w:val="0"/>
              <w:keepLines/>
              <w:jc w:val="center"/>
            </w:pPr>
            <w:r>
              <w:t>2 / 4</w:t>
            </w:r>
          </w:p>
        </w:tc>
        <w:tc>
          <w:tcPr>
            <w:tcW w:type="dxa" w:w="1181"/>
            <w:vAlign w:val="center"/>
            <w:shd w:fill="EDF2EE"/>
          </w:tcPr>
          <w:p>
            <w:pPr>
              <w:pStyle w:val="TableText"/>
              <w:keepNext w:val="0"/>
              <w:keepLines/>
              <w:jc w:val="center"/>
            </w:pPr>
            <w:r>
              <w:t>$129</w:t>
            </w:r>
          </w:p>
        </w:tc>
        <w:tc>
          <w:tcPr>
            <w:tcW w:type="dxa" w:w="1835"/>
            <w:vAlign w:val="center"/>
            <w:shd w:fill="EDF2EE"/>
          </w:tcPr>
          <w:p>
            <w:pPr>
              <w:pStyle w:val="TableText"/>
              <w:keepNext w:val="0"/>
              <w:keepLines/>
              <w:jc w:val="center"/>
            </w:pPr>
            <w:r>
              <w:t>$258 / $516</w:t>
            </w:r>
          </w:p>
        </w:tc>
        <w:tc>
          <w:tcPr>
            <w:tcW w:type="dxa" w:w="1606"/>
            <w:vAlign w:val="top"/>
            <w:shd w:fill="EDF2EE"/>
          </w:tcPr>
          <w:p>
            <w:pPr>
              <w:pStyle w:val="TableText"/>
              <w:keepNext w:val="0"/>
              <w:keepLines/>
            </w:pPr>
            <w:hyperlink w:anchor="source_R114">
              <w:r>
                <w:rPr>
                  <w:color w:val="275E67"/>
                  <w:u w:val="single"/>
                </w:rPr>
                <w:t xml:space="preserve">R114</w:t>
              </w:r>
            </w:hyperlink>
          </w:p>
        </w:tc>
      </w:tr>
    </w:tbl>
    <w:p>
      <w:pPr>
        <w:spacing w:after="20" w:before="0" w:line="240" w:lineRule="auto"/>
      </w:pPr>
      <w:r>
        <w:rPr>
          <w:sz w:val="6"/>
        </w:rPr>
      </w:r>
    </w:p>
    <w:p>
      <w:pPr/>
      <w:r>
        <w:t xml:space="preserve">Listed-price furniture subtotals are </w:t>
      </w:r>
      <w:r>
        <w:rPr>
          <w:b/>
        </w:rPr>
        <w:t>$1,936.00</w:t>
      </w:r>
      <w:r>
        <w:t xml:space="preserve"> and </w:t>
      </w:r>
      <w:r>
        <w:rPr>
          <w:b/>
        </w:rPr>
        <w:t>$4,028.00</w:t>
      </w:r>
      <w:r>
        <w:t>. They exclude delivery and any tax adjustment not confirmed on the invoice.</w:t>
      </w:r>
    </w:p>
    <w:p>
      <w:pPr/>
      <w:r>
        <w:t>For the four-room seating mix, 32 used Chibel seats plus four new Matrix armchairs cost $2,044 at the listed prices. Buying 32 new Matrix visitor chairs plus the same four armchairs would be $6,524. The $4,480 difference is available to absorb inspection, transport and repairs before the used option loses its purchase-price advantage. These are different models: the used chair has a 110 kg rating; the new armchair has a 160 kg rating. The mix preserves higher-capacity seating and arm support. [</w:t>
      </w:r>
      <w:hyperlink w:anchor="source_R110">
        <w:r>
          <w:rPr>
            <w:color w:val="275E67"/>
            <w:u w:val="single"/>
          </w:rPr>
          <w:t xml:space="preserve">R110</w:t>
        </w:r>
      </w:hyperlink>
      <w:r>
        <w:t>-</w:t>
      </w:r>
      <w:hyperlink w:anchor="source_R112">
        <w:r>
          <w:rPr>
            <w:color w:val="275E67"/>
            <w:u w:val="single"/>
          </w:rPr>
          <w:t xml:space="preserve">R112</w:t>
        </w:r>
      </w:hyperlink>
      <w:r>
        <w:t>]</w:t>
      </w:r>
    </w:p>
    <w:p>
      <w:pPr/>
      <w:r>
        <w:t>Danny's product page describes light wear/scuffs and clearance stock at Eagle Farm, with stock quantities to confirm and appointment-based collection. The category price is $39. Both Mack's prices include GST. The $150 desk was listed on 19 October 2026 and described as in good condition; the $129 cupboard was listed on 23 October 2026. Both product pages display availability, but the required stock quantities still need confirmation. The two Mack's items are from a central Victorian dealer; local equivalents may deliver better value once freight is included. Each inventory entry should record a dated listing, condition photographs, quantity available, included keys, tax invoice status and remaining service life. No stock has been reserved.</w:t>
      </w:r>
    </w:p>
    <w:p>
      <w:pPr/>
      <w:r>
        <w:t>Compare delivered net cost as purchase price plus freight/collection plus cleaning, repair and assembly plus non-recoverable taxes, less only confirmed input credits. Do not subtract an assumed future resale value. Auction comparisons must also include the actual buyer's premium and transport; a starting bid is not a purchase price.</w:t>
      </w:r>
    </w:p>
    <w:p>
      <w:pPr>
        <w:pStyle w:val="SourceNote"/>
      </w:pPr>
      <w:r>
        <w:t xml:space="preserve">Sources: </w:t>
      </w:r>
      <w:hyperlink w:anchor="source_R110">
        <w:r>
          <w:rPr>
            <w:color w:val="275E67"/>
            <w:u w:val="single"/>
          </w:rPr>
          <w:t xml:space="preserve">R110</w:t>
        </w:r>
      </w:hyperlink>
      <w:r>
        <w:t xml:space="preserve">, </w:t>
      </w:r>
      <w:hyperlink w:anchor="source_R111">
        <w:r>
          <w:rPr>
            <w:color w:val="275E67"/>
            <w:u w:val="single"/>
          </w:rPr>
          <w:t xml:space="preserve">R111</w:t>
        </w:r>
      </w:hyperlink>
      <w:r>
        <w:t xml:space="preserve">, </w:t>
      </w:r>
      <w:hyperlink w:anchor="source_R112">
        <w:r>
          <w:rPr>
            <w:color w:val="275E67"/>
            <w:u w:val="single"/>
          </w:rPr>
          <w:t xml:space="preserve">R112</w:t>
        </w:r>
      </w:hyperlink>
      <w:r>
        <w:t xml:space="preserve">, </w:t>
      </w:r>
      <w:hyperlink w:anchor="source_R113">
        <w:r>
          <w:rPr>
            <w:color w:val="275E67"/>
            <w:u w:val="single"/>
          </w:rPr>
          <w:t xml:space="preserve">R113</w:t>
        </w:r>
      </w:hyperlink>
      <w:r>
        <w:t xml:space="preserve">, </w:t>
      </w:r>
      <w:hyperlink w:anchor="source_R114">
        <w:r>
          <w:rPr>
            <w:color w:val="275E67"/>
            <w:u w:val="single"/>
          </w:rPr>
          <w:t xml:space="preserve">R114</w:t>
        </w:r>
      </w:hyperlink>
    </w:p>
    <w:p>
      <w:bookmarkStart w:id="32" w:name="s_economics_Installation__task__f8367a"/>
      <w:pPr>
        <w:pStyle w:val="Heading2"/>
      </w:pPr>
      <w:r>
        <w:t>Installation: task hours multiplied by published charge rates</w:t>
      </w:r>
      <w:bookmarkEnd w:id="32"/>
    </w:p>
    <w:p>
      <w:pPr/>
      <w:r>
        <w:t>The following is an assembly work package for supplied modular rooms in a prepared, approved space. Hours are explicit design assumptions to be replaced by the contractor's scoped quote. New building partitions, acoustic construction, HVAC and major services are outside it.</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1984"/>
        <w:gridCol w:w="970"/>
        <w:gridCol w:w="1004"/>
        <w:gridCol w:w="1721"/>
        <w:gridCol w:w="2123"/>
        <w:gridCol w:w="2350"/>
      </w:tblGrid>
      <w:tr>
        <w:trPr>
          <w:cantSplit/>
          <w:tblHeader w:val="true"/>
        </w:trPr>
        <w:tc>
          <w:tcPr>
            <w:tcW w:type="dxa" w:w="1984"/>
            <w:vAlign w:val="center"/>
            <w:shd w:fill="203B4C"/>
          </w:tcPr>
          <w:p>
            <w:pPr>
              <w:pStyle w:val="TableHead"/>
              <w:keepNext/>
              <w:keepLines/>
            </w:pPr>
            <w:r>
              <w:rPr>
                <w:color w:val="FFFFFF"/>
              </w:rPr>
              <w:t>Work package</w:t>
            </w:r>
          </w:p>
        </w:tc>
        <w:tc>
          <w:tcPr>
            <w:tcW w:type="dxa" w:w="970"/>
            <w:vAlign w:val="center"/>
            <w:shd w:fill="203B4C"/>
          </w:tcPr>
          <w:p>
            <w:pPr>
              <w:pStyle w:val="TableHead"/>
              <w:keepNext/>
              <w:keepLines/>
              <w:jc w:val="center"/>
            </w:pPr>
            <w:r>
              <w:rPr>
                <w:color w:val="FFFFFF"/>
              </w:rPr>
              <w:t>Two-room hours</w:t>
            </w:r>
          </w:p>
        </w:tc>
        <w:tc>
          <w:tcPr>
            <w:tcW w:type="dxa" w:w="1004"/>
            <w:vAlign w:val="center"/>
            <w:shd w:fill="203B4C"/>
          </w:tcPr>
          <w:p>
            <w:pPr>
              <w:pStyle w:val="TableHead"/>
              <w:keepNext/>
              <w:keepLines/>
              <w:jc w:val="center"/>
            </w:pPr>
            <w:r>
              <w:rPr>
                <w:color w:val="FFFFFF"/>
              </w:rPr>
              <w:t>Four-room hours</w:t>
            </w:r>
          </w:p>
        </w:tc>
        <w:tc>
          <w:tcPr>
            <w:tcW w:type="dxa" w:w="1721"/>
            <w:vAlign w:val="center"/>
            <w:shd w:fill="203B4C"/>
          </w:tcPr>
          <w:p>
            <w:pPr>
              <w:pStyle w:val="TableHead"/>
              <w:keepNext/>
              <w:keepLines/>
            </w:pPr>
            <w:r>
              <w:rPr>
                <w:color w:val="FFFFFF"/>
              </w:rPr>
              <w:t>Published rate basis, ex GST</w:t>
            </w:r>
          </w:p>
        </w:tc>
        <w:tc>
          <w:tcPr>
            <w:tcW w:type="dxa" w:w="2123"/>
            <w:vAlign w:val="center"/>
            <w:shd w:fill="203B4C"/>
          </w:tcPr>
          <w:p>
            <w:pPr>
              <w:pStyle w:val="TableHead"/>
              <w:keepNext/>
              <w:keepLines/>
              <w:jc w:val="center"/>
            </w:pPr>
            <w:r>
              <w:rPr>
                <w:color w:val="FFFFFF"/>
              </w:rPr>
              <w:t>Two-room labour</w:t>
            </w:r>
          </w:p>
        </w:tc>
        <w:tc>
          <w:tcPr>
            <w:tcW w:type="dxa" w:w="2350"/>
            <w:vAlign w:val="center"/>
            <w:shd w:fill="203B4C"/>
          </w:tcPr>
          <w:p>
            <w:pPr>
              <w:pStyle w:val="TableHead"/>
              <w:keepNext/>
              <w:keepLines/>
              <w:jc w:val="center"/>
            </w:pPr>
            <w:r>
              <w:rPr>
                <w:color w:val="FFFFFF"/>
              </w:rPr>
              <w:t>Four-room labour</w:t>
            </w:r>
          </w:p>
        </w:tc>
      </w:tr>
      <w:tr>
        <w:trPr>
          <w:cantSplit/>
        </w:trPr>
        <w:tc>
          <w:tcPr>
            <w:tcW w:type="dxa" w:w="1984"/>
            <w:vAlign w:val="top"/>
            <w:shd w:fill="EDF2EE"/>
          </w:tcPr>
          <w:p>
            <w:pPr>
              <w:pStyle w:val="TableText"/>
              <w:keepNext w:val="0"/>
              <w:keepLines/>
            </w:pPr>
            <w:r>
              <w:t>Receive, inventory and move room components</w:t>
            </w:r>
          </w:p>
        </w:tc>
        <w:tc>
          <w:tcPr>
            <w:tcW w:type="dxa" w:w="970"/>
            <w:vAlign w:val="center"/>
            <w:shd w:fill="EDF2EE"/>
          </w:tcPr>
          <w:p>
            <w:pPr>
              <w:pStyle w:val="TableText"/>
              <w:keepNext w:val="0"/>
              <w:keepLines/>
              <w:jc w:val="center"/>
            </w:pPr>
            <w:r>
              <w:t>16</w:t>
            </w:r>
          </w:p>
        </w:tc>
        <w:tc>
          <w:tcPr>
            <w:tcW w:type="dxa" w:w="1004"/>
            <w:vAlign w:val="center"/>
            <w:shd w:fill="EDF2EE"/>
          </w:tcPr>
          <w:p>
            <w:pPr>
              <w:pStyle w:val="TableText"/>
              <w:keepNext w:val="0"/>
              <w:keepLines/>
              <w:jc w:val="center"/>
            </w:pPr>
            <w:r>
              <w:t>32</w:t>
            </w:r>
          </w:p>
        </w:tc>
        <w:tc>
          <w:tcPr>
            <w:tcW w:type="dxa" w:w="1721"/>
            <w:vAlign w:val="top"/>
            <w:shd w:fill="EDF2EE"/>
          </w:tcPr>
          <w:p>
            <w:pPr>
              <w:pStyle w:val="TableText"/>
              <w:keepNext w:val="0"/>
              <w:keepLines/>
            </w:pPr>
            <w:r>
              <w:t>$55-$60/hour</w:t>
            </w:r>
          </w:p>
        </w:tc>
        <w:tc>
          <w:tcPr>
            <w:tcW w:type="dxa" w:w="2123"/>
            <w:vAlign w:val="center"/>
            <w:shd w:fill="EDF2EE"/>
          </w:tcPr>
          <w:p>
            <w:pPr>
              <w:pStyle w:val="TableText"/>
              <w:keepNext w:val="0"/>
              <w:keepLines/>
              <w:jc w:val="center"/>
            </w:pPr>
            <w:r>
              <w:t>$880.00-$960.00</w:t>
            </w:r>
          </w:p>
        </w:tc>
        <w:tc>
          <w:tcPr>
            <w:tcW w:type="dxa" w:w="2350"/>
            <w:vAlign w:val="center"/>
            <w:shd w:fill="EDF2EE"/>
          </w:tcPr>
          <w:p>
            <w:pPr>
              <w:pStyle w:val="TableText"/>
              <w:keepNext w:val="0"/>
              <w:keepLines/>
              <w:jc w:val="center"/>
            </w:pPr>
            <w:r>
              <w:t>$1,760.00-$1,920.00</w:t>
            </w:r>
          </w:p>
        </w:tc>
      </w:tr>
      <w:tr>
        <w:trPr>
          <w:cantSplit/>
        </w:trPr>
        <w:tc>
          <w:tcPr>
            <w:tcW w:type="dxa" w:w="1984"/>
            <w:vAlign w:val="top"/>
            <w:shd w:fill="FFFFFF"/>
          </w:tcPr>
          <w:p>
            <w:pPr>
              <w:pStyle w:val="TableText"/>
              <w:keepNext w:val="0"/>
              <w:keepLines/>
            </w:pPr>
            <w:r>
              <w:t>Install supplied modular room components</w:t>
            </w:r>
          </w:p>
        </w:tc>
        <w:tc>
          <w:tcPr>
            <w:tcW w:type="dxa" w:w="970"/>
            <w:vAlign w:val="center"/>
            <w:shd w:fill="FFFFFF"/>
          </w:tcPr>
          <w:p>
            <w:pPr>
              <w:pStyle w:val="TableText"/>
              <w:keepNext w:val="0"/>
              <w:keepLines/>
              <w:jc w:val="center"/>
            </w:pPr>
            <w:r>
              <w:t>80</w:t>
            </w:r>
          </w:p>
        </w:tc>
        <w:tc>
          <w:tcPr>
            <w:tcW w:type="dxa" w:w="1004"/>
            <w:vAlign w:val="center"/>
            <w:shd w:fill="FFFFFF"/>
          </w:tcPr>
          <w:p>
            <w:pPr>
              <w:pStyle w:val="TableText"/>
              <w:keepNext w:val="0"/>
              <w:keepLines/>
              <w:jc w:val="center"/>
            </w:pPr>
            <w:r>
              <w:t>160</w:t>
            </w:r>
          </w:p>
        </w:tc>
        <w:tc>
          <w:tcPr>
            <w:tcW w:type="dxa" w:w="1721"/>
            <w:vAlign w:val="top"/>
            <w:shd w:fill="FFFFFF"/>
          </w:tcPr>
          <w:p>
            <w:pPr>
              <w:pStyle w:val="TableText"/>
              <w:keepNext w:val="0"/>
              <w:keepLines/>
            </w:pPr>
            <w:r>
              <w:t>$75-$85/hour</w:t>
            </w:r>
          </w:p>
        </w:tc>
        <w:tc>
          <w:tcPr>
            <w:tcW w:type="dxa" w:w="2123"/>
            <w:vAlign w:val="center"/>
            <w:shd w:fill="FFFFFF"/>
          </w:tcPr>
          <w:p>
            <w:pPr>
              <w:pStyle w:val="TableText"/>
              <w:keepNext w:val="0"/>
              <w:keepLines/>
              <w:jc w:val="center"/>
            </w:pPr>
            <w:r>
              <w:t>$6,000.00-$6,800.00</w:t>
            </w:r>
          </w:p>
        </w:tc>
        <w:tc>
          <w:tcPr>
            <w:tcW w:type="dxa" w:w="2350"/>
            <w:vAlign w:val="center"/>
            <w:shd w:fill="FFFFFF"/>
          </w:tcPr>
          <w:p>
            <w:pPr>
              <w:pStyle w:val="TableText"/>
              <w:keepNext w:val="0"/>
              <w:keepLines/>
              <w:jc w:val="center"/>
            </w:pPr>
            <w:r>
              <w:t>$12,000.00-$13,600.00</w:t>
            </w:r>
          </w:p>
        </w:tc>
      </w:tr>
      <w:tr>
        <w:trPr>
          <w:cantSplit/>
        </w:trPr>
        <w:tc>
          <w:tcPr>
            <w:tcW w:type="dxa" w:w="1984"/>
            <w:vAlign w:val="top"/>
            <w:shd w:fill="EDF2EE"/>
          </w:tcPr>
          <w:p>
            <w:pPr>
              <w:pStyle w:val="TableText"/>
              <w:keepNext w:val="0"/>
              <w:keepLines/>
            </w:pPr>
            <w:r>
              <w:t>Assist assembly, position props, prepare work areas</w:t>
            </w:r>
          </w:p>
        </w:tc>
        <w:tc>
          <w:tcPr>
            <w:tcW w:type="dxa" w:w="970"/>
            <w:vAlign w:val="center"/>
            <w:shd w:fill="EDF2EE"/>
          </w:tcPr>
          <w:p>
            <w:pPr>
              <w:pStyle w:val="TableText"/>
              <w:keepNext w:val="0"/>
              <w:keepLines/>
              <w:jc w:val="center"/>
            </w:pPr>
            <w:r>
              <w:t>80</w:t>
            </w:r>
          </w:p>
        </w:tc>
        <w:tc>
          <w:tcPr>
            <w:tcW w:type="dxa" w:w="1004"/>
            <w:vAlign w:val="center"/>
            <w:shd w:fill="EDF2EE"/>
          </w:tcPr>
          <w:p>
            <w:pPr>
              <w:pStyle w:val="TableText"/>
              <w:keepNext w:val="0"/>
              <w:keepLines/>
              <w:jc w:val="center"/>
            </w:pPr>
            <w:r>
              <w:t>160</w:t>
            </w:r>
          </w:p>
        </w:tc>
        <w:tc>
          <w:tcPr>
            <w:tcW w:type="dxa" w:w="1721"/>
            <w:vAlign w:val="top"/>
            <w:shd w:fill="EDF2EE"/>
          </w:tcPr>
          <w:p>
            <w:pPr>
              <w:pStyle w:val="TableText"/>
              <w:keepNext w:val="0"/>
              <w:keepLines/>
            </w:pPr>
            <w:r>
              <w:t>$55-$60/hour</w:t>
            </w:r>
          </w:p>
        </w:tc>
        <w:tc>
          <w:tcPr>
            <w:tcW w:type="dxa" w:w="2123"/>
            <w:vAlign w:val="center"/>
            <w:shd w:fill="EDF2EE"/>
          </w:tcPr>
          <w:p>
            <w:pPr>
              <w:pStyle w:val="TableText"/>
              <w:keepNext w:val="0"/>
              <w:keepLines/>
              <w:jc w:val="center"/>
            </w:pPr>
            <w:r>
              <w:t>$4,400.00-$4,800.00</w:t>
            </w:r>
          </w:p>
        </w:tc>
        <w:tc>
          <w:tcPr>
            <w:tcW w:type="dxa" w:w="2350"/>
            <w:vAlign w:val="center"/>
            <w:shd w:fill="EDF2EE"/>
          </w:tcPr>
          <w:p>
            <w:pPr>
              <w:pStyle w:val="TableText"/>
              <w:keepNext w:val="0"/>
              <w:keepLines/>
              <w:jc w:val="center"/>
            </w:pPr>
            <w:r>
              <w:t>$8,800.00-$9,600.00</w:t>
            </w:r>
          </w:p>
        </w:tc>
      </w:tr>
      <w:tr>
        <w:trPr>
          <w:cantSplit/>
        </w:trPr>
        <w:tc>
          <w:tcPr>
            <w:tcW w:type="dxa" w:w="1984"/>
            <w:vAlign w:val="top"/>
            <w:shd w:fill="FFFFFF"/>
          </w:tcPr>
          <w:p>
            <w:pPr>
              <w:pStyle w:val="TableText"/>
              <w:keepNext w:val="0"/>
              <w:keepLines/>
            </w:pPr>
            <w:r>
              <w:t>Electrical attendance allowance from published rate</w:t>
            </w:r>
          </w:p>
        </w:tc>
        <w:tc>
          <w:tcPr>
            <w:tcW w:type="dxa" w:w="970"/>
            <w:vAlign w:val="center"/>
            <w:shd w:fill="FFFFFF"/>
          </w:tcPr>
          <w:p>
            <w:pPr>
              <w:pStyle w:val="TableText"/>
              <w:keepNext w:val="0"/>
              <w:keepLines/>
              <w:jc w:val="center"/>
            </w:pPr>
            <w:r>
              <w:t>16</w:t>
            </w:r>
          </w:p>
        </w:tc>
        <w:tc>
          <w:tcPr>
            <w:tcW w:type="dxa" w:w="1004"/>
            <w:vAlign w:val="center"/>
            <w:shd w:fill="FFFFFF"/>
          </w:tcPr>
          <w:p>
            <w:pPr>
              <w:pStyle w:val="TableText"/>
              <w:keepNext w:val="0"/>
              <w:keepLines/>
              <w:jc w:val="center"/>
            </w:pPr>
            <w:r>
              <w:t>32</w:t>
            </w:r>
          </w:p>
        </w:tc>
        <w:tc>
          <w:tcPr>
            <w:tcW w:type="dxa" w:w="1721"/>
            <w:vAlign w:val="top"/>
            <w:shd w:fill="FFFFFF"/>
          </w:tcPr>
          <w:p>
            <w:pPr>
              <w:pStyle w:val="TableText"/>
              <w:keepNext w:val="0"/>
              <w:keepLines/>
            </w:pPr>
            <w:r>
              <w:t>$235 first hour + $135 subsequent; one 8-hour attendance/room</w:t>
            </w:r>
          </w:p>
        </w:tc>
        <w:tc>
          <w:tcPr>
            <w:tcW w:type="dxa" w:w="2123"/>
            <w:vAlign w:val="center"/>
            <w:shd w:fill="FFFFFF"/>
          </w:tcPr>
          <w:p>
            <w:pPr>
              <w:pStyle w:val="TableText"/>
              <w:keepNext w:val="0"/>
              <w:keepLines/>
              <w:jc w:val="center"/>
            </w:pPr>
            <w:r>
              <w:t>$2,360.00-$2,360.00</w:t>
            </w:r>
          </w:p>
        </w:tc>
        <w:tc>
          <w:tcPr>
            <w:tcW w:type="dxa" w:w="2350"/>
            <w:vAlign w:val="center"/>
            <w:shd w:fill="FFFFFF"/>
          </w:tcPr>
          <w:p>
            <w:pPr>
              <w:pStyle w:val="TableText"/>
              <w:keepNext w:val="0"/>
              <w:keepLines/>
              <w:jc w:val="center"/>
            </w:pPr>
            <w:r>
              <w:t>$4,720.00-$4,720.00</w:t>
            </w:r>
          </w:p>
        </w:tc>
      </w:tr>
    </w:tbl>
    <w:p>
      <w:pPr>
        <w:spacing w:after="20" w:before="0" w:line="240" w:lineRule="auto"/>
      </w:pPr>
      <w:r>
        <w:rPr>
          <w:sz w:val="6"/>
        </w:rPr>
      </w:r>
    </w:p>
    <w:p>
      <w:pPr/>
      <w:r>
        <w:t xml:space="preserve">The rate-priced labour subtotal is </w:t>
      </w:r>
      <w:r>
        <w:rPr>
          <w:b/>
        </w:rPr>
        <w:t>$13,640-$14,920 excluding GST for two rooms</w:t>
      </w:r>
      <w:r>
        <w:t xml:space="preserve">, or </w:t>
      </w:r>
      <w:r>
        <w:rPr>
          <w:b/>
        </w:rPr>
        <w:t>$27,280-$29,840 for four</w:t>
      </w:r>
      <w:r>
        <w:t>. Receiving uses two labourers for one eight-hour day per two rooms. Assembly uses one carpenter and one supporting labourer for five eight-hour days per room. Electrical assumes one eight-hour attendance per room at the published Brisbane service rate. Materials are additional. [</w:t>
      </w:r>
      <w:hyperlink w:anchor="source_R104">
        <w:r>
          <w:rPr>
            <w:color w:val="275E67"/>
            <w:u w:val="single"/>
          </w:rPr>
          <w:t xml:space="preserve">R104</w:t>
        </w:r>
      </w:hyperlink>
      <w:r>
        <w:t xml:space="preserve">, </w:t>
      </w:r>
      <w:hyperlink w:anchor="source_R105">
        <w:r>
          <w:rPr>
            <w:color w:val="275E67"/>
            <w:u w:val="single"/>
          </w:rPr>
          <w:t xml:space="preserve">R105</w:t>
        </w:r>
      </w:hyperlink>
      <w:r>
        <w:t>]</w:t>
      </w:r>
    </w:p>
    <w:p>
      <w:pPr/>
      <w:r>
        <w:t>Provider charge rates are distinct from employee wages; do not add employee on-costs again to an already quoted labour-hire charge. Custom fabrication, AV engineering, licensed design, creator fees, testing, training capture, supervision and commissioning acceptance remain itemised quote lines.</w:t>
      </w:r>
    </w:p>
    <w:p>
      <w:pPr/>
      <w:r>
        <w:t>An example pre-opening staff learning day is eight people times eight paid hours. At the published Grade 4 ordinary casual rate plus 12% super, that is $2,638.54 in wages and super, before the trainer, role grading and remaining employment costs. This makes paid learning visible without claiming a fully costed workforce programme.</w:t>
      </w:r>
    </w:p>
    <w:p>
      <w:pPr>
        <w:pStyle w:val="SourceNote"/>
      </w:pPr>
      <w:r>
        <w:t xml:space="preserve">Sources: </w:t>
      </w:r>
      <w:hyperlink w:anchor="source_R104">
        <w:r>
          <w:rPr>
            <w:color w:val="275E67"/>
            <w:u w:val="single"/>
          </w:rPr>
          <w:t xml:space="preserve">R104</w:t>
        </w:r>
      </w:hyperlink>
      <w:r>
        <w:t xml:space="preserve">, </w:t>
      </w:r>
      <w:hyperlink w:anchor="source_R105">
        <w:r>
          <w:rPr>
            <w:color w:val="275E67"/>
            <w:u w:val="single"/>
          </w:rPr>
          <w:t xml:space="preserve">R105</w:t>
        </w:r>
      </w:hyperlink>
    </w:p>
    <w:p>
      <w:bookmarkStart w:id="33" w:name="s_economics_Room_package_compar_5e1e09"/>
      <w:pPr>
        <w:pStyle w:val="Heading2"/>
      </w:pPr>
      <w:r>
        <w:t>Room package comparison</w:t>
      </w:r>
      <w:bookmarkEnd w:id="33"/>
    </w:p>
    <w:p>
      <w:pPr/>
      <w:r>
        <w:t>The supplier catalogue provides scope-linked comparisons instead of a generic cost per room. [</w:t>
      </w:r>
      <w:hyperlink w:anchor="source_R117">
        <w:r>
          <w:rPr>
            <w:color w:val="275E67"/>
            <w:u w:val="single"/>
          </w:rPr>
          <w:t xml:space="preserve">R117</w:t>
        </w:r>
      </w:hyperlink>
      <w:r>
        <w:t>]</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640"/>
        <w:gridCol w:w="2155"/>
        <w:gridCol w:w="1786"/>
        <w:gridCol w:w="3571"/>
      </w:tblGrid>
      <w:tr>
        <w:trPr>
          <w:cantSplit/>
          <w:tblHeader w:val="true"/>
        </w:trPr>
        <w:tc>
          <w:tcPr>
            <w:tcW w:type="dxa" w:w="2640"/>
            <w:vAlign w:val="center"/>
            <w:shd w:fill="203B4C"/>
          </w:tcPr>
          <w:p>
            <w:pPr>
              <w:pStyle w:val="TableHead"/>
              <w:keepNext/>
              <w:keepLines/>
            </w:pPr>
            <w:r>
              <w:rPr>
                <w:color w:val="FFFFFF"/>
              </w:rPr>
              <w:t>Standard supplier room</w:t>
            </w:r>
          </w:p>
        </w:tc>
        <w:tc>
          <w:tcPr>
            <w:tcW w:type="dxa" w:w="2155"/>
            <w:vAlign w:val="center"/>
            <w:shd w:fill="203B4C"/>
          </w:tcPr>
          <w:p>
            <w:pPr>
              <w:pStyle w:val="TableHead"/>
              <w:keepNext/>
              <w:keepLines/>
            </w:pPr>
            <w:r>
              <w:rPr>
                <w:color w:val="FFFFFF"/>
              </w:rPr>
              <w:t>Listed area</w:t>
            </w:r>
          </w:p>
        </w:tc>
        <w:tc>
          <w:tcPr>
            <w:tcW w:type="dxa" w:w="1786"/>
            <w:vAlign w:val="center"/>
            <w:shd w:fill="203B4C"/>
          </w:tcPr>
          <w:p>
            <w:pPr>
              <w:pStyle w:val="TableHead"/>
              <w:keepNext/>
              <w:keepLines/>
              <w:jc w:val="center"/>
            </w:pPr>
            <w:r>
              <w:rPr>
                <w:color w:val="FFFFFF"/>
              </w:rPr>
              <w:t>Listed players</w:t>
            </w:r>
          </w:p>
        </w:tc>
        <w:tc>
          <w:tcPr>
            <w:tcW w:type="dxa" w:w="3571"/>
            <w:vAlign w:val="center"/>
            <w:shd w:fill="203B4C"/>
          </w:tcPr>
          <w:p>
            <w:pPr>
              <w:pStyle w:val="TableHead"/>
              <w:keepNext/>
              <w:keepLines/>
              <w:jc w:val="center"/>
            </w:pPr>
            <w:r>
              <w:rPr>
                <w:color w:val="FFFFFF"/>
              </w:rPr>
              <w:t>Published AUD package benchmark</w:t>
            </w:r>
          </w:p>
        </w:tc>
      </w:tr>
      <w:tr>
        <w:trPr>
          <w:cantSplit/>
        </w:trPr>
        <w:tc>
          <w:tcPr>
            <w:tcW w:type="dxa" w:w="2640"/>
            <w:vAlign w:val="top"/>
            <w:shd w:fill="EDF2EE"/>
          </w:tcPr>
          <w:p>
            <w:pPr>
              <w:pStyle w:val="TableText"/>
              <w:keepNext w:val="0"/>
              <w:keepLines/>
            </w:pPr>
            <w:r>
              <w:t>Jungle</w:t>
            </w:r>
          </w:p>
        </w:tc>
        <w:tc>
          <w:tcPr>
            <w:tcW w:type="dxa" w:w="2155"/>
            <w:vAlign w:val="top"/>
            <w:shd w:fill="EDF2EE"/>
          </w:tcPr>
          <w:p>
            <w:pPr>
              <w:pStyle w:val="TableText"/>
              <w:keepNext w:val="0"/>
              <w:keepLines/>
            </w:pPr>
            <w:r>
              <w:t>30-50 m2</w:t>
            </w:r>
          </w:p>
        </w:tc>
        <w:tc>
          <w:tcPr>
            <w:tcW w:type="dxa" w:w="1786"/>
            <w:vAlign w:val="center"/>
            <w:shd w:fill="EDF2EE"/>
          </w:tcPr>
          <w:p>
            <w:pPr>
              <w:pStyle w:val="TableText"/>
              <w:keepNext w:val="0"/>
              <w:keepLines/>
              <w:jc w:val="center"/>
            </w:pPr>
            <w:r>
              <w:t>2-8</w:t>
            </w:r>
          </w:p>
        </w:tc>
        <w:tc>
          <w:tcPr>
            <w:tcW w:type="dxa" w:w="3571"/>
            <w:vAlign w:val="center"/>
            <w:shd w:fill="EDF2EE"/>
          </w:tcPr>
          <w:p>
            <w:pPr>
              <w:pStyle w:val="TableText"/>
              <w:keepNext w:val="0"/>
              <w:keepLines/>
              <w:jc w:val="center"/>
            </w:pPr>
            <w:r>
              <w:t>$42,500.00</w:t>
            </w:r>
          </w:p>
        </w:tc>
      </w:tr>
      <w:tr>
        <w:trPr>
          <w:cantSplit/>
        </w:trPr>
        <w:tc>
          <w:tcPr>
            <w:tcW w:type="dxa" w:w="2640"/>
            <w:vAlign w:val="top"/>
            <w:shd w:fill="FFFFFF"/>
          </w:tcPr>
          <w:p>
            <w:pPr>
              <w:pStyle w:val="TableText"/>
              <w:keepNext w:val="0"/>
              <w:keepLines/>
            </w:pPr>
            <w:r>
              <w:t>Magic School</w:t>
            </w:r>
          </w:p>
        </w:tc>
        <w:tc>
          <w:tcPr>
            <w:tcW w:type="dxa" w:w="2155"/>
            <w:vAlign w:val="top"/>
            <w:shd w:fill="FFFFFF"/>
          </w:tcPr>
          <w:p>
            <w:pPr>
              <w:pStyle w:val="TableText"/>
              <w:keepNext w:val="0"/>
              <w:keepLines/>
            </w:pPr>
            <w:r>
              <w:t>30-50 m2</w:t>
            </w:r>
          </w:p>
        </w:tc>
        <w:tc>
          <w:tcPr>
            <w:tcW w:type="dxa" w:w="1786"/>
            <w:vAlign w:val="center"/>
            <w:shd w:fill="FFFFFF"/>
          </w:tcPr>
          <w:p>
            <w:pPr>
              <w:pStyle w:val="TableText"/>
              <w:keepNext w:val="0"/>
              <w:keepLines/>
              <w:jc w:val="center"/>
            </w:pPr>
            <w:r>
              <w:t>2-6</w:t>
            </w:r>
          </w:p>
        </w:tc>
        <w:tc>
          <w:tcPr>
            <w:tcW w:type="dxa" w:w="3571"/>
            <w:vAlign w:val="center"/>
            <w:shd w:fill="FFFFFF"/>
          </w:tcPr>
          <w:p>
            <w:pPr>
              <w:pStyle w:val="TableText"/>
              <w:keepNext w:val="0"/>
              <w:keepLines/>
              <w:jc w:val="center"/>
            </w:pPr>
            <w:r>
              <w:t>$89,900.00</w:t>
            </w:r>
          </w:p>
        </w:tc>
      </w:tr>
      <w:tr>
        <w:trPr>
          <w:cantSplit/>
        </w:trPr>
        <w:tc>
          <w:tcPr>
            <w:tcW w:type="dxa" w:w="2640"/>
            <w:vAlign w:val="top"/>
            <w:shd w:fill="EDF2EE"/>
          </w:tcPr>
          <w:p>
            <w:pPr>
              <w:pStyle w:val="TableText"/>
              <w:keepNext w:val="0"/>
              <w:keepLines/>
            </w:pPr>
            <w:r>
              <w:t>Pharaoh</w:t>
            </w:r>
          </w:p>
        </w:tc>
        <w:tc>
          <w:tcPr>
            <w:tcW w:type="dxa" w:w="2155"/>
            <w:vAlign w:val="top"/>
            <w:shd w:fill="EDF2EE"/>
          </w:tcPr>
          <w:p>
            <w:pPr>
              <w:pStyle w:val="TableText"/>
              <w:keepNext w:val="0"/>
              <w:keepLines/>
            </w:pPr>
            <w:r>
              <w:t>30-70 m2</w:t>
            </w:r>
          </w:p>
        </w:tc>
        <w:tc>
          <w:tcPr>
            <w:tcW w:type="dxa" w:w="1786"/>
            <w:vAlign w:val="center"/>
            <w:shd w:fill="EDF2EE"/>
          </w:tcPr>
          <w:p>
            <w:pPr>
              <w:pStyle w:val="TableText"/>
              <w:keepNext w:val="0"/>
              <w:keepLines/>
              <w:jc w:val="center"/>
            </w:pPr>
            <w:r>
              <w:t>2-6</w:t>
            </w:r>
          </w:p>
        </w:tc>
        <w:tc>
          <w:tcPr>
            <w:tcW w:type="dxa" w:w="3571"/>
            <w:vAlign w:val="center"/>
            <w:shd w:fill="EDF2EE"/>
          </w:tcPr>
          <w:p>
            <w:pPr>
              <w:pStyle w:val="TableText"/>
              <w:keepNext w:val="0"/>
              <w:keepLines/>
              <w:jc w:val="center"/>
            </w:pPr>
            <w:r>
              <w:t>$63,300.00</w:t>
            </w:r>
          </w:p>
        </w:tc>
      </w:tr>
      <w:tr>
        <w:trPr>
          <w:cantSplit/>
        </w:trPr>
        <w:tc>
          <w:tcPr>
            <w:tcW w:type="dxa" w:w="2640"/>
            <w:vAlign w:val="top"/>
            <w:shd w:fill="FFFFFF"/>
          </w:tcPr>
          <w:p>
            <w:pPr>
              <w:pStyle w:val="TableText"/>
              <w:keepNext w:val="0"/>
              <w:keepLines/>
            </w:pPr>
            <w:r>
              <w:t>Vault32</w:t>
            </w:r>
          </w:p>
        </w:tc>
        <w:tc>
          <w:tcPr>
            <w:tcW w:type="dxa" w:w="2155"/>
            <w:vAlign w:val="top"/>
            <w:shd w:fill="FFFFFF"/>
          </w:tcPr>
          <w:p>
            <w:pPr>
              <w:pStyle w:val="TableText"/>
              <w:keepNext w:val="0"/>
              <w:keepLines/>
            </w:pPr>
            <w:r>
              <w:t>40-80 m2</w:t>
            </w:r>
          </w:p>
        </w:tc>
        <w:tc>
          <w:tcPr>
            <w:tcW w:type="dxa" w:w="1786"/>
            <w:vAlign w:val="center"/>
            <w:shd w:fill="FFFFFF"/>
          </w:tcPr>
          <w:p>
            <w:pPr>
              <w:pStyle w:val="TableText"/>
              <w:keepNext w:val="0"/>
              <w:keepLines/>
              <w:jc w:val="center"/>
            </w:pPr>
            <w:r>
              <w:t>2-10</w:t>
            </w:r>
          </w:p>
        </w:tc>
        <w:tc>
          <w:tcPr>
            <w:tcW w:type="dxa" w:w="3571"/>
            <w:vAlign w:val="center"/>
            <w:shd w:fill="FFFFFF"/>
          </w:tcPr>
          <w:p>
            <w:pPr>
              <w:pStyle w:val="TableText"/>
              <w:keepNext w:val="0"/>
              <w:keepLines/>
              <w:jc w:val="center"/>
            </w:pPr>
            <w:r>
              <w:t>$101,600.00</w:t>
            </w:r>
          </w:p>
        </w:tc>
      </w:tr>
    </w:tbl>
    <w:p>
      <w:pPr>
        <w:spacing w:after="20" w:before="0" w:line="240" w:lineRule="auto"/>
      </w:pPr>
      <w:r>
        <w:rPr>
          <w:sz w:val="6"/>
        </w:rPr>
      </w:r>
    </w:p>
    <w:p>
      <w:pPr/>
      <w:r>
        <w:t xml:space="preserve">The four displayed package prices sum to </w:t>
      </w:r>
      <w:r>
        <w:rPr>
          <w:b/>
        </w:rPr>
        <w:t>$297,300</w:t>
      </w:r>
      <w:r>
        <w:t>. This is a comparative collection of four standard products. It is not a commissioned configuration for this business. The supplier converts standard EUR configurations into AUD and says the fixed offer is set before production. Confirm content rights, accessible layout, no-hint behaviour, freight, taxes, site preparation, customisation and installation boundaries in the quote. Avoid double-counting props or AV already included in a chosen kit.</w:t>
      </w:r>
    </w:p>
    <w:p>
      <w:pPr/>
      <w:r>
        <w:t>Standard production is published as 60 working days; custom production is stated as 90 working days. Shipping, site works and acceptance follow their own schedules. A local custom build can be compared against the same output schedule and bill of quantities.</w:t>
      </w:r>
    </w:p>
    <w:p>
      <w:pPr>
        <w:pStyle w:val="SourceNote"/>
      </w:pPr>
      <w:r>
        <w:t xml:space="preserve">Sources: </w:t>
      </w:r>
      <w:hyperlink w:anchor="source_R117">
        <w:r>
          <w:rPr>
            <w:color w:val="275E67"/>
            <w:u w:val="single"/>
          </w:rPr>
          <w:t xml:space="preserve">R117</w:t>
        </w:r>
      </w:hyperlink>
    </w:p>
    <w:p>
      <w:bookmarkStart w:id="34" w:name="s_economics_Property_costs__pub_62063f"/>
      <w:pPr>
        <w:pStyle w:val="Heading2"/>
      </w:pPr>
      <w:r>
        <w:t>Property costs: published comparables, then a site-specific lease</w:t>
      </w:r>
      <w:bookmarkEnd w:id="34"/>
    </w:p>
    <w:p>
      <w:pPr/>
      <w:r>
        <w:t>The 300 m2 listing at 338 Lytton Road quotes $6,750 a month plus GST and outgoings, equivalent to $81,000 a year or $270/m2/year. The separate 300 m2 two-level property at 4/65 Riverside Place quotes $72,000 a year plus GST and outgoings, or $240/m2/year. The listings were updated in September 2026. They show the price basis and physical differences that need checking. They are not offers for the proposed 400 m2 layout. [</w:t>
      </w:r>
      <w:hyperlink w:anchor="source_R118">
        <w:r>
          <w:rPr>
            <w:color w:val="275E67"/>
            <w:u w:val="single"/>
          </w:rPr>
          <w:t xml:space="preserve">R118</w:t>
        </w:r>
      </w:hyperlink>
      <w:r>
        <w:t xml:space="preserve">, </w:t>
      </w:r>
      <w:hyperlink w:anchor="source_R119">
        <w:r>
          <w:rPr>
            <w:color w:val="275E67"/>
            <w:u w:val="single"/>
          </w:rPr>
          <w:t xml:space="preserve">R119</w:t>
        </w:r>
      </w:hyperlink>
      <w:r>
        <w:t>]</w:t>
      </w:r>
    </w:p>
    <w:p>
      <w:pPr/>
      <w:r>
        <w:t>The site register should record actual usable game area, reflection capacity, stairs and access, landlord works, parking, permitted use, fitout obligations, outgoings, bond/guarantee, rent reviews and make-good. A host contribution is recorded as an agreed contribution, not automatically as free space.</w:t>
      </w:r>
    </w:p>
    <w:p>
      <w:pPr>
        <w:pStyle w:val="SourceNote"/>
      </w:pPr>
      <w:r>
        <w:t xml:space="preserve">Sources: </w:t>
      </w:r>
      <w:hyperlink w:anchor="source_R118">
        <w:r>
          <w:rPr>
            <w:color w:val="275E67"/>
            <w:u w:val="single"/>
          </w:rPr>
          <w:t xml:space="preserve">R118</w:t>
        </w:r>
      </w:hyperlink>
      <w:r>
        <w:t xml:space="preserve">, </w:t>
      </w:r>
      <w:hyperlink w:anchor="source_R119">
        <w:r>
          <w:rPr>
            <w:color w:val="275E67"/>
            <w:u w:val="single"/>
          </w:rPr>
          <w:t xml:space="preserve">R119</w:t>
        </w:r>
      </w:hyperlink>
    </w:p>
    <w:p>
      <w:bookmarkStart w:id="35" w:name="s_economics_Software_and_AI_uni_9ee408"/>
      <w:pPr>
        <w:pStyle w:val="Heading2"/>
      </w:pPr>
      <w:r>
        <w:t>Software and AI unit-cost appendix</w:t>
      </w:r>
      <w:bookmarkEnd w:id="35"/>
    </w:p>
    <w:p>
      <w:pPr/>
      <w:r>
        <w:t>Current provider unit prices and explicit usage quantities make the software budget reviewable. The proposed operating roles remain inactive.</w:t>
      </w:r>
    </w:p>
    <w:p>
      <w:pPr>
        <w:pStyle w:val="Heading3"/>
      </w:pPr>
      <w:r>
        <w:t>Transcription counts every submitted participant channel</w:t>
      </w:r>
    </w:p>
    <w:p>
      <w:pPr/>
      <w:r>
        <w:t>The current official price example is OpenAI's file transcription model, gpt-transcribe, at an estimated US$0.0045 per audio minute. The published live transcription comparison is US$0.017 per minute. [</w:t>
      </w:r>
      <w:hyperlink w:anchor="source_R121">
        <w:r>
          <w:rPr>
            <w:color w:val="275E67"/>
            <w:u w:val="single"/>
          </w:rPr>
          <w:t xml:space="preserve">R121</w:t>
        </w:r>
      </w:hyperlink>
      <w:r>
        <w:t>][</w:t>
      </w:r>
      <w:hyperlink w:anchor="source_R122">
        <w:r>
          <w:rPr>
            <w:color w:val="275E67"/>
            <w:u w:val="single"/>
          </w:rPr>
          <w:t xml:space="preserve">R122</w:t>
        </w:r>
      </w:hyperlink>
      <w:r>
        <w:t>]</w:t>
      </w:r>
    </w:p>
    <w:p>
      <w:pPr/>
      <w:r>
        <w:t>Chargeable minutes equal sold teams × actual average recorded participants × minutes submitted per participant. The current product mix assumes 5.15 participants and 45 minutes of gameplay. Separate participant files each count for their full submitted duration. This does not assume that silence is free or that six channels are charged as one. The published multichannel billing principle is also explicit in Deepgram's official pricing documentation. [</w:t>
      </w:r>
      <w:hyperlink w:anchor="source_R124">
        <w:r>
          <w:rPr>
            <w:color w:val="275E67"/>
            <w:u w:val="single"/>
          </w:rPr>
          <w:t xml:space="preserve">R124</w:t>
        </w:r>
      </w:hyperlink>
      <w:r>
        <w:t>]</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479"/>
        <w:gridCol w:w="1252"/>
        <w:gridCol w:w="2591"/>
        <w:gridCol w:w="1915"/>
        <w:gridCol w:w="1915"/>
      </w:tblGrid>
      <w:tr>
        <w:trPr>
          <w:cantSplit/>
          <w:tblHeader w:val="true"/>
        </w:trPr>
        <w:tc>
          <w:tcPr>
            <w:tcW w:type="dxa" w:w="2479"/>
            <w:vAlign w:val="center"/>
            <w:shd w:fill="203B4C"/>
          </w:tcPr>
          <w:p>
            <w:pPr>
              <w:pStyle w:val="TableHead"/>
              <w:keepNext/>
              <w:keepLines/>
              <w:jc w:val="center"/>
            </w:pPr>
            <w:r>
              <w:rPr>
                <w:color w:val="FFFFFF"/>
              </w:rPr>
              <w:t>Four-room booking case</w:t>
            </w:r>
          </w:p>
        </w:tc>
        <w:tc>
          <w:tcPr>
            <w:tcW w:type="dxa" w:w="1252"/>
            <w:vAlign w:val="center"/>
            <w:shd w:fill="203B4C"/>
          </w:tcPr>
          <w:p>
            <w:pPr>
              <w:pStyle w:val="TableHead"/>
              <w:keepNext/>
              <w:keepLines/>
              <w:jc w:val="center"/>
            </w:pPr>
            <w:r>
              <w:rPr>
                <w:color w:val="FFFFFF"/>
              </w:rPr>
              <w:t>Sold teams</w:t>
            </w:r>
          </w:p>
        </w:tc>
        <w:tc>
          <w:tcPr>
            <w:tcW w:type="dxa" w:w="2591"/>
            <w:vAlign w:val="center"/>
            <w:shd w:fill="203B4C"/>
          </w:tcPr>
          <w:p>
            <w:pPr>
              <w:pStyle w:val="TableHead"/>
              <w:keepNext/>
              <w:keepLines/>
              <w:jc w:val="center"/>
            </w:pPr>
            <w:r>
              <w:rPr>
                <w:color w:val="FFFFFF"/>
              </w:rPr>
              <w:t>Submitted audio minutes</w:t>
            </w:r>
          </w:p>
        </w:tc>
        <w:tc>
          <w:tcPr>
            <w:tcW w:type="dxa" w:w="1915"/>
            <w:vAlign w:val="center"/>
            <w:shd w:fill="203B4C"/>
          </w:tcPr>
          <w:p>
            <w:pPr>
              <w:pStyle w:val="TableHead"/>
              <w:keepNext/>
              <w:keepLines/>
              <w:jc w:val="center"/>
            </w:pPr>
            <w:r>
              <w:rPr>
                <w:color w:val="FFFFFF"/>
              </w:rPr>
              <w:t>File example, US$</w:t>
            </w:r>
          </w:p>
        </w:tc>
        <w:tc>
          <w:tcPr>
            <w:tcW w:type="dxa" w:w="1915"/>
            <w:vAlign w:val="center"/>
            <w:shd w:fill="203B4C"/>
          </w:tcPr>
          <w:p>
            <w:pPr>
              <w:pStyle w:val="TableHead"/>
              <w:keepNext/>
              <w:keepLines/>
              <w:jc w:val="center"/>
            </w:pPr>
            <w:r>
              <w:rPr>
                <w:color w:val="FFFFFF"/>
              </w:rPr>
              <w:t>Live example, US$</w:t>
            </w:r>
          </w:p>
        </w:tc>
      </w:tr>
      <w:tr>
        <w:trPr>
          <w:cantSplit/>
        </w:trPr>
        <w:tc>
          <w:tcPr>
            <w:tcW w:type="dxa" w:w="2479"/>
            <w:vAlign w:val="center"/>
            <w:shd w:fill="EDF2EE"/>
          </w:tcPr>
          <w:p>
            <w:pPr>
              <w:pStyle w:val="TableText"/>
              <w:keepNext w:val="0"/>
              <w:keepLines/>
              <w:jc w:val="center"/>
            </w:pPr>
            <w:r>
              <w:t>30%</w:t>
            </w:r>
          </w:p>
        </w:tc>
        <w:tc>
          <w:tcPr>
            <w:tcW w:type="dxa" w:w="1252"/>
            <w:vAlign w:val="center"/>
            <w:shd w:fill="EDF2EE"/>
          </w:tcPr>
          <w:p>
            <w:pPr>
              <w:pStyle w:val="TableText"/>
              <w:keepNext w:val="0"/>
              <w:keepLines/>
              <w:jc w:val="center"/>
            </w:pPr>
            <w:r>
              <w:t>2,726.4</w:t>
            </w:r>
          </w:p>
        </w:tc>
        <w:tc>
          <w:tcPr>
            <w:tcW w:type="dxa" w:w="2591"/>
            <w:vAlign w:val="center"/>
            <w:shd w:fill="EDF2EE"/>
          </w:tcPr>
          <w:p>
            <w:pPr>
              <w:pStyle w:val="TableText"/>
              <w:keepNext w:val="0"/>
              <w:keepLines/>
              <w:jc w:val="center"/>
            </w:pPr>
            <w:r>
              <w:t>631,843.2</w:t>
            </w:r>
          </w:p>
        </w:tc>
        <w:tc>
          <w:tcPr>
            <w:tcW w:type="dxa" w:w="1915"/>
            <w:vAlign w:val="center"/>
            <w:shd w:fill="EDF2EE"/>
          </w:tcPr>
          <w:p>
            <w:pPr>
              <w:pStyle w:val="TableText"/>
              <w:keepNext w:val="0"/>
              <w:keepLines/>
              <w:jc w:val="center"/>
            </w:pPr>
            <w:r>
              <w:t>2,843.29</w:t>
            </w:r>
          </w:p>
        </w:tc>
        <w:tc>
          <w:tcPr>
            <w:tcW w:type="dxa" w:w="1915"/>
            <w:vAlign w:val="center"/>
            <w:shd w:fill="EDF2EE"/>
          </w:tcPr>
          <w:p>
            <w:pPr>
              <w:pStyle w:val="TableText"/>
              <w:keepNext w:val="0"/>
              <w:keepLines/>
              <w:jc w:val="center"/>
            </w:pPr>
            <w:r>
              <w:t>10,741.33</w:t>
            </w:r>
          </w:p>
        </w:tc>
      </w:tr>
      <w:tr>
        <w:trPr>
          <w:cantSplit/>
        </w:trPr>
        <w:tc>
          <w:tcPr>
            <w:tcW w:type="dxa" w:w="2479"/>
            <w:vAlign w:val="center"/>
            <w:shd w:fill="FFFFFF"/>
          </w:tcPr>
          <w:p>
            <w:pPr>
              <w:pStyle w:val="TableText"/>
              <w:keepNext w:val="0"/>
              <w:keepLines/>
              <w:jc w:val="center"/>
            </w:pPr>
            <w:r>
              <w:t>50%</w:t>
            </w:r>
          </w:p>
        </w:tc>
        <w:tc>
          <w:tcPr>
            <w:tcW w:type="dxa" w:w="1252"/>
            <w:vAlign w:val="center"/>
            <w:shd w:fill="FFFFFF"/>
          </w:tcPr>
          <w:p>
            <w:pPr>
              <w:pStyle w:val="TableText"/>
              <w:keepNext w:val="0"/>
              <w:keepLines/>
              <w:jc w:val="center"/>
            </w:pPr>
            <w:r>
              <w:t>4,544.0</w:t>
            </w:r>
          </w:p>
        </w:tc>
        <w:tc>
          <w:tcPr>
            <w:tcW w:type="dxa" w:w="2591"/>
            <w:vAlign w:val="center"/>
            <w:shd w:fill="FFFFFF"/>
          </w:tcPr>
          <w:p>
            <w:pPr>
              <w:pStyle w:val="TableText"/>
              <w:keepNext w:val="0"/>
              <w:keepLines/>
              <w:jc w:val="center"/>
            </w:pPr>
            <w:r>
              <w:t>1,053,072.0</w:t>
            </w:r>
          </w:p>
        </w:tc>
        <w:tc>
          <w:tcPr>
            <w:tcW w:type="dxa" w:w="1915"/>
            <w:vAlign w:val="center"/>
            <w:shd w:fill="FFFFFF"/>
          </w:tcPr>
          <w:p>
            <w:pPr>
              <w:pStyle w:val="TableText"/>
              <w:keepNext w:val="0"/>
              <w:keepLines/>
              <w:jc w:val="center"/>
            </w:pPr>
            <w:r>
              <w:t>4,738.82</w:t>
            </w:r>
          </w:p>
        </w:tc>
        <w:tc>
          <w:tcPr>
            <w:tcW w:type="dxa" w:w="1915"/>
            <w:vAlign w:val="center"/>
            <w:shd w:fill="FFFFFF"/>
          </w:tcPr>
          <w:p>
            <w:pPr>
              <w:pStyle w:val="TableText"/>
              <w:keepNext w:val="0"/>
              <w:keepLines/>
              <w:jc w:val="center"/>
            </w:pPr>
            <w:r>
              <w:t>17,902.22</w:t>
            </w:r>
          </w:p>
        </w:tc>
      </w:tr>
      <w:tr>
        <w:trPr>
          <w:cantSplit/>
        </w:trPr>
        <w:tc>
          <w:tcPr>
            <w:tcW w:type="dxa" w:w="2479"/>
            <w:vAlign w:val="center"/>
            <w:shd w:fill="EDF2EE"/>
          </w:tcPr>
          <w:p>
            <w:pPr>
              <w:pStyle w:val="TableText"/>
              <w:keepNext w:val="0"/>
              <w:keepLines/>
              <w:jc w:val="center"/>
            </w:pPr>
            <w:r>
              <w:t>70%</w:t>
            </w:r>
          </w:p>
        </w:tc>
        <w:tc>
          <w:tcPr>
            <w:tcW w:type="dxa" w:w="1252"/>
            <w:vAlign w:val="center"/>
            <w:shd w:fill="EDF2EE"/>
          </w:tcPr>
          <w:p>
            <w:pPr>
              <w:pStyle w:val="TableText"/>
              <w:keepNext w:val="0"/>
              <w:keepLines/>
              <w:jc w:val="center"/>
            </w:pPr>
            <w:r>
              <w:t>6,361.6</w:t>
            </w:r>
          </w:p>
        </w:tc>
        <w:tc>
          <w:tcPr>
            <w:tcW w:type="dxa" w:w="2591"/>
            <w:vAlign w:val="center"/>
            <w:shd w:fill="EDF2EE"/>
          </w:tcPr>
          <w:p>
            <w:pPr>
              <w:pStyle w:val="TableText"/>
              <w:keepNext w:val="0"/>
              <w:keepLines/>
              <w:jc w:val="center"/>
            </w:pPr>
            <w:r>
              <w:t>1,474,300.8</w:t>
            </w:r>
          </w:p>
        </w:tc>
        <w:tc>
          <w:tcPr>
            <w:tcW w:type="dxa" w:w="1915"/>
            <w:vAlign w:val="center"/>
            <w:shd w:fill="EDF2EE"/>
          </w:tcPr>
          <w:p>
            <w:pPr>
              <w:pStyle w:val="TableText"/>
              <w:keepNext w:val="0"/>
              <w:keepLines/>
              <w:jc w:val="center"/>
            </w:pPr>
            <w:r>
              <w:t>6,634.35</w:t>
            </w:r>
          </w:p>
        </w:tc>
        <w:tc>
          <w:tcPr>
            <w:tcW w:type="dxa" w:w="1915"/>
            <w:vAlign w:val="center"/>
            <w:shd w:fill="EDF2EE"/>
          </w:tcPr>
          <w:p>
            <w:pPr>
              <w:pStyle w:val="TableText"/>
              <w:keepNext w:val="0"/>
              <w:keepLines/>
              <w:jc w:val="center"/>
            </w:pPr>
            <w:r>
              <w:t>25,063.11</w:t>
            </w:r>
          </w:p>
        </w:tc>
      </w:tr>
    </w:tbl>
    <w:p>
      <w:pPr>
        <w:spacing w:after="20" w:before="0" w:line="240" w:lineRule="auto"/>
      </w:pPr>
      <w:r>
        <w:rPr>
          <w:sz w:val="6"/>
        </w:rPr>
      </w:r>
    </w:p>
    <w:p>
      <w:pPr/>
      <w:r>
        <w:t>At 50%, the calculation is 4,544 × 5.15 × 45 = 1,053,072 submitted audio minutes. The file example is therefore US$4,738.82 per year. The 5.15 average currently matches paying participants; any recorded teachers, carers or facilitators increase recorded headcount even if they do not buy a ticket. Recording the debrief, retrying failed uploads or submitting duplicate files adds its actual duration. Do not budget promotional credits or a silence reduction before they exist.</w:t>
      </w:r>
    </w:p>
    <w:p>
      <w:pPr/>
      <w:r>
        <w:t>Post-play processing is the base example. Check actual turnaround, upload limits, accents, languages and noisy-room performance during the capture pilot before selecting a provider. Silent processing during play can also be tested without providing any in-game response. Actual turnaround determines the useful workflow.</w:t>
      </w:r>
    </w:p>
    <w:p>
      <w:pPr>
        <w:pStyle w:val="Heading3"/>
      </w:pPr>
      <w:r>
        <w:t>Price each proposed agent by its work</w:t>
      </w:r>
    </w:p>
    <w:p>
      <w:pPr/>
      <w:r>
        <w:t>A current standard token-price example is gpt-6.1-sol at US$2 per million uncached input tokens and US$10 per million output tokens. Web search costs US$0.01 per call plus retrieved content tokens; file search costs US$0.0025 per call plus relevant storage and model usage. [</w:t>
      </w:r>
      <w:hyperlink w:anchor="source_R121">
        <w:r>
          <w:rPr>
            <w:color w:val="275E67"/>
            <w:u w:val="single"/>
          </w:rPr>
          <w:t xml:space="preserve">R121</w:t>
        </w:r>
      </w:hyperlink>
      <w:r>
        <w:t>]</w:t>
      </w:r>
    </w:p>
    <w:p>
      <w:pPr/>
      <w:r>
        <w:t>The following two-call reflection package is a proposed usage budget to measure in the pilot. Input budgets include transcript, instructions and rubric; the second pass also includes the first draft. Output is for a qualified human facilitator to review. No cache or batch discount is assumed.</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4397"/>
        <w:gridCol w:w="1260"/>
        <w:gridCol w:w="1613"/>
        <w:gridCol w:w="1701"/>
        <w:gridCol w:w="1181"/>
      </w:tblGrid>
      <w:tr>
        <w:trPr>
          <w:cantSplit/>
          <w:tblHeader w:val="true"/>
        </w:trPr>
        <w:tc>
          <w:tcPr>
            <w:tcW w:type="dxa" w:w="4397"/>
            <w:vAlign w:val="center"/>
            <w:shd w:fill="203B4C"/>
          </w:tcPr>
          <w:p>
            <w:pPr>
              <w:pStyle w:val="TableHead"/>
              <w:keepNext/>
              <w:keepLines/>
            </w:pPr>
            <w:r>
              <w:rPr>
                <w:color w:val="FFFFFF"/>
              </w:rPr>
              <w:t>Proposed work</w:t>
            </w:r>
          </w:p>
        </w:tc>
        <w:tc>
          <w:tcPr>
            <w:tcW w:type="dxa" w:w="1260"/>
            <w:vAlign w:val="center"/>
            <w:shd w:fill="203B4C"/>
          </w:tcPr>
          <w:p>
            <w:pPr>
              <w:pStyle w:val="TableHead"/>
              <w:keepNext/>
              <w:keepLines/>
              <w:jc w:val="center"/>
            </w:pPr>
            <w:r>
              <w:rPr>
                <w:color w:val="FFFFFF"/>
              </w:rPr>
              <w:t>Calls per team</w:t>
            </w:r>
          </w:p>
        </w:tc>
        <w:tc>
          <w:tcPr>
            <w:tcW w:type="dxa" w:w="1613"/>
            <w:vAlign w:val="center"/>
            <w:shd w:fill="203B4C"/>
          </w:tcPr>
          <w:p>
            <w:pPr>
              <w:pStyle w:val="TableHead"/>
              <w:keepNext/>
              <w:keepLines/>
              <w:jc w:val="center"/>
            </w:pPr>
            <w:r>
              <w:rPr>
                <w:color w:val="FFFFFF"/>
              </w:rPr>
              <w:t>Input token budget</w:t>
            </w:r>
          </w:p>
        </w:tc>
        <w:tc>
          <w:tcPr>
            <w:tcW w:type="dxa" w:w="1701"/>
            <w:vAlign w:val="center"/>
            <w:shd w:fill="203B4C"/>
          </w:tcPr>
          <w:p>
            <w:pPr>
              <w:pStyle w:val="TableHead"/>
              <w:keepNext/>
              <w:keepLines/>
              <w:jc w:val="center"/>
            </w:pPr>
            <w:r>
              <w:rPr>
                <w:color w:val="FFFFFF"/>
              </w:rPr>
              <w:t>Output token budget</w:t>
            </w:r>
          </w:p>
        </w:tc>
        <w:tc>
          <w:tcPr>
            <w:tcW w:type="dxa" w:w="1181"/>
            <w:vAlign w:val="center"/>
            <w:shd w:fill="203B4C"/>
          </w:tcPr>
          <w:p>
            <w:pPr>
              <w:pStyle w:val="TableHead"/>
              <w:keepNext/>
              <w:keepLines/>
              <w:jc w:val="center"/>
            </w:pPr>
            <w:r>
              <w:rPr>
                <w:color w:val="FFFFFF"/>
              </w:rPr>
              <w:t>US$ per team</w:t>
            </w:r>
          </w:p>
        </w:tc>
      </w:tr>
      <w:tr>
        <w:trPr>
          <w:cantSplit/>
        </w:trPr>
        <w:tc>
          <w:tcPr>
            <w:tcW w:type="dxa" w:w="4397"/>
            <w:vAlign w:val="top"/>
            <w:shd w:fill="EDF2EE"/>
          </w:tcPr>
          <w:p>
            <w:pPr>
              <w:pStyle w:val="TableText"/>
              <w:keepNext w:val="0"/>
              <w:keepLines/>
            </w:pPr>
            <w:r>
              <w:t>Draft one team reflection from its authorised transcript and rubric</w:t>
            </w:r>
          </w:p>
        </w:tc>
        <w:tc>
          <w:tcPr>
            <w:tcW w:type="dxa" w:w="1260"/>
            <w:vAlign w:val="center"/>
            <w:shd w:fill="EDF2EE"/>
          </w:tcPr>
          <w:p>
            <w:pPr>
              <w:pStyle w:val="TableText"/>
              <w:keepNext w:val="0"/>
              <w:keepLines/>
              <w:jc w:val="center"/>
            </w:pPr>
            <w:r>
              <w:t>1</w:t>
            </w:r>
          </w:p>
        </w:tc>
        <w:tc>
          <w:tcPr>
            <w:tcW w:type="dxa" w:w="1613"/>
            <w:vAlign w:val="center"/>
            <w:shd w:fill="EDF2EE"/>
          </w:tcPr>
          <w:p>
            <w:pPr>
              <w:pStyle w:val="TableText"/>
              <w:keepNext w:val="0"/>
              <w:keepLines/>
              <w:jc w:val="center"/>
            </w:pPr>
            <w:r>
              <w:t>12,000</w:t>
            </w:r>
          </w:p>
        </w:tc>
        <w:tc>
          <w:tcPr>
            <w:tcW w:type="dxa" w:w="1701"/>
            <w:vAlign w:val="center"/>
            <w:shd w:fill="EDF2EE"/>
          </w:tcPr>
          <w:p>
            <w:pPr>
              <w:pStyle w:val="TableText"/>
              <w:keepNext w:val="0"/>
              <w:keepLines/>
              <w:jc w:val="center"/>
            </w:pPr>
            <w:r>
              <w:t>2,000</w:t>
            </w:r>
          </w:p>
        </w:tc>
        <w:tc>
          <w:tcPr>
            <w:tcW w:type="dxa" w:w="1181"/>
            <w:vAlign w:val="center"/>
            <w:shd w:fill="EDF2EE"/>
          </w:tcPr>
          <w:p>
            <w:pPr>
              <w:pStyle w:val="TableText"/>
              <w:keepNext w:val="0"/>
              <w:keepLines/>
              <w:jc w:val="center"/>
            </w:pPr>
            <w:r>
              <w:t>0.044</w:t>
            </w:r>
          </w:p>
        </w:tc>
      </w:tr>
      <w:tr>
        <w:trPr>
          <w:cantSplit/>
        </w:trPr>
        <w:tc>
          <w:tcPr>
            <w:tcW w:type="dxa" w:w="4397"/>
            <w:vAlign w:val="top"/>
            <w:shd w:fill="FFFFFF"/>
          </w:tcPr>
          <w:p>
            <w:pPr>
              <w:pStyle w:val="TableText"/>
              <w:keepNext w:val="0"/>
              <w:keepLines/>
            </w:pPr>
            <w:r>
              <w:t>Review the draft for evidence, alternatives and facilitator questions</w:t>
            </w:r>
          </w:p>
        </w:tc>
        <w:tc>
          <w:tcPr>
            <w:tcW w:type="dxa" w:w="1260"/>
            <w:vAlign w:val="center"/>
            <w:shd w:fill="FFFFFF"/>
          </w:tcPr>
          <w:p>
            <w:pPr>
              <w:pStyle w:val="TableText"/>
              <w:keepNext w:val="0"/>
              <w:keepLines/>
              <w:jc w:val="center"/>
            </w:pPr>
            <w:r>
              <w:t>1</w:t>
            </w:r>
          </w:p>
        </w:tc>
        <w:tc>
          <w:tcPr>
            <w:tcW w:type="dxa" w:w="1613"/>
            <w:vAlign w:val="center"/>
            <w:shd w:fill="FFFFFF"/>
          </w:tcPr>
          <w:p>
            <w:pPr>
              <w:pStyle w:val="TableText"/>
              <w:keepNext w:val="0"/>
              <w:keepLines/>
              <w:jc w:val="center"/>
            </w:pPr>
            <w:r>
              <w:t>14,000</w:t>
            </w:r>
          </w:p>
        </w:tc>
        <w:tc>
          <w:tcPr>
            <w:tcW w:type="dxa" w:w="1701"/>
            <w:vAlign w:val="center"/>
            <w:shd w:fill="FFFFFF"/>
          </w:tcPr>
          <w:p>
            <w:pPr>
              <w:pStyle w:val="TableText"/>
              <w:keepNext w:val="0"/>
              <w:keepLines/>
              <w:jc w:val="center"/>
            </w:pPr>
            <w:r>
              <w:t>2,000</w:t>
            </w:r>
          </w:p>
        </w:tc>
        <w:tc>
          <w:tcPr>
            <w:tcW w:type="dxa" w:w="1181"/>
            <w:vAlign w:val="center"/>
            <w:shd w:fill="FFFFFF"/>
          </w:tcPr>
          <w:p>
            <w:pPr>
              <w:pStyle w:val="TableText"/>
              <w:keepNext w:val="0"/>
              <w:keepLines/>
              <w:jc w:val="center"/>
            </w:pPr>
            <w:r>
              <w:t>0.048</w:t>
            </w:r>
          </w:p>
        </w:tc>
      </w:tr>
    </w:tbl>
    <w:p>
      <w:pPr>
        <w:spacing w:after="20" w:before="0" w:line="240" w:lineRule="auto"/>
      </w:pPr>
      <w:r>
        <w:rPr>
          <w:sz w:val="6"/>
        </w:rPr>
      </w:r>
    </w:p>
    <w:p>
      <w:pPr/>
      <w:r>
        <w:t>The two-call package totals US$0.092 per team, or US$418.05 for 4,544 teams. Actual long transcripts, more revisions, additional analysis or larger models change the cost. This example does not claim that every team fits the token budget or that analysis is complete without human judgment.</w:t>
      </w:r>
    </w:p>
    <w:p>
      <w:pPr/>
      <w:r>
        <w:t>For any provider, calculate each approved role as:</w:t>
      </w:r>
    </w:p>
    <w:p>
      <w:pPr/>
      <w:r>
        <w:t>Runs × [(uncached input tokens × input rate + cached reads × cached rate + billable cache writes × write rate + billable output tokens × output rate) ÷ 1,000,000 + tool actions × their individual charges], then add actual compute, storage, connector and licence costs.</w:t>
      </w:r>
    </w:p>
    <w:p>
      <w:pPr/>
      <w:r>
        <w:t>Count every model call and retry in a multi-step run. Include billable reasoning output where charged. A proposed planning deliverable using 20,000 uncached input tokens, 4,000 output tokens and three web searches costs US$0.11 at these unit prices, provided retrieved search tokens fit within the stated input budget. Its monthly total is US$0.11 × the approved number of runs, plus any other specified service costs. Monthly role volumes remain unset until Luke approves their actual tasks and limits.</w:t>
      </w:r>
    </w:p>
    <w:p>
      <w:pPr/>
      <w:r>
        <w:t>The operating role budget therefore records deliverable, runs, calls per run, input and output tokens, tool actions, retry count, storage and compute units, human review hours, monthly cap and actual spend. Set action permissions separately from spending permissions. A budget for a proposed research role does not authorise contacting contractors, placing orders or publishing commitments.</w:t>
      </w:r>
    </w:p>
    <w:p>
      <w:pPr>
        <w:pStyle w:val="Heading3"/>
      </w:pPr>
      <w:r>
        <w:t>Currency and remaining software costs</w:t>
      </w:r>
    </w:p>
    <w:p>
      <w:pPr/>
      <w:r>
        <w:t>API credits are currently purchased in US dollars. [</w:t>
      </w:r>
      <w:hyperlink w:anchor="source_R123">
        <w:r>
          <w:rPr>
            <w:color w:val="275E67"/>
            <w:u w:val="single"/>
          </w:rPr>
          <w:t xml:space="preserve">R123</w:t>
        </w:r>
      </w:hyperlink>
      <w:r>
        <w:t>] Convert the actual USD invoice at the actual AUD paid per USD, add payment and foreign-exchange charges and applicable taxes, and deduct only eligible input tax credits. Do not mix the USD appendix directly into the AUD tables.</w:t>
      </w:r>
    </w:p>
    <w:p>
      <w:pPr/>
      <w:r>
        <w:t>Booking integration, secure hosting, storage, backup, retention, workflow implementation, testing, maintenance, connector seats and additional human review still need their own quantities and quotes. The facilitator's existing time allocation covers review only if the pilot shows it fits; otherwise add the measured time. The published venue headroom is still before software and these other costs, so it remains a capacity to pay costs rather than a profit claim.</w:t>
      </w:r>
    </w:p>
    <w:p>
      <w:pPr>
        <w:pStyle w:val="SourceNote"/>
      </w:pPr>
      <w:r>
        <w:t xml:space="preserve">Sources: </w:t>
      </w:r>
      <w:hyperlink w:anchor="source_R121">
        <w:r>
          <w:rPr>
            <w:color w:val="275E67"/>
            <w:u w:val="single"/>
          </w:rPr>
          <w:t xml:space="preserve">R121</w:t>
        </w:r>
      </w:hyperlink>
      <w:r>
        <w:t xml:space="preserve">, </w:t>
      </w:r>
      <w:hyperlink w:anchor="source_R122">
        <w:r>
          <w:rPr>
            <w:color w:val="275E67"/>
            <w:u w:val="single"/>
          </w:rPr>
          <w:t xml:space="preserve">R122</w:t>
        </w:r>
      </w:hyperlink>
      <w:r>
        <w:t xml:space="preserve">, </w:t>
      </w:r>
      <w:hyperlink w:anchor="source_R123">
        <w:r>
          <w:rPr>
            <w:color w:val="275E67"/>
            <w:u w:val="single"/>
          </w:rPr>
          <w:t xml:space="preserve">R123</w:t>
        </w:r>
      </w:hyperlink>
      <w:r>
        <w:t xml:space="preserve">, </w:t>
      </w:r>
      <w:hyperlink w:anchor="source_R124">
        <w:r>
          <w:rPr>
            <w:color w:val="275E67"/>
            <w:u w:val="single"/>
          </w:rPr>
          <w:t xml:space="preserve">R124</w:t>
        </w:r>
      </w:hyperlink>
    </w:p>
    <w:p>
      <w:bookmarkStart w:id="36" w:name="s_economics_Quote_register_requ_3175db"/>
      <w:pPr>
        <w:pStyle w:val="Heading2"/>
      </w:pPr>
      <w:r>
        <w:t>Quote register required to finish the full budget</w:t>
      </w:r>
      <w:bookmarkEnd w:id="36"/>
    </w:p>
    <w:p>
      <w:pPr/>
      <w:r>
        <w:t>The following packages remain in the plan with a blank price, not zero. Each needs scope, quantity, supplier, date, tax basis, inclusions, acceptance, payment dates and renewal responsibility.</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3423"/>
        <w:gridCol w:w="6729"/>
      </w:tblGrid>
      <w:tr>
        <w:trPr>
          <w:cantSplit/>
          <w:tblHeader w:val="true"/>
        </w:trPr>
        <w:tc>
          <w:tcPr>
            <w:tcW w:type="dxa" w:w="3423"/>
            <w:vAlign w:val="center"/>
            <w:shd w:fill="203B4C"/>
          </w:tcPr>
          <w:p>
            <w:pPr>
              <w:pStyle w:val="TableHead"/>
              <w:keepNext/>
              <w:keepLines/>
            </w:pPr>
            <w:r>
              <w:rPr>
                <w:color w:val="FFFFFF"/>
              </w:rPr>
              <w:t>Package</w:t>
            </w:r>
          </w:p>
        </w:tc>
        <w:tc>
          <w:tcPr>
            <w:tcW w:type="dxa" w:w="6729"/>
            <w:vAlign w:val="center"/>
            <w:shd w:fill="203B4C"/>
          </w:tcPr>
          <w:p>
            <w:pPr>
              <w:pStyle w:val="TableHead"/>
              <w:keepNext/>
              <w:keepLines/>
            </w:pPr>
            <w:r>
              <w:rPr>
                <w:color w:val="FFFFFF"/>
              </w:rPr>
              <w:t>Required scope</w:t>
            </w:r>
          </w:p>
        </w:tc>
      </w:tr>
      <w:tr>
        <w:trPr>
          <w:cantSplit/>
        </w:trPr>
        <w:tc>
          <w:tcPr>
            <w:tcW w:type="dxa" w:w="3423"/>
            <w:vAlign w:val="top"/>
            <w:shd w:fill="EDF2EE"/>
          </w:tcPr>
          <w:p>
            <w:pPr>
              <w:pStyle w:val="TableText"/>
              <w:keepNext w:val="0"/>
              <w:keepLines/>
            </w:pPr>
            <w:r>
              <w:t>Q01 Premises rent and outgoings</w:t>
            </w:r>
          </w:p>
        </w:tc>
        <w:tc>
          <w:tcPr>
            <w:tcW w:type="dxa" w:w="6729"/>
            <w:vAlign w:val="top"/>
            <w:shd w:fill="EDF2EE"/>
          </w:tcPr>
          <w:p>
            <w:pPr>
              <w:pStyle w:val="TableText"/>
              <w:keepNext w:val="0"/>
              <w:keepLines/>
            </w:pPr>
            <w:r>
              <w:t>Selected 400 m2 venue or host agreement, actual area and use approval, parking, landlord works, rent review and outgoings schedule. Published 300 m2 comparables are not a 400 m2 quote.</w:t>
            </w:r>
          </w:p>
        </w:tc>
      </w:tr>
      <w:tr>
        <w:trPr>
          <w:cantSplit/>
        </w:trPr>
        <w:tc>
          <w:tcPr>
            <w:tcW w:type="dxa" w:w="3423"/>
            <w:vAlign w:val="top"/>
            <w:shd w:fill="FFFFFF"/>
          </w:tcPr>
          <w:p>
            <w:pPr>
              <w:pStyle w:val="TableText"/>
              <w:keepNext w:val="0"/>
              <w:keepLines/>
            </w:pPr>
            <w:r>
              <w:t>Q02 Building design and approvals</w:t>
            </w:r>
          </w:p>
        </w:tc>
        <w:tc>
          <w:tcPr>
            <w:tcW w:type="dxa" w:w="6729"/>
            <w:vAlign w:val="top"/>
            <w:shd w:fill="FFFFFF"/>
          </w:tcPr>
          <w:p>
            <w:pPr>
              <w:pStyle w:val="TableText"/>
              <w:keepNext w:val="0"/>
              <w:keepLines/>
            </w:pPr>
            <w:r>
              <w:t>Measured layout, acoustic design, building/fire/access review and certification fees.</w:t>
            </w:r>
          </w:p>
        </w:tc>
      </w:tr>
      <w:tr>
        <w:trPr>
          <w:cantSplit/>
        </w:trPr>
        <w:tc>
          <w:tcPr>
            <w:tcW w:type="dxa" w:w="3423"/>
            <w:vAlign w:val="top"/>
            <w:shd w:fill="EDF2EE"/>
          </w:tcPr>
          <w:p>
            <w:pPr>
              <w:pStyle w:val="TableText"/>
              <w:keepNext w:val="0"/>
              <w:keepLines/>
            </w:pPr>
            <w:r>
              <w:t>Q03 Partitions, doors and finishes</w:t>
            </w:r>
          </w:p>
        </w:tc>
        <w:tc>
          <w:tcPr>
            <w:tcW w:type="dxa" w:w="6729"/>
            <w:vAlign w:val="top"/>
            <w:shd w:fill="EDF2EE"/>
          </w:tcPr>
          <w:p>
            <w:pPr>
              <w:pStyle w:val="TableText"/>
              <w:keepNext w:val="0"/>
              <w:keepLines/>
            </w:pPr>
            <w:r>
              <w:t>Measured linear metres, wall height, door schedule, acoustic/fire performance, floor finish area, materials and installed labour.</w:t>
            </w:r>
          </w:p>
        </w:tc>
      </w:tr>
      <w:tr>
        <w:trPr>
          <w:cantSplit/>
        </w:trPr>
        <w:tc>
          <w:tcPr>
            <w:tcW w:type="dxa" w:w="3423"/>
            <w:vAlign w:val="top"/>
            <w:shd w:fill="FFFFFF"/>
          </w:tcPr>
          <w:p>
            <w:pPr>
              <w:pStyle w:val="TableText"/>
              <w:keepNext w:val="0"/>
              <w:keepLines/>
            </w:pPr>
            <w:r>
              <w:t>Q04 Ventilation and cooling</w:t>
            </w:r>
          </w:p>
        </w:tc>
        <w:tc>
          <w:tcPr>
            <w:tcW w:type="dxa" w:w="6729"/>
            <w:vAlign w:val="top"/>
            <w:shd w:fill="FFFFFF"/>
          </w:tcPr>
          <w:p>
            <w:pPr>
              <w:pStyle w:val="TableText"/>
              <w:keepNext w:val="0"/>
              <w:keepLines/>
            </w:pPr>
            <w:r>
              <w:t>Occupancy and heat-load design, duct routes, fresh air, plant scope and installed electrical work.</w:t>
            </w:r>
          </w:p>
        </w:tc>
      </w:tr>
      <w:tr>
        <w:trPr>
          <w:cantSplit/>
        </w:trPr>
        <w:tc>
          <w:tcPr>
            <w:tcW w:type="dxa" w:w="3423"/>
            <w:vAlign w:val="top"/>
            <w:shd w:fill="EDF2EE"/>
          </w:tcPr>
          <w:p>
            <w:pPr>
              <w:pStyle w:val="TableText"/>
              <w:keepNext w:val="0"/>
              <w:keepLines/>
            </w:pPr>
            <w:r>
              <w:t>Q05 Electrical and data materials</w:t>
            </w:r>
          </w:p>
        </w:tc>
        <w:tc>
          <w:tcPr>
            <w:tcW w:type="dxa" w:w="6729"/>
            <w:vAlign w:val="top"/>
            <w:shd w:fill="EDF2EE"/>
          </w:tcPr>
          <w:p>
            <w:pPr>
              <w:pStyle w:val="TableText"/>
              <w:keepNext w:val="0"/>
              <w:keepLines/>
            </w:pPr>
            <w:r>
              <w:t>Confirmed points/circuits, distribution, testing, data cabling and controls. T04 is only an attendance cost example.</w:t>
            </w:r>
          </w:p>
        </w:tc>
      </w:tr>
      <w:tr>
        <w:trPr>
          <w:cantSplit/>
        </w:trPr>
        <w:tc>
          <w:tcPr>
            <w:tcW w:type="dxa" w:w="3423"/>
            <w:vAlign w:val="top"/>
            <w:shd w:fill="FFFFFF"/>
          </w:tcPr>
          <w:p>
            <w:pPr>
              <w:pStyle w:val="TableText"/>
              <w:keepNext w:val="0"/>
              <w:keepLines/>
            </w:pPr>
            <w:r>
              <w:t>Q06 Room design and content rights</w:t>
            </w:r>
          </w:p>
        </w:tc>
        <w:tc>
          <w:tcPr>
            <w:tcW w:type="dxa" w:w="6729"/>
            <w:vAlign w:val="top"/>
            <w:shd w:fill="FFFFFF"/>
          </w:tcPr>
          <w:p>
            <w:pPr>
              <w:pStyle w:val="TableText"/>
              <w:keepNext w:val="0"/>
              <w:keepLines/>
            </w:pPr>
            <w:r>
              <w:t>Four no-hint scenarios, version routes, local story permissions, prototype/fresh group testing, manuals and rights schedule. Supplier standard kits are comparison products.</w:t>
            </w:r>
          </w:p>
        </w:tc>
      </w:tr>
      <w:tr>
        <w:trPr>
          <w:cantSplit/>
        </w:trPr>
        <w:tc>
          <w:tcPr>
            <w:tcW w:type="dxa" w:w="3423"/>
            <w:vAlign w:val="top"/>
            <w:shd w:fill="EDF2EE"/>
          </w:tcPr>
          <w:p>
            <w:pPr>
              <w:pStyle w:val="TableText"/>
              <w:keepNext w:val="0"/>
              <w:keepLines/>
            </w:pPr>
            <w:r>
              <w:t>Q07 Room kit landed cost</w:t>
            </w:r>
          </w:p>
        </w:tc>
        <w:tc>
          <w:tcPr>
            <w:tcW w:type="dxa" w:w="6729"/>
            <w:vAlign w:val="top"/>
            <w:shd w:fill="EDF2EE"/>
          </w:tcPr>
          <w:p>
            <w:pPr>
              <w:pStyle w:val="TableText"/>
              <w:keepNext w:val="0"/>
              <w:keepLines/>
            </w:pPr>
            <w:r>
              <w:t>Written configuration price, currency basis, packing, freight, customs/import GST, inland delivery and installation boundaries.</w:t>
            </w:r>
          </w:p>
        </w:tc>
      </w:tr>
      <w:tr>
        <w:trPr>
          <w:cantSplit/>
        </w:trPr>
        <w:tc>
          <w:tcPr>
            <w:tcW w:type="dxa" w:w="3423"/>
            <w:vAlign w:val="top"/>
            <w:shd w:fill="FFFFFF"/>
          </w:tcPr>
          <w:p>
            <w:pPr>
              <w:pStyle w:val="TableText"/>
              <w:keepNext w:val="0"/>
              <w:keepLines/>
            </w:pPr>
            <w:r>
              <w:t>Q08 Multi-room audio and monitoring</w:t>
            </w:r>
          </w:p>
        </w:tc>
        <w:tc>
          <w:tcPr>
            <w:tcW w:type="dxa" w:w="6729"/>
            <w:vAlign w:val="top"/>
            <w:shd w:fill="FFFFFF"/>
          </w:tcPr>
          <w:p>
            <w:pPr>
              <w:pStyle w:val="TableText"/>
              <w:keepNext w:val="0"/>
              <w:keepLines/>
            </w:pPr>
            <w:r>
              <w:t>Site RF/acoustic survey, 12 or 24 participant capture, time alignment, live monitoring, recording/analysis architecture, data retention, storage, playback and acceptance test. No automatic multiplication of consumer kit.</w:t>
            </w:r>
          </w:p>
        </w:tc>
      </w:tr>
      <w:tr>
        <w:trPr>
          <w:cantSplit/>
        </w:trPr>
        <w:tc>
          <w:tcPr>
            <w:tcW w:type="dxa" w:w="3423"/>
            <w:vAlign w:val="top"/>
            <w:shd w:fill="EDF2EE"/>
          </w:tcPr>
          <w:p>
            <w:pPr>
              <w:pStyle w:val="TableText"/>
              <w:keepNext w:val="0"/>
              <w:keepLines/>
            </w:pPr>
            <w:r>
              <w:t>Q09 Software and AI services</w:t>
            </w:r>
          </w:p>
        </w:tc>
        <w:tc>
          <w:tcPr>
            <w:tcW w:type="dxa" w:w="6729"/>
            <w:vAlign w:val="top"/>
            <w:shd w:fill="EDF2EE"/>
          </w:tcPr>
          <w:p>
            <w:pPr>
              <w:pStyle w:val="TableText"/>
              <w:keepNext w:val="0"/>
              <w:keepLines/>
            </w:pPr>
            <w:r>
              <w:t>Approved agent role build, booking integration, source access, usage volumes, selected inference/API rate card and monitoring. Operating roles remain inactive until Luke approves.</w:t>
            </w:r>
          </w:p>
        </w:tc>
      </w:tr>
      <w:tr>
        <w:trPr>
          <w:cantSplit/>
        </w:trPr>
        <w:tc>
          <w:tcPr>
            <w:tcW w:type="dxa" w:w="3423"/>
            <w:vAlign w:val="top"/>
            <w:shd w:fill="FFFFFF"/>
          </w:tcPr>
          <w:p>
            <w:pPr>
              <w:pStyle w:val="TableText"/>
              <w:keepNext w:val="0"/>
              <w:keepLines/>
            </w:pPr>
            <w:r>
              <w:t>Q10 Professional and insurance</w:t>
            </w:r>
          </w:p>
        </w:tc>
        <w:tc>
          <w:tcPr>
            <w:tcW w:type="dxa" w:w="6729"/>
            <w:vAlign w:val="top"/>
            <w:shd w:fill="FFFFFF"/>
          </w:tcPr>
          <w:p>
            <w:pPr>
              <w:pStyle w:val="TableText"/>
              <w:keepNext w:val="0"/>
              <w:keepLines/>
            </w:pPr>
            <w:r>
              <w:t>Legal/accounting service scope, public liability, property/contents, business interruption, cyber cover, workers compensation, applicable payroll tax and licences.</w:t>
            </w:r>
          </w:p>
        </w:tc>
      </w:tr>
      <w:tr>
        <w:trPr>
          <w:cantSplit/>
        </w:trPr>
        <w:tc>
          <w:tcPr>
            <w:tcW w:type="dxa" w:w="3423"/>
            <w:vAlign w:val="top"/>
            <w:shd w:fill="EDF2EE"/>
          </w:tcPr>
          <w:p>
            <w:pPr>
              <w:pStyle w:val="TableText"/>
              <w:keepNext w:val="0"/>
              <w:keepLines/>
            </w:pPr>
            <w:r>
              <w:t>Q11 Management and paid specialist work</w:t>
            </w:r>
          </w:p>
        </w:tc>
        <w:tc>
          <w:tcPr>
            <w:tcW w:type="dxa" w:w="6729"/>
            <w:vAlign w:val="top"/>
            <w:shd w:fill="EDF2EE"/>
          </w:tcPr>
          <w:p>
            <w:pPr>
              <w:pStyle w:val="TableText"/>
              <w:keepNext w:val="0"/>
              <w:keepLines/>
            </w:pPr>
            <w:r>
              <w:t>Luke remuneration allocation, venue manager duties/hours, specialist facilitation, breaks, child/access support, leave/relief and roster minimum-engagement effects.</w:t>
            </w:r>
          </w:p>
        </w:tc>
      </w:tr>
      <w:tr>
        <w:trPr>
          <w:cantSplit/>
        </w:trPr>
        <w:tc>
          <w:tcPr>
            <w:tcW w:type="dxa" w:w="3423"/>
            <w:vAlign w:val="top"/>
            <w:shd w:fill="FFFFFF"/>
          </w:tcPr>
          <w:p>
            <w:pPr>
              <w:pStyle w:val="TableText"/>
              <w:keepNext w:val="0"/>
              <w:keepLines/>
            </w:pPr>
            <w:r>
              <w:t>Q12 Opening and ongoing consumables</w:t>
            </w:r>
          </w:p>
        </w:tc>
        <w:tc>
          <w:tcPr>
            <w:tcW w:type="dxa" w:w="6729"/>
            <w:vAlign w:val="top"/>
            <w:shd w:fill="FFFFFF"/>
          </w:tcPr>
          <w:p>
            <w:pPr>
              <w:pStyle w:val="TableText"/>
              <w:keepNext w:val="0"/>
              <w:keepLines/>
            </w:pPr>
            <w:r>
              <w:t>Measured per-session cleaning/mic hygiene, printing, broken prop replacement, laundry and waste; quantity×actual supplier unit price.</w:t>
            </w:r>
          </w:p>
        </w:tc>
      </w:tr>
      <w:tr>
        <w:trPr>
          <w:cantSplit/>
        </w:trPr>
        <w:tc>
          <w:tcPr>
            <w:tcW w:type="dxa" w:w="3423"/>
            <w:vAlign w:val="top"/>
            <w:shd w:fill="EDF2EE"/>
          </w:tcPr>
          <w:p>
            <w:pPr>
              <w:pStyle w:val="TableText"/>
              <w:keepNext w:val="0"/>
              <w:keepLines/>
            </w:pPr>
            <w:r>
              <w:t>Q13 Utilities, connectivity and premises services</w:t>
            </w:r>
          </w:p>
        </w:tc>
        <w:tc>
          <w:tcPr>
            <w:tcW w:type="dxa" w:w="6729"/>
            <w:vAlign w:val="top"/>
            <w:shd w:fill="EDF2EE"/>
          </w:tcPr>
          <w:p>
            <w:pPr>
              <w:pStyle w:val="TableText"/>
              <w:keepNext w:val="0"/>
              <w:keepLines/>
            </w:pPr>
            <w:r>
              <w:t>Selected tariff/contract, meter/load schedule, hours, water, waste, cleaning and maintenance contracts.</w:t>
            </w:r>
          </w:p>
        </w:tc>
      </w:tr>
      <w:tr>
        <w:trPr>
          <w:cantSplit/>
        </w:trPr>
        <w:tc>
          <w:tcPr>
            <w:tcW w:type="dxa" w:w="3423"/>
            <w:vAlign w:val="top"/>
            <w:shd w:fill="FFFFFF"/>
          </w:tcPr>
          <w:p>
            <w:pPr>
              <w:pStyle w:val="TableText"/>
              <w:keepNext w:val="0"/>
              <w:keepLines/>
            </w:pPr>
            <w:r>
              <w:t>Q14 Tourism distribution and promotion</w:t>
            </w:r>
          </w:p>
        </w:tc>
        <w:tc>
          <w:tcPr>
            <w:tcW w:type="dxa" w:w="6729"/>
            <w:vAlign w:val="top"/>
            <w:shd w:fill="FFFFFF"/>
          </w:tcPr>
          <w:p>
            <w:pPr>
              <w:pStyle w:val="TableText"/>
              <w:keepNext w:val="0"/>
              <w:keepLines/>
            </w:pPr>
            <w:r>
              <w:t>Actual referral agreements, portal fees, advertising quantities/rates, pass settlement administration and refunds.</w:t>
            </w:r>
          </w:p>
        </w:tc>
      </w:tr>
      <w:tr>
        <w:trPr>
          <w:cantSplit/>
        </w:trPr>
        <w:tc>
          <w:tcPr>
            <w:tcW w:type="dxa" w:w="3423"/>
            <w:vAlign w:val="top"/>
            <w:shd w:fill="EDF2EE"/>
          </w:tcPr>
          <w:p>
            <w:pPr>
              <w:pStyle w:val="TableText"/>
              <w:keepNext w:val="0"/>
              <w:keepLines/>
            </w:pPr>
            <w:r>
              <w:t>Q15 Freight, secondhand inspection and make-good</w:t>
            </w:r>
          </w:p>
        </w:tc>
        <w:tc>
          <w:tcPr>
            <w:tcW w:type="dxa" w:w="6729"/>
            <w:vAlign w:val="top"/>
            <w:shd w:fill="EDF2EE"/>
          </w:tcPr>
          <w:p>
            <w:pPr>
              <w:pStyle w:val="TableText"/>
              <w:keepNext w:val="0"/>
              <w:keepLines/>
            </w:pPr>
            <w:r>
              <w:t>Collection/delivery, repair, cleaning, assembly, anchoring, remaining service life, end-of-lease removal and waste charges.</w:t>
            </w:r>
          </w:p>
        </w:tc>
      </w:tr>
      <w:tr>
        <w:trPr>
          <w:cantSplit/>
        </w:trPr>
        <w:tc>
          <w:tcPr>
            <w:tcW w:type="dxa" w:w="3423"/>
            <w:vAlign w:val="top"/>
            <w:shd w:fill="FFFFFF"/>
          </w:tcPr>
          <w:p>
            <w:pPr>
              <w:pStyle w:val="TableText"/>
              <w:keepNext w:val="0"/>
              <w:keepLines/>
            </w:pPr>
            <w:r>
              <w:t>Q16 Contingency and financing</w:t>
            </w:r>
          </w:p>
        </w:tc>
        <w:tc>
          <w:tcPr>
            <w:tcW w:type="dxa" w:w="6729"/>
            <w:vAlign w:val="top"/>
            <w:shd w:fill="FFFFFF"/>
          </w:tcPr>
          <w:p>
            <w:pPr>
              <w:pStyle w:val="TableText"/>
              <w:keepNext w:val="0"/>
              <w:keepLines/>
            </w:pPr>
            <w:r>
              <w:t>Itemised risk register priced after scope/quotes; loan terms, fees, cash timing and tax. No invented flat percentage substituted for unresolved scope.</w:t>
            </w:r>
          </w:p>
        </w:tc>
      </w:tr>
    </w:tbl>
    <w:p>
      <w:pPr>
        <w:spacing w:after="20" w:before="0" w:line="240" w:lineRule="auto"/>
      </w:pPr>
      <w:r>
        <w:rPr>
          <w:sz w:val="6"/>
        </w:rPr>
      </w:r>
    </w:p>
    <w:p>
      <w:pPr/>
      <w:r>
        <w:t>Once these are completed, publish the full startup requirement, monthly cash ramp, venue operating result, central network operating result and funding terms together. The current arithmetic provides a reviewable commercial structure and a source-priced starting bill without hiding the remaining work inside invented totals.</w:t>
      </w:r>
    </w:p>
    <w:p>
      <w:bookmarkStart w:id="37" w:name="chapter_finance"/>
      <w:pPr>
        <w:pStyle w:val="Heading1"/>
        <w:pageBreakBefore/>
      </w:pPr>
      <w:r>
        <w:t>Finance, settlements and local ownership</w:t>
      </w:r>
      <w:bookmarkEnd w:id="37"/>
    </w:p>
    <w:p>
      <w:pPr>
        <w:pStyle w:val="Lead"/>
      </w:pPr>
      <w:r>
        <w:t>Fund the work, pay people properly, preserve renewal cash and make each participant's return understandable.</w:t>
      </w:r>
    </w:p>
    <w:p>
      <w:bookmarkStart w:id="38" w:name="s_finance_Three_connected_accou_295e09"/>
      <w:pPr>
        <w:pStyle w:val="Heading2"/>
      </w:pPr>
      <w:r>
        <w:t>Three connected accounts</w:t>
      </w:r>
      <w:bookmarkEnd w:id="38"/>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000"/>
        <w:gridCol w:w="3947"/>
        <w:gridCol w:w="4205"/>
      </w:tblGrid>
      <w:tr>
        <w:trPr>
          <w:cantSplit/>
          <w:tblHeader w:val="true"/>
        </w:trPr>
        <w:tc>
          <w:tcPr>
            <w:tcW w:type="dxa" w:w="2000"/>
            <w:vAlign w:val="center"/>
            <w:shd w:fill="203B4C"/>
          </w:tcPr>
          <w:p>
            <w:pPr>
              <w:pStyle w:val="TableHead"/>
              <w:keepNext/>
              <w:keepLines/>
            </w:pPr>
            <w:r>
              <w:rPr>
                <w:color w:val="FFFFFF"/>
              </w:rPr>
              <w:t>Account</w:t>
            </w:r>
          </w:p>
        </w:tc>
        <w:tc>
          <w:tcPr>
            <w:tcW w:type="dxa" w:w="3947"/>
            <w:vAlign w:val="center"/>
            <w:shd w:fill="203B4C"/>
          </w:tcPr>
          <w:p>
            <w:pPr>
              <w:pStyle w:val="TableHead"/>
              <w:keepNext/>
              <w:keepLines/>
            </w:pPr>
            <w:r>
              <w:rPr>
                <w:color w:val="FFFFFF"/>
              </w:rPr>
              <w:t>Income</w:t>
            </w:r>
          </w:p>
        </w:tc>
        <w:tc>
          <w:tcPr>
            <w:tcW w:type="dxa" w:w="4205"/>
            <w:vAlign w:val="center"/>
            <w:shd w:fill="203B4C"/>
          </w:tcPr>
          <w:p>
            <w:pPr>
              <w:pStyle w:val="TableHead"/>
              <w:keepNext/>
              <w:keepLines/>
            </w:pPr>
            <w:r>
              <w:rPr>
                <w:color w:val="FFFFFF"/>
              </w:rPr>
              <w:t>Costs and obligations</w:t>
            </w:r>
          </w:p>
        </w:tc>
      </w:tr>
      <w:tr>
        <w:trPr>
          <w:cantSplit/>
        </w:trPr>
        <w:tc>
          <w:tcPr>
            <w:tcW w:type="dxa" w:w="2000"/>
            <w:vAlign w:val="top"/>
            <w:shd w:fill="EDF2EE"/>
          </w:tcPr>
          <w:p>
            <w:pPr>
              <w:pStyle w:val="TableText"/>
              <w:keepNext w:val="0"/>
              <w:keepLines/>
            </w:pPr>
            <w:r>
              <w:t>Local venue</w:t>
            </w:r>
          </w:p>
        </w:tc>
        <w:tc>
          <w:tcPr>
            <w:tcW w:type="dxa" w:w="3947"/>
            <w:vAlign w:val="top"/>
            <w:shd w:fill="EDF2EE"/>
          </w:tcPr>
          <w:p>
            <w:pPr>
              <w:pStyle w:val="TableText"/>
              <w:keepNext w:val="0"/>
              <w:keepLines/>
            </w:pPr>
            <w:r>
              <w:t>Its own admissions, workshops and agreed local services</w:t>
            </w:r>
          </w:p>
        </w:tc>
        <w:tc>
          <w:tcPr>
            <w:tcW w:type="dxa" w:w="4205"/>
            <w:vAlign w:val="top"/>
            <w:shd w:fill="EDF2EE"/>
          </w:tcPr>
          <w:p>
            <w:pPr>
              <w:pStyle w:val="TableText"/>
              <w:keepNext w:val="0"/>
              <w:keepLines/>
            </w:pPr>
            <w:r>
              <w:t>People, premises, delivery, maintenance, renewal, finance and applicable tax.</w:t>
            </w:r>
          </w:p>
        </w:tc>
      </w:tr>
      <w:tr>
        <w:trPr>
          <w:cantSplit/>
        </w:trPr>
        <w:tc>
          <w:tcPr>
            <w:tcW w:type="dxa" w:w="2000"/>
            <w:vAlign w:val="top"/>
            <w:shd w:fill="FFFFFF"/>
          </w:tcPr>
          <w:p>
            <w:pPr>
              <w:pStyle w:val="TableText"/>
              <w:keepNext w:val="0"/>
              <w:keepLines/>
            </w:pPr>
            <w:r>
              <w:t>Deployment business</w:t>
            </w:r>
          </w:p>
        </w:tc>
        <w:tc>
          <w:tcPr>
            <w:tcW w:type="dxa" w:w="3947"/>
            <w:vAlign w:val="top"/>
            <w:shd w:fill="FFFFFF"/>
          </w:tcPr>
          <w:p>
            <w:pPr>
              <w:pStyle w:val="TableText"/>
              <w:keepNext w:val="0"/>
              <w:keepLines/>
            </w:pPr>
            <w:r>
              <w:t>Agreed design, installation, commissioning, training and upgrade contracts</w:t>
            </w:r>
          </w:p>
        </w:tc>
        <w:tc>
          <w:tcPr>
            <w:tcW w:type="dxa" w:w="4205"/>
            <w:vAlign w:val="top"/>
            <w:shd w:fill="FFFFFF"/>
          </w:tcPr>
          <w:p>
            <w:pPr>
              <w:pStyle w:val="TableText"/>
              <w:keepNext w:val="0"/>
              <w:keepLines/>
            </w:pPr>
            <w:r>
              <w:t>Materials, paid labour, contractors, freight, project work and warranty obligations.</w:t>
            </w:r>
          </w:p>
        </w:tc>
      </w:tr>
      <w:tr>
        <w:trPr>
          <w:cantSplit/>
        </w:trPr>
        <w:tc>
          <w:tcPr>
            <w:tcW w:type="dxa" w:w="2000"/>
            <w:vAlign w:val="top"/>
            <w:shd w:fill="EDF2EE"/>
          </w:tcPr>
          <w:p>
            <w:pPr>
              <w:pStyle w:val="TableText"/>
              <w:keepNext w:val="0"/>
              <w:keepLines/>
            </w:pPr>
            <w:r>
              <w:t>Network service</w:t>
            </w:r>
          </w:p>
        </w:tc>
        <w:tc>
          <w:tcPr>
            <w:tcW w:type="dxa" w:w="3947"/>
            <w:vAlign w:val="top"/>
            <w:shd w:fill="EDF2EE"/>
          </w:tcPr>
          <w:p>
            <w:pPr>
              <w:pStyle w:val="TableText"/>
              <w:keepNext w:val="0"/>
              <w:keepLines/>
            </w:pPr>
            <w:r>
              <w:t>Agreed booking, support, scenario, distribution and renewal-service fees</w:t>
            </w:r>
          </w:p>
        </w:tc>
        <w:tc>
          <w:tcPr>
            <w:tcW w:type="dxa" w:w="4205"/>
            <w:vAlign w:val="top"/>
            <w:shd w:fill="EDF2EE"/>
          </w:tcPr>
          <w:p>
            <w:pPr>
              <w:pStyle w:val="TableText"/>
              <w:keepNext w:val="0"/>
              <w:keepLines/>
            </w:pPr>
            <w:r>
              <w:t>Its own people, systems, processing, customer service and contracted delivery.</w:t>
            </w:r>
          </w:p>
        </w:tc>
      </w:tr>
    </w:tbl>
    <w:p>
      <w:pPr>
        <w:spacing w:after="20" w:before="0" w:line="240" w:lineRule="auto"/>
      </w:pPr>
      <w:r>
        <w:rPr>
          <w:sz w:val="6"/>
        </w:rPr>
      </w:r>
    </w:p>
    <w:p>
      <w:pPr/>
      <w:r>
        <w:t>A consolidated network report eliminates transfers between related entities. An independent partner's revenue stays with that partner. A room sale and the operator's later ticket sales are different transactions at different times.</w:t>
      </w:r>
    </w:p>
    <w:p>
      <w:pPr/>
      <w:r>
        <w:t>Customer money committed to future services is tracked through the pass-settlement ledger. Grants, loans, equity, member capital and customer receipts each retain their actual financial character. An expression of interest and a guarantee are not cash receipts.</w:t>
      </w:r>
    </w:p>
    <w:p>
      <w:pPr>
        <w:pStyle w:val="SourceNote"/>
      </w:pPr>
      <w:r>
        <w:t xml:space="preserve">Sources: </w:t>
      </w:r>
      <w:hyperlink w:anchor="source_P05">
        <w:r>
          <w:rPr>
            <w:color w:val="275E67"/>
            <w:u w:val="single"/>
          </w:rPr>
          <w:t xml:space="preserve">P05</w:t>
        </w:r>
      </w:hyperlink>
      <w:r>
        <w:t xml:space="preserve">, </w:t>
      </w:r>
      <w:hyperlink w:anchor="source_P14">
        <w:r>
          <w:rPr>
            <w:color w:val="275E67"/>
            <w:u w:val="single"/>
          </w:rPr>
          <w:t xml:space="preserve">P14</w:t>
        </w:r>
      </w:hyperlink>
    </w:p>
    <w:p>
      <w:bookmarkStart w:id="39" w:name="s_finance_Products__available_s_6caa99"/>
      <w:pPr>
        <w:pStyle w:val="Heading2"/>
      </w:pPr>
      <w:r>
        <w:t>Products, available sessions and the sales mix</w:t>
      </w:r>
      <w:bookmarkEnd w:id="39"/>
    </w:p>
    <w:p>
      <w:pPr/>
      <w:r>
        <w:t>The proposed prices are $39 for school and youth, $59 for public groups and $99 for the premium workshop, including GST. The scenario uses booking shares of 30%, 50% and 20%, with respective paid group sizes of 6, 4.5 and 5.5. The weighted average is 5.15 paid participants and $311.85 in receipts per sold team, or $283.50 excluding GST.</w:t>
      </w:r>
    </w:p>
    <w:p>
      <w:pPr/>
      <w:r>
        <w:t xml:space="preserve">The four-room year has 9,216 nominal team sessions. One planned closed trading day per room each quarter removes 128 slots, leaving </w:t>
      </w:r>
      <w:r>
        <w:rPr>
          <w:b/>
        </w:rPr>
        <w:t>9,088 available sessions</w:t>
      </w:r>
      <w:r>
        <w:t>. The 48-week trading calendar separately leaves four weeks for closures and major work. Further downtime reduces the calendar when it occurs.</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3074"/>
        <w:gridCol w:w="1075"/>
        <w:gridCol w:w="1702"/>
        <w:gridCol w:w="1434"/>
        <w:gridCol w:w="1254"/>
        <w:gridCol w:w="1613"/>
      </w:tblGrid>
      <w:tr>
        <w:trPr>
          <w:cantSplit/>
          <w:tblHeader w:val="true"/>
        </w:trPr>
        <w:tc>
          <w:tcPr>
            <w:tcW w:type="dxa" w:w="3074"/>
            <w:vAlign w:val="center"/>
            <w:shd w:fill="203B4C"/>
          </w:tcPr>
          <w:p>
            <w:pPr>
              <w:pStyle w:val="TableHead"/>
              <w:keepNext/>
              <w:keepLines/>
            </w:pPr>
            <w:r>
              <w:rPr>
                <w:color w:val="FFFFFF"/>
              </w:rPr>
              <w:t>Operating format</w:t>
            </w:r>
          </w:p>
        </w:tc>
        <w:tc>
          <w:tcPr>
            <w:tcW w:type="dxa" w:w="1075"/>
            <w:vAlign w:val="center"/>
            <w:shd w:fill="203B4C"/>
          </w:tcPr>
          <w:p>
            <w:pPr>
              <w:pStyle w:val="TableHead"/>
              <w:keepNext/>
              <w:keepLines/>
              <w:jc w:val="center"/>
            </w:pPr>
            <w:r>
              <w:rPr>
                <w:color w:val="FFFFFF"/>
              </w:rPr>
              <w:t>Trading days</w:t>
            </w:r>
          </w:p>
        </w:tc>
        <w:tc>
          <w:tcPr>
            <w:tcW w:type="dxa" w:w="1702"/>
            <w:vAlign w:val="center"/>
            <w:shd w:fill="203B4C"/>
          </w:tcPr>
          <w:p>
            <w:pPr>
              <w:pStyle w:val="TableHead"/>
              <w:keepNext/>
              <w:keepLines/>
              <w:jc w:val="center"/>
            </w:pPr>
            <w:r>
              <w:rPr>
                <w:color w:val="FFFFFF"/>
              </w:rPr>
              <w:t>Starts per room/day</w:t>
            </w:r>
          </w:p>
        </w:tc>
        <w:tc>
          <w:tcPr>
            <w:tcW w:type="dxa" w:w="1434"/>
            <w:vAlign w:val="center"/>
            <w:shd w:fill="203B4C"/>
          </w:tcPr>
          <w:p>
            <w:pPr>
              <w:pStyle w:val="TableHead"/>
              <w:keepNext/>
              <w:keepLines/>
              <w:jc w:val="center"/>
            </w:pPr>
            <w:r>
              <w:rPr>
                <w:color w:val="FFFFFF"/>
              </w:rPr>
              <w:t>Nominal sessions</w:t>
            </w:r>
          </w:p>
        </w:tc>
        <w:tc>
          <w:tcPr>
            <w:tcW w:type="dxa" w:w="1254"/>
            <w:vAlign w:val="center"/>
            <w:shd w:fill="203B4C"/>
          </w:tcPr>
          <w:p>
            <w:pPr>
              <w:pStyle w:val="TableHead"/>
              <w:keepNext/>
              <w:keepLines/>
              <w:jc w:val="center"/>
            </w:pPr>
            <w:r>
              <w:rPr>
                <w:color w:val="FFFFFF"/>
              </w:rPr>
              <w:t>Renewal blocks</w:t>
            </w:r>
          </w:p>
        </w:tc>
        <w:tc>
          <w:tcPr>
            <w:tcW w:type="dxa" w:w="1613"/>
            <w:vAlign w:val="center"/>
            <w:shd w:fill="203B4C"/>
          </w:tcPr>
          <w:p>
            <w:pPr>
              <w:pStyle w:val="TableHead"/>
              <w:keepNext/>
              <w:keepLines/>
              <w:jc w:val="center"/>
            </w:pPr>
            <w:r>
              <w:rPr>
                <w:color w:val="FFFFFF"/>
              </w:rPr>
              <w:t>Available sessions</w:t>
            </w:r>
          </w:p>
        </w:tc>
      </w:tr>
      <w:tr>
        <w:trPr>
          <w:cantSplit/>
        </w:trPr>
        <w:tc>
          <w:tcPr>
            <w:tcW w:type="dxa" w:w="3074"/>
            <w:vAlign w:val="top"/>
            <w:shd w:fill="EDF2EE"/>
          </w:tcPr>
          <w:p>
            <w:pPr>
              <w:pStyle w:val="TableText"/>
              <w:keepNext w:val="0"/>
              <w:keepLines/>
            </w:pPr>
            <w:r>
              <w:t>Two-room paid pilot, 8 weeks</w:t>
            </w:r>
          </w:p>
        </w:tc>
        <w:tc>
          <w:tcPr>
            <w:tcW w:type="dxa" w:w="1075"/>
            <w:vAlign w:val="center"/>
            <w:shd w:fill="EDF2EE"/>
          </w:tcPr>
          <w:p>
            <w:pPr>
              <w:pStyle w:val="TableText"/>
              <w:keepNext w:val="0"/>
              <w:keepLines/>
              <w:jc w:val="center"/>
            </w:pPr>
            <w:r>
              <w:t>40</w:t>
            </w:r>
          </w:p>
        </w:tc>
        <w:tc>
          <w:tcPr>
            <w:tcW w:type="dxa" w:w="1702"/>
            <w:vAlign w:val="center"/>
            <w:shd w:fill="EDF2EE"/>
          </w:tcPr>
          <w:p>
            <w:pPr>
              <w:pStyle w:val="TableText"/>
              <w:keepNext w:val="0"/>
              <w:keepLines/>
              <w:jc w:val="center"/>
            </w:pPr>
            <w:r>
              <w:t>6</w:t>
            </w:r>
          </w:p>
        </w:tc>
        <w:tc>
          <w:tcPr>
            <w:tcW w:type="dxa" w:w="1434"/>
            <w:vAlign w:val="center"/>
            <w:shd w:fill="EDF2EE"/>
          </w:tcPr>
          <w:p>
            <w:pPr>
              <w:pStyle w:val="TableText"/>
              <w:keepNext w:val="0"/>
              <w:keepLines/>
              <w:jc w:val="center"/>
            </w:pPr>
            <w:r>
              <w:t>480</w:t>
            </w:r>
          </w:p>
        </w:tc>
        <w:tc>
          <w:tcPr>
            <w:tcW w:type="dxa" w:w="1254"/>
            <w:vAlign w:val="center"/>
            <w:shd w:fill="EDF2EE"/>
          </w:tcPr>
          <w:p>
            <w:pPr>
              <w:pStyle w:val="TableText"/>
              <w:keepNext w:val="0"/>
              <w:keepLines/>
              <w:jc w:val="center"/>
            </w:pPr>
            <w:r>
              <w:t>12</w:t>
            </w:r>
          </w:p>
        </w:tc>
        <w:tc>
          <w:tcPr>
            <w:tcW w:type="dxa" w:w="1613"/>
            <w:vAlign w:val="center"/>
            <w:shd w:fill="EDF2EE"/>
          </w:tcPr>
          <w:p>
            <w:pPr>
              <w:pStyle w:val="TableText"/>
              <w:keepNext w:val="0"/>
              <w:keepLines/>
              <w:jc w:val="center"/>
            </w:pPr>
            <w:r>
              <w:t>468</w:t>
            </w:r>
          </w:p>
        </w:tc>
      </w:tr>
      <w:tr>
        <w:trPr>
          <w:cantSplit/>
        </w:trPr>
        <w:tc>
          <w:tcPr>
            <w:tcW w:type="dxa" w:w="3074"/>
            <w:vAlign w:val="top"/>
            <w:shd w:fill="FFFFFF"/>
          </w:tcPr>
          <w:p>
            <w:pPr>
              <w:pStyle w:val="TableText"/>
              <w:keepNext w:val="0"/>
              <w:keepLines/>
            </w:pPr>
            <w:r>
              <w:t>Two-room hosted partner, 46 weeks</w:t>
            </w:r>
          </w:p>
        </w:tc>
        <w:tc>
          <w:tcPr>
            <w:tcW w:type="dxa" w:w="1075"/>
            <w:vAlign w:val="center"/>
            <w:shd w:fill="FFFFFF"/>
          </w:tcPr>
          <w:p>
            <w:pPr>
              <w:pStyle w:val="TableText"/>
              <w:keepNext w:val="0"/>
              <w:keepLines/>
              <w:jc w:val="center"/>
            </w:pPr>
            <w:r>
              <w:t>230</w:t>
            </w:r>
          </w:p>
        </w:tc>
        <w:tc>
          <w:tcPr>
            <w:tcW w:type="dxa" w:w="1702"/>
            <w:vAlign w:val="center"/>
            <w:shd w:fill="FFFFFF"/>
          </w:tcPr>
          <w:p>
            <w:pPr>
              <w:pStyle w:val="TableText"/>
              <w:keepNext w:val="0"/>
              <w:keepLines/>
              <w:jc w:val="center"/>
            </w:pPr>
            <w:r>
              <w:t>6</w:t>
            </w:r>
          </w:p>
        </w:tc>
        <w:tc>
          <w:tcPr>
            <w:tcW w:type="dxa" w:w="1434"/>
            <w:vAlign w:val="center"/>
            <w:shd w:fill="FFFFFF"/>
          </w:tcPr>
          <w:p>
            <w:pPr>
              <w:pStyle w:val="TableText"/>
              <w:keepNext w:val="0"/>
              <w:keepLines/>
              <w:jc w:val="center"/>
            </w:pPr>
            <w:r>
              <w:t>2,760</w:t>
            </w:r>
          </w:p>
        </w:tc>
        <w:tc>
          <w:tcPr>
            <w:tcW w:type="dxa" w:w="1254"/>
            <w:vAlign w:val="center"/>
            <w:shd w:fill="FFFFFF"/>
          </w:tcPr>
          <w:p>
            <w:pPr>
              <w:pStyle w:val="TableText"/>
              <w:keepNext w:val="0"/>
              <w:keepLines/>
              <w:jc w:val="center"/>
            </w:pPr>
            <w:r>
              <w:t>48</w:t>
            </w:r>
          </w:p>
        </w:tc>
        <w:tc>
          <w:tcPr>
            <w:tcW w:type="dxa" w:w="1613"/>
            <w:vAlign w:val="center"/>
            <w:shd w:fill="FFFFFF"/>
          </w:tcPr>
          <w:p>
            <w:pPr>
              <w:pStyle w:val="TableText"/>
              <w:keepNext w:val="0"/>
              <w:keepLines/>
              <w:jc w:val="center"/>
            </w:pPr>
            <w:r>
              <w:t>2,712</w:t>
            </w:r>
          </w:p>
        </w:tc>
      </w:tr>
      <w:tr>
        <w:trPr>
          <w:cantSplit/>
        </w:trPr>
        <w:tc>
          <w:tcPr>
            <w:tcW w:type="dxa" w:w="3074"/>
            <w:vAlign w:val="top"/>
            <w:shd w:fill="EDF2EE"/>
          </w:tcPr>
          <w:p>
            <w:pPr>
              <w:pStyle w:val="TableText"/>
              <w:keepNext w:val="0"/>
              <w:keepLines/>
            </w:pPr>
            <w:r>
              <w:t>Four-room reference, 48 weeks</w:t>
            </w:r>
          </w:p>
        </w:tc>
        <w:tc>
          <w:tcPr>
            <w:tcW w:type="dxa" w:w="1075"/>
            <w:vAlign w:val="center"/>
            <w:shd w:fill="EDF2EE"/>
          </w:tcPr>
          <w:p>
            <w:pPr>
              <w:pStyle w:val="TableText"/>
              <w:keepNext w:val="0"/>
              <w:keepLines/>
              <w:jc w:val="center"/>
            </w:pPr>
            <w:r>
              <w:t>288</w:t>
            </w:r>
          </w:p>
        </w:tc>
        <w:tc>
          <w:tcPr>
            <w:tcW w:type="dxa" w:w="1702"/>
            <w:vAlign w:val="center"/>
            <w:shd w:fill="EDF2EE"/>
          </w:tcPr>
          <w:p>
            <w:pPr>
              <w:pStyle w:val="TableText"/>
              <w:keepNext w:val="0"/>
              <w:keepLines/>
              <w:jc w:val="center"/>
            </w:pPr>
            <w:r>
              <w:t>8</w:t>
            </w:r>
          </w:p>
        </w:tc>
        <w:tc>
          <w:tcPr>
            <w:tcW w:type="dxa" w:w="1434"/>
            <w:vAlign w:val="center"/>
            <w:shd w:fill="EDF2EE"/>
          </w:tcPr>
          <w:p>
            <w:pPr>
              <w:pStyle w:val="TableText"/>
              <w:keepNext w:val="0"/>
              <w:keepLines/>
              <w:jc w:val="center"/>
            </w:pPr>
            <w:r>
              <w:t>9,216</w:t>
            </w:r>
          </w:p>
        </w:tc>
        <w:tc>
          <w:tcPr>
            <w:tcW w:type="dxa" w:w="1254"/>
            <w:vAlign w:val="center"/>
            <w:shd w:fill="EDF2EE"/>
          </w:tcPr>
          <w:p>
            <w:pPr>
              <w:pStyle w:val="TableText"/>
              <w:keepNext w:val="0"/>
              <w:keepLines/>
              <w:jc w:val="center"/>
            </w:pPr>
            <w:r>
              <w:t>128</w:t>
            </w:r>
          </w:p>
        </w:tc>
        <w:tc>
          <w:tcPr>
            <w:tcW w:type="dxa" w:w="1613"/>
            <w:vAlign w:val="center"/>
            <w:shd w:fill="EDF2EE"/>
          </w:tcPr>
          <w:p>
            <w:pPr>
              <w:pStyle w:val="TableText"/>
              <w:keepNext w:val="0"/>
              <w:keepLines/>
              <w:jc w:val="center"/>
            </w:pPr>
            <w:r>
              <w:t>9,088</w:t>
            </w:r>
          </w:p>
        </w:tc>
      </w:tr>
      <w:tr>
        <w:trPr>
          <w:cantSplit/>
        </w:trPr>
        <w:tc>
          <w:tcPr>
            <w:tcW w:type="dxa" w:w="3074"/>
            <w:vAlign w:val="top"/>
            <w:shd w:fill="FFFFFF"/>
          </w:tcPr>
          <w:p>
            <w:pPr>
              <w:pStyle w:val="TableText"/>
              <w:keepNext w:val="0"/>
              <w:keepLines/>
            </w:pPr>
            <w:r>
              <w:t>Four-room alternative, 75-minute cycle</w:t>
            </w:r>
          </w:p>
        </w:tc>
        <w:tc>
          <w:tcPr>
            <w:tcW w:type="dxa" w:w="1075"/>
            <w:vAlign w:val="center"/>
            <w:shd w:fill="FFFFFF"/>
          </w:tcPr>
          <w:p>
            <w:pPr>
              <w:pStyle w:val="TableText"/>
              <w:keepNext w:val="0"/>
              <w:keepLines/>
              <w:jc w:val="center"/>
            </w:pPr>
            <w:r>
              <w:t>288</w:t>
            </w:r>
          </w:p>
        </w:tc>
        <w:tc>
          <w:tcPr>
            <w:tcW w:type="dxa" w:w="1702"/>
            <w:vAlign w:val="center"/>
            <w:shd w:fill="FFFFFF"/>
          </w:tcPr>
          <w:p>
            <w:pPr>
              <w:pStyle w:val="TableText"/>
              <w:keepNext w:val="0"/>
              <w:keepLines/>
              <w:jc w:val="center"/>
            </w:pPr>
            <w:r>
              <w:t>7</w:t>
            </w:r>
          </w:p>
        </w:tc>
        <w:tc>
          <w:tcPr>
            <w:tcW w:type="dxa" w:w="1434"/>
            <w:vAlign w:val="center"/>
            <w:shd w:fill="FFFFFF"/>
          </w:tcPr>
          <w:p>
            <w:pPr>
              <w:pStyle w:val="TableText"/>
              <w:keepNext w:val="0"/>
              <w:keepLines/>
              <w:jc w:val="center"/>
            </w:pPr>
            <w:r>
              <w:t>8,064</w:t>
            </w:r>
          </w:p>
        </w:tc>
        <w:tc>
          <w:tcPr>
            <w:tcW w:type="dxa" w:w="1254"/>
            <w:vAlign w:val="center"/>
            <w:shd w:fill="FFFFFF"/>
          </w:tcPr>
          <w:p>
            <w:pPr>
              <w:pStyle w:val="TableText"/>
              <w:keepNext w:val="0"/>
              <w:keepLines/>
              <w:jc w:val="center"/>
            </w:pPr>
            <w:r>
              <w:t>112</w:t>
            </w:r>
          </w:p>
        </w:tc>
        <w:tc>
          <w:tcPr>
            <w:tcW w:type="dxa" w:w="1613"/>
            <w:vAlign w:val="center"/>
            <w:shd w:fill="FFFFFF"/>
          </w:tcPr>
          <w:p>
            <w:pPr>
              <w:pStyle w:val="TableText"/>
              <w:keepNext w:val="0"/>
              <w:keepLines/>
              <w:jc w:val="center"/>
            </w:pPr>
            <w:r>
              <w:t>7,952</w:t>
            </w:r>
          </w:p>
        </w:tc>
      </w:tr>
    </w:tbl>
    <w:p>
      <w:pPr>
        <w:spacing w:after="20" w:before="0" w:line="240" w:lineRule="auto"/>
      </w:pPr>
      <w:r>
        <w:rPr>
          <w:sz w:val="6"/>
        </w:rPr>
      </w:r>
    </w:p>
    <w:p>
      <w:pPr/>
      <w:r>
        <w:t>The two-room examples use five ordinary-rate operating days per week. The four-room example uses five ordinary days plus Sunday. Calendar and wage treatment are changed together for an actual site.</w:t>
      </w:r>
    </w:p>
    <w:p>
      <w:bookmarkStart w:id="40" w:name="s_finance_Published_wage_inputs_e8b5de"/>
      <w:pPr>
        <w:pStyle w:val="Heading2"/>
      </w:pPr>
      <w:r>
        <w:t>Published wage inputs and paid task time</w:t>
      </w:r>
      <w:bookmarkEnd w:id="40"/>
    </w:p>
    <w:p>
      <w:pPr/>
      <w:r>
        <w:t>The current Amusement, Events and Recreation Award publishes adult casual Grade 4 rates of $36.81 for ordinary hours and $51.54 for Sunday, and Grade 6 rates of $39.11 and $54.76. ATO states a 12% super guarantee rate. These two wage bands are transparent examples for estimating the roster; actual award coverage, classification, agreed pay, overtime and allowances are determined from each job. [</w:t>
      </w:r>
      <w:hyperlink w:anchor="source_R101">
        <w:r>
          <w:rPr>
            <w:color w:val="275E67"/>
            <w:u w:val="single"/>
          </w:rPr>
          <w:t xml:space="preserve">R101</w:t>
        </w:r>
      </w:hyperlink>
      <w:r>
        <w:t xml:space="preserve">, </w:t>
      </w:r>
      <w:hyperlink w:anchor="source_R102">
        <w:r>
          <w:rPr>
            <w:color w:val="275E67"/>
            <w:u w:val="single"/>
          </w:rPr>
          <w:t xml:space="preserve">R102</w:t>
        </w:r>
      </w:hyperlink>
      <w:r>
        <w:t>]</w:t>
      </w:r>
    </w:p>
    <w:p>
      <w:pPr/>
      <w:r>
        <w:t>For a six-day pattern with five ordinary days and one Sunday, the weighted rates including super are $43.9768 and $46.724533 per hour. These are wages plus super, not fully loaded contractor rates.</w:t>
      </w:r>
    </w:p>
    <w:p>
      <w:pPr/>
      <w:r>
        <w:t>The reference staffing calculation pays for two baseline roles across 11 hours a day. Across 288 days that is 3,168 hours per role. Additional paid time for each team is itemised as 35 minutes of reflection preparation, delivery and notes at the second rate, and 25 minutes of reset, handover and relief at the first rate. Premium bookings add 45 minutes at the second rate. The booking mix gives $52.588324 in additional wages plus super per sold team.</w:t>
      </w:r>
    </w:p>
    <w:p>
      <w:pPr/>
      <w:r>
        <w:t>A peak operating roster still needs reception, dedicated monitoring, reset work and two overlapping reflection facilitators, plus a premium facilitator when booked. The annual task allowance must be converted to real shifts with breaks, minimum engagements, school supervision and access support. Any additional paid shift time is an added cost. Management, Luke's programme work, insurance, payroll tax where applicable, training and specialist contractor charges are separate.</w:t>
      </w:r>
    </w:p>
    <w:p>
      <w:pPr>
        <w:pStyle w:val="SourceNote"/>
      </w:pPr>
      <w:r>
        <w:t xml:space="preserve">Sources: </w:t>
      </w:r>
      <w:hyperlink w:anchor="source_R101">
        <w:r>
          <w:rPr>
            <w:color w:val="275E67"/>
            <w:u w:val="single"/>
          </w:rPr>
          <w:t xml:space="preserve">R101</w:t>
        </w:r>
      </w:hyperlink>
      <w:r>
        <w:t xml:space="preserve">, </w:t>
      </w:r>
      <w:hyperlink w:anchor="source_R102">
        <w:r>
          <w:rPr>
            <w:color w:val="275E67"/>
            <w:u w:val="single"/>
          </w:rPr>
          <w:t xml:space="preserve">R102</w:t>
        </w:r>
      </w:hyperlink>
    </w:p>
    <w:p>
      <w:bookmarkStart w:id="41" w:name="s_finance_Coverage_hours_and_ro_b787e5"/>
      <w:pPr>
        <w:pStyle w:val="Heading2"/>
      </w:pPr>
      <w:r>
        <w:t>Coverage hours and roster construction</w:t>
      </w:r>
      <w:bookmarkEnd w:id="41"/>
    </w:p>
    <w:p>
      <w:pPr/>
      <w:r>
        <w:t>The labour calculation buys coverage and defined work. It does not assume that a person works an eleven-hour ordinary casual shift. The four-room baseline provides one monitor/control position and one host/operations position for eleven hours each trading day, shared across a roster. The extra task minutes are paid in addition to that baseline. At the 50% booking case, they reconcile as follows.</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3058"/>
        <w:gridCol w:w="3285"/>
        <w:gridCol w:w="3808"/>
      </w:tblGrid>
      <w:tr>
        <w:trPr>
          <w:cantSplit/>
          <w:tblHeader w:val="true"/>
        </w:trPr>
        <w:tc>
          <w:tcPr>
            <w:tcW w:type="dxa" w:w="3058"/>
            <w:vAlign w:val="center"/>
            <w:shd w:fill="203B4C"/>
          </w:tcPr>
          <w:p>
            <w:pPr>
              <w:pStyle w:val="TableHead"/>
              <w:keepNext/>
              <w:keepLines/>
            </w:pPr>
            <w:r>
              <w:rPr>
                <w:color w:val="FFFFFF"/>
              </w:rPr>
              <w:t>Work package</w:t>
            </w:r>
          </w:p>
        </w:tc>
        <w:tc>
          <w:tcPr>
            <w:tcW w:type="dxa" w:w="3285"/>
            <w:vAlign w:val="center"/>
            <w:shd w:fill="203B4C"/>
          </w:tcPr>
          <w:p>
            <w:pPr>
              <w:pStyle w:val="TableHead"/>
              <w:keepNext/>
              <w:keepLines/>
            </w:pPr>
            <w:r>
              <w:rPr>
                <w:color w:val="FFFFFF"/>
              </w:rPr>
              <w:t>Calculation</w:t>
            </w:r>
          </w:p>
        </w:tc>
        <w:tc>
          <w:tcPr>
            <w:tcW w:type="dxa" w:w="3808"/>
            <w:vAlign w:val="center"/>
            <w:shd w:fill="203B4C"/>
          </w:tcPr>
          <w:p>
            <w:pPr>
              <w:pStyle w:val="TableHead"/>
              <w:keepNext/>
              <w:keepLines/>
              <w:jc w:val="center"/>
            </w:pPr>
            <w:r>
              <w:rPr>
                <w:color w:val="FFFFFF"/>
              </w:rPr>
              <w:t>Annual paid hours before roster adjustment</w:t>
            </w:r>
          </w:p>
        </w:tc>
      </w:tr>
      <w:tr>
        <w:trPr>
          <w:cantSplit/>
        </w:trPr>
        <w:tc>
          <w:tcPr>
            <w:tcW w:type="dxa" w:w="3058"/>
            <w:vAlign w:val="top"/>
            <w:shd w:fill="EDF2EE"/>
          </w:tcPr>
          <w:p>
            <w:pPr>
              <w:pStyle w:val="TableText"/>
              <w:keepNext w:val="0"/>
              <w:keepLines/>
            </w:pPr>
            <w:r>
              <w:t>Baseline coverage</w:t>
            </w:r>
          </w:p>
        </w:tc>
        <w:tc>
          <w:tcPr>
            <w:tcW w:type="dxa" w:w="3285"/>
            <w:vAlign w:val="top"/>
            <w:shd w:fill="EDF2EE"/>
          </w:tcPr>
          <w:p>
            <w:pPr>
              <w:pStyle w:val="TableText"/>
              <w:keepNext w:val="0"/>
              <w:keepLines/>
            </w:pPr>
            <w:r>
              <w:t>2 positions × 11 hours × 288 days</w:t>
            </w:r>
          </w:p>
        </w:tc>
        <w:tc>
          <w:tcPr>
            <w:tcW w:type="dxa" w:w="3808"/>
            <w:vAlign w:val="center"/>
            <w:shd w:fill="EDF2EE"/>
          </w:tcPr>
          <w:p>
            <w:pPr>
              <w:pStyle w:val="TableText"/>
              <w:keepNext w:val="0"/>
              <w:keepLines/>
              <w:jc w:val="center"/>
            </w:pPr>
            <w:r>
              <w:t>6,336.00</w:t>
            </w:r>
          </w:p>
        </w:tc>
      </w:tr>
      <w:tr>
        <w:trPr>
          <w:cantSplit/>
        </w:trPr>
        <w:tc>
          <w:tcPr>
            <w:tcW w:type="dxa" w:w="3058"/>
            <w:vAlign w:val="top"/>
            <w:shd w:fill="FFFFFF"/>
          </w:tcPr>
          <w:p>
            <w:pPr>
              <w:pStyle w:val="TableText"/>
              <w:keepNext w:val="0"/>
              <w:keepLines/>
            </w:pPr>
            <w:r>
              <w:t>Reset, handover and relief</w:t>
            </w:r>
          </w:p>
        </w:tc>
        <w:tc>
          <w:tcPr>
            <w:tcW w:type="dxa" w:w="3285"/>
            <w:vAlign w:val="top"/>
            <w:shd w:fill="FFFFFF"/>
          </w:tcPr>
          <w:p>
            <w:pPr>
              <w:pStyle w:val="TableText"/>
              <w:keepNext w:val="0"/>
              <w:keepLines/>
            </w:pPr>
            <w:r>
              <w:t>4,544 teams × 25 minutes</w:t>
            </w:r>
          </w:p>
        </w:tc>
        <w:tc>
          <w:tcPr>
            <w:tcW w:type="dxa" w:w="3808"/>
            <w:vAlign w:val="center"/>
            <w:shd w:fill="FFFFFF"/>
          </w:tcPr>
          <w:p>
            <w:pPr>
              <w:pStyle w:val="TableText"/>
              <w:keepNext w:val="0"/>
              <w:keepLines/>
              <w:jc w:val="center"/>
            </w:pPr>
            <w:r>
              <w:t>1,893.33</w:t>
            </w:r>
          </w:p>
        </w:tc>
      </w:tr>
      <w:tr>
        <w:trPr>
          <w:cantSplit/>
        </w:trPr>
        <w:tc>
          <w:tcPr>
            <w:tcW w:type="dxa" w:w="3058"/>
            <w:vAlign w:val="top"/>
            <w:shd w:fill="EDF2EE"/>
          </w:tcPr>
          <w:p>
            <w:pPr>
              <w:pStyle w:val="TableText"/>
              <w:keepNext w:val="0"/>
              <w:keepLines/>
            </w:pPr>
            <w:r>
              <w:t>Reflection preparation, delivery and notes</w:t>
            </w:r>
          </w:p>
        </w:tc>
        <w:tc>
          <w:tcPr>
            <w:tcW w:type="dxa" w:w="3285"/>
            <w:vAlign w:val="top"/>
            <w:shd w:fill="EDF2EE"/>
          </w:tcPr>
          <w:p>
            <w:pPr>
              <w:pStyle w:val="TableText"/>
              <w:keepNext w:val="0"/>
              <w:keepLines/>
            </w:pPr>
            <w:r>
              <w:t>4,544 teams × 35 minutes</w:t>
            </w:r>
          </w:p>
        </w:tc>
        <w:tc>
          <w:tcPr>
            <w:tcW w:type="dxa" w:w="3808"/>
            <w:vAlign w:val="center"/>
            <w:shd w:fill="EDF2EE"/>
          </w:tcPr>
          <w:p>
            <w:pPr>
              <w:pStyle w:val="TableText"/>
              <w:keepNext w:val="0"/>
              <w:keepLines/>
              <w:jc w:val="center"/>
            </w:pPr>
            <w:r>
              <w:t>2,650.67</w:t>
            </w:r>
          </w:p>
        </w:tc>
      </w:tr>
      <w:tr>
        <w:trPr>
          <w:cantSplit/>
        </w:trPr>
        <w:tc>
          <w:tcPr>
            <w:tcW w:type="dxa" w:w="3058"/>
            <w:vAlign w:val="top"/>
            <w:shd w:fill="FFFFFF"/>
          </w:tcPr>
          <w:p>
            <w:pPr>
              <w:pStyle w:val="TableText"/>
              <w:keepNext w:val="0"/>
              <w:keepLines/>
            </w:pPr>
            <w:r>
              <w:t>Premium workshop</w:t>
            </w:r>
          </w:p>
        </w:tc>
        <w:tc>
          <w:tcPr>
            <w:tcW w:type="dxa" w:w="3285"/>
            <w:vAlign w:val="top"/>
            <w:shd w:fill="FFFFFF"/>
          </w:tcPr>
          <w:p>
            <w:pPr>
              <w:pStyle w:val="TableText"/>
              <w:keepNext w:val="0"/>
              <w:keepLines/>
            </w:pPr>
            <w:r>
              <w:t>4,544 teams × 20% × 45 minutes</w:t>
            </w:r>
          </w:p>
        </w:tc>
        <w:tc>
          <w:tcPr>
            <w:tcW w:type="dxa" w:w="3808"/>
            <w:vAlign w:val="center"/>
            <w:shd w:fill="FFFFFF"/>
          </w:tcPr>
          <w:p>
            <w:pPr>
              <w:pStyle w:val="TableText"/>
              <w:keepNext w:val="0"/>
              <w:keepLines/>
              <w:jc w:val="center"/>
            </w:pPr>
            <w:r>
              <w:t>681.60</w:t>
            </w:r>
          </w:p>
        </w:tc>
      </w:tr>
      <w:tr>
        <w:trPr>
          <w:cantSplit/>
        </w:trPr>
        <w:tc>
          <w:tcPr>
            <w:tcW w:type="dxa" w:w="3058"/>
            <w:vAlign w:val="top"/>
            <w:shd w:fill="EDF2EE"/>
          </w:tcPr>
          <w:p>
            <w:pPr>
              <w:pStyle w:val="TableText"/>
              <w:keepNext w:val="0"/>
              <w:keepLines/>
            </w:pPr>
            <w:r>
              <w:t>Total work-hour benchmark</w:t>
            </w:r>
          </w:p>
        </w:tc>
        <w:tc>
          <w:tcPr>
            <w:tcW w:type="dxa" w:w="3285"/>
            <w:vAlign w:val="top"/>
            <w:shd w:fill="EDF2EE"/>
          </w:tcPr>
          <w:p>
            <w:pPr>
              <w:pStyle w:val="TableText"/>
              <w:keepNext w:val="0"/>
              <w:keepLines/>
            </w:pPr>
            <w:r>
              <w:t>Sum of the four packages</w:t>
            </w:r>
          </w:p>
        </w:tc>
        <w:tc>
          <w:tcPr>
            <w:tcW w:type="dxa" w:w="3808"/>
            <w:vAlign w:val="center"/>
            <w:shd w:fill="EDF2EE"/>
          </w:tcPr>
          <w:p>
            <w:pPr>
              <w:pStyle w:val="TableText"/>
              <w:keepNext w:val="0"/>
              <w:keepLines/>
              <w:jc w:val="center"/>
            </w:pPr>
            <w:r>
              <w:t>11,561.60</w:t>
            </w:r>
          </w:p>
        </w:tc>
      </w:tr>
    </w:tbl>
    <w:p>
      <w:pPr>
        <w:spacing w:after="20" w:before="0" w:line="240" w:lineRule="auto"/>
      </w:pPr>
      <w:r>
        <w:rPr>
          <w:sz w:val="6"/>
        </w:rPr>
      </w:r>
    </w:p>
    <w:p>
      <w:pPr/>
      <w:r>
        <w:t>Under the award used as the published wage benchmark, casual ordinary hours are limited to ten per day and thirty-eight per week. The usual casual minimum engagement is three hours; Sunday work has a four-hour minimum. Final coverage, classification, breaks and shift construction need an actual roster. [</w:t>
      </w:r>
      <w:hyperlink w:anchor="source_R101">
        <w:r>
          <w:rPr>
            <w:color w:val="275E67"/>
            <w:u w:val="single"/>
          </w:rPr>
          <w:t xml:space="preserve">R101</w:t>
        </w:r>
      </w:hyperlink>
      <w:r>
        <w:t>]</w:t>
      </w:r>
    </w:p>
    <w:p>
      <w:pPr/>
      <w:r>
        <w:t>This is why the model does not promise that 35 task minutes can be purchased as an isolated 35-minute shift. Cluster bookings, schedule minimum-length shifts, and measure the difference between task hours and paid hours. Add simultaneous demand, break coverage beyond the relief minutes, child and accessibility support, management and other named duties where needed. These differences remain visible in the quote register, rather than being called free founder labour.</w:t>
      </w:r>
    </w:p>
    <w:p>
      <w:pPr/>
      <w:r>
        <w:t>The 75-minute cycle means 45 minutes of independent play, 15 minutes of reset and 15 minutes of timetable buffer. It adds five paid reset minutes per sold team to the standard case and reduces the offer to seven starts per room per day. The game remains 45 minutes.</w:t>
      </w:r>
    </w:p>
    <w:p>
      <w:pPr>
        <w:pStyle w:val="SourceNote"/>
      </w:pPr>
      <w:r>
        <w:t xml:space="preserve">Sources: </w:t>
      </w:r>
      <w:hyperlink w:anchor="source_R101">
        <w:r>
          <w:rPr>
            <w:color w:val="275E67"/>
            <w:u w:val="single"/>
          </w:rPr>
          <w:t xml:space="preserve">R101</w:t>
        </w:r>
      </w:hyperlink>
      <w:r>
        <w:t xml:space="preserve">, </w:t>
      </w:r>
      <w:hyperlink w:anchor="source_R102">
        <w:r>
          <w:rPr>
            <w:color w:val="275E67"/>
            <w:u w:val="single"/>
          </w:rPr>
          <w:t xml:space="preserve">R102</w:t>
        </w:r>
      </w:hyperlink>
    </w:p>
    <w:p>
      <w:bookmarkStart w:id="42" w:name="s_finance_Turnover_and_the_amou_d1be86"/>
      <w:pPr>
        <w:pStyle w:val="Heading2"/>
      </w:pPr>
      <w:r>
        <w:t>Turnover and the amount available for remaining costs</w:t>
      </w:r>
      <w:bookmarkEnd w:id="42"/>
    </w:p>
    <w:p>
      <w:pPr/>
      <w:r>
        <w:t>The table deliberately calculates the amount available for all other costs. It cannot be called profit while the named site and service packages remain unquoted.</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4646"/>
        <w:gridCol w:w="2984"/>
        <w:gridCol w:w="1261"/>
        <w:gridCol w:w="1261"/>
      </w:tblGrid>
      <w:tr>
        <w:trPr>
          <w:cantSplit/>
          <w:tblHeader w:val="true"/>
        </w:trPr>
        <w:tc>
          <w:tcPr>
            <w:tcW w:type="dxa" w:w="4646"/>
            <w:vAlign w:val="center"/>
            <w:shd w:fill="203B4C"/>
          </w:tcPr>
          <w:p>
            <w:pPr>
              <w:pStyle w:val="TableHead"/>
              <w:keepNext/>
              <w:keepLines/>
            </w:pPr>
            <w:r>
              <w:rPr>
                <w:color w:val="FFFFFF"/>
              </w:rPr>
              <w:t>Four-room reference</w:t>
            </w:r>
          </w:p>
        </w:tc>
        <w:tc>
          <w:tcPr>
            <w:tcW w:type="dxa" w:w="2984"/>
            <w:vAlign w:val="center"/>
            <w:shd w:fill="203B4C"/>
          </w:tcPr>
          <w:p>
            <w:pPr>
              <w:pStyle w:val="TableHead"/>
              <w:keepNext/>
              <w:keepLines/>
              <w:jc w:val="center"/>
            </w:pPr>
            <w:r>
              <w:rPr>
                <w:color w:val="FFFFFF"/>
              </w:rPr>
              <w:t>30% of available sessions sold</w:t>
            </w:r>
          </w:p>
        </w:tc>
        <w:tc>
          <w:tcPr>
            <w:tcW w:type="dxa" w:w="1261"/>
            <w:vAlign w:val="center"/>
            <w:shd w:fill="203B4C"/>
          </w:tcPr>
          <w:p>
            <w:pPr>
              <w:pStyle w:val="TableHead"/>
              <w:keepNext/>
              <w:keepLines/>
              <w:jc w:val="center"/>
            </w:pPr>
            <w:r>
              <w:rPr>
                <w:color w:val="FFFFFF"/>
              </w:rPr>
              <w:t>50% sold</w:t>
            </w:r>
          </w:p>
        </w:tc>
        <w:tc>
          <w:tcPr>
            <w:tcW w:type="dxa" w:w="1261"/>
            <w:vAlign w:val="center"/>
            <w:shd w:fill="203B4C"/>
          </w:tcPr>
          <w:p>
            <w:pPr>
              <w:pStyle w:val="TableHead"/>
              <w:keepNext/>
              <w:keepLines/>
              <w:jc w:val="center"/>
            </w:pPr>
            <w:r>
              <w:rPr>
                <w:color w:val="FFFFFF"/>
              </w:rPr>
              <w:t>70% sold</w:t>
            </w:r>
          </w:p>
        </w:tc>
      </w:tr>
      <w:tr>
        <w:trPr>
          <w:cantSplit/>
        </w:trPr>
        <w:tc>
          <w:tcPr>
            <w:tcW w:type="dxa" w:w="4646"/>
            <w:vAlign w:val="top"/>
            <w:shd w:fill="EDF2EE"/>
          </w:tcPr>
          <w:p>
            <w:pPr>
              <w:pStyle w:val="TableText"/>
              <w:keepNext w:val="0"/>
              <w:keepLines/>
            </w:pPr>
            <w:r>
              <w:t>Sold team sessions</w:t>
            </w:r>
          </w:p>
        </w:tc>
        <w:tc>
          <w:tcPr>
            <w:tcW w:type="dxa" w:w="2984"/>
            <w:vAlign w:val="center"/>
            <w:shd w:fill="EDF2EE"/>
          </w:tcPr>
          <w:p>
            <w:pPr>
              <w:pStyle w:val="TableText"/>
              <w:keepNext w:val="0"/>
              <w:keepLines/>
              <w:jc w:val="center"/>
            </w:pPr>
            <w:r>
              <w:t>2,726</w:t>
            </w:r>
          </w:p>
        </w:tc>
        <w:tc>
          <w:tcPr>
            <w:tcW w:type="dxa" w:w="1261"/>
            <w:vAlign w:val="center"/>
            <w:shd w:fill="EDF2EE"/>
          </w:tcPr>
          <w:p>
            <w:pPr>
              <w:pStyle w:val="TableText"/>
              <w:keepNext w:val="0"/>
              <w:keepLines/>
              <w:jc w:val="center"/>
            </w:pPr>
            <w:r>
              <w:t>4,544</w:t>
            </w:r>
          </w:p>
        </w:tc>
        <w:tc>
          <w:tcPr>
            <w:tcW w:type="dxa" w:w="1261"/>
            <w:vAlign w:val="center"/>
            <w:shd w:fill="EDF2EE"/>
          </w:tcPr>
          <w:p>
            <w:pPr>
              <w:pStyle w:val="TableText"/>
              <w:keepNext w:val="0"/>
              <w:keepLines/>
              <w:jc w:val="center"/>
            </w:pPr>
            <w:r>
              <w:t>6,362</w:t>
            </w:r>
          </w:p>
        </w:tc>
      </w:tr>
      <w:tr>
        <w:trPr>
          <w:cantSplit/>
        </w:trPr>
        <w:tc>
          <w:tcPr>
            <w:tcW w:type="dxa" w:w="4646"/>
            <w:vAlign w:val="top"/>
            <w:shd w:fill="FFFFFF"/>
          </w:tcPr>
          <w:p>
            <w:pPr>
              <w:pStyle w:val="TableText"/>
              <w:keepNext w:val="0"/>
              <w:keepLines/>
            </w:pPr>
            <w:r>
              <w:t>Paid visits</w:t>
            </w:r>
          </w:p>
        </w:tc>
        <w:tc>
          <w:tcPr>
            <w:tcW w:type="dxa" w:w="2984"/>
            <w:vAlign w:val="center"/>
            <w:shd w:fill="FFFFFF"/>
          </w:tcPr>
          <w:p>
            <w:pPr>
              <w:pStyle w:val="TableText"/>
              <w:keepNext w:val="0"/>
              <w:keepLines/>
              <w:jc w:val="center"/>
            </w:pPr>
            <w:r>
              <w:t>14,041</w:t>
            </w:r>
          </w:p>
        </w:tc>
        <w:tc>
          <w:tcPr>
            <w:tcW w:type="dxa" w:w="1261"/>
            <w:vAlign w:val="center"/>
            <w:shd w:fill="FFFFFF"/>
          </w:tcPr>
          <w:p>
            <w:pPr>
              <w:pStyle w:val="TableText"/>
              <w:keepNext w:val="0"/>
              <w:keepLines/>
              <w:jc w:val="center"/>
            </w:pPr>
            <w:r>
              <w:t>23,402</w:t>
            </w:r>
          </w:p>
        </w:tc>
        <w:tc>
          <w:tcPr>
            <w:tcW w:type="dxa" w:w="1261"/>
            <w:vAlign w:val="center"/>
            <w:shd w:fill="FFFFFF"/>
          </w:tcPr>
          <w:p>
            <w:pPr>
              <w:pStyle w:val="TableText"/>
              <w:keepNext w:val="0"/>
              <w:keepLines/>
              <w:jc w:val="center"/>
            </w:pPr>
            <w:r>
              <w:t>32,762</w:t>
            </w:r>
          </w:p>
        </w:tc>
      </w:tr>
      <w:tr>
        <w:trPr>
          <w:cantSplit/>
        </w:trPr>
        <w:tc>
          <w:tcPr>
            <w:tcW w:type="dxa" w:w="4646"/>
            <w:vAlign w:val="top"/>
            <w:shd w:fill="EDF2EE"/>
          </w:tcPr>
          <w:p>
            <w:pPr>
              <w:pStyle w:val="TableText"/>
              <w:keepNext w:val="0"/>
              <w:keepLines/>
            </w:pPr>
            <w:r>
              <w:t>Receipts including GST</w:t>
            </w:r>
          </w:p>
        </w:tc>
        <w:tc>
          <w:tcPr>
            <w:tcW w:type="dxa" w:w="2984"/>
            <w:vAlign w:val="center"/>
            <w:shd w:fill="EDF2EE"/>
          </w:tcPr>
          <w:p>
            <w:pPr>
              <w:pStyle w:val="TableText"/>
              <w:keepNext w:val="0"/>
              <w:keepLines/>
              <w:jc w:val="center"/>
            </w:pPr>
            <w:r>
              <w:t>$850,228</w:t>
            </w:r>
          </w:p>
        </w:tc>
        <w:tc>
          <w:tcPr>
            <w:tcW w:type="dxa" w:w="1261"/>
            <w:vAlign w:val="center"/>
            <w:shd w:fill="EDF2EE"/>
          </w:tcPr>
          <w:p>
            <w:pPr>
              <w:pStyle w:val="TableText"/>
              <w:keepNext w:val="0"/>
              <w:keepLines/>
              <w:jc w:val="center"/>
            </w:pPr>
            <w:r>
              <w:t>$1,417,046</w:t>
            </w:r>
          </w:p>
        </w:tc>
        <w:tc>
          <w:tcPr>
            <w:tcW w:type="dxa" w:w="1261"/>
            <w:vAlign w:val="center"/>
            <w:shd w:fill="EDF2EE"/>
          </w:tcPr>
          <w:p>
            <w:pPr>
              <w:pStyle w:val="TableText"/>
              <w:keepNext w:val="0"/>
              <w:keepLines/>
              <w:jc w:val="center"/>
            </w:pPr>
            <w:r>
              <w:t>$1,983,865</w:t>
            </w:r>
          </w:p>
        </w:tc>
      </w:tr>
      <w:tr>
        <w:trPr>
          <w:cantSplit/>
        </w:trPr>
        <w:tc>
          <w:tcPr>
            <w:tcW w:type="dxa" w:w="4646"/>
            <w:vAlign w:val="top"/>
            <w:shd w:fill="FFFFFF"/>
          </w:tcPr>
          <w:p>
            <w:pPr>
              <w:pStyle w:val="TableText"/>
              <w:keepNext w:val="0"/>
              <w:keepLines/>
            </w:pPr>
            <w:r>
              <w:t>Sales excluding GST</w:t>
            </w:r>
          </w:p>
        </w:tc>
        <w:tc>
          <w:tcPr>
            <w:tcW w:type="dxa" w:w="2984"/>
            <w:vAlign w:val="center"/>
            <w:shd w:fill="FFFFFF"/>
          </w:tcPr>
          <w:p>
            <w:pPr>
              <w:pStyle w:val="TableText"/>
              <w:keepNext w:val="0"/>
              <w:keepLines/>
              <w:jc w:val="center"/>
            </w:pPr>
            <w:r>
              <w:t>$772,934</w:t>
            </w:r>
          </w:p>
        </w:tc>
        <w:tc>
          <w:tcPr>
            <w:tcW w:type="dxa" w:w="1261"/>
            <w:vAlign w:val="center"/>
            <w:shd w:fill="FFFFFF"/>
          </w:tcPr>
          <w:p>
            <w:pPr>
              <w:pStyle w:val="TableText"/>
              <w:keepNext w:val="0"/>
              <w:keepLines/>
              <w:jc w:val="center"/>
            </w:pPr>
            <w:r>
              <w:t>$1,288,224</w:t>
            </w:r>
          </w:p>
        </w:tc>
        <w:tc>
          <w:tcPr>
            <w:tcW w:type="dxa" w:w="1261"/>
            <w:vAlign w:val="center"/>
            <w:shd w:fill="FFFFFF"/>
          </w:tcPr>
          <w:p>
            <w:pPr>
              <w:pStyle w:val="TableText"/>
              <w:keepNext w:val="0"/>
              <w:keepLines/>
              <w:jc w:val="center"/>
            </w:pPr>
            <w:r>
              <w:t>$1,803,514</w:t>
            </w:r>
          </w:p>
        </w:tc>
      </w:tr>
      <w:tr>
        <w:trPr>
          <w:cantSplit/>
        </w:trPr>
        <w:tc>
          <w:tcPr>
            <w:tcW w:type="dxa" w:w="4646"/>
            <w:vAlign w:val="top"/>
            <w:shd w:fill="EDF2EE"/>
          </w:tcPr>
          <w:p>
            <w:pPr>
              <w:pStyle w:val="TableText"/>
              <w:keepNext w:val="0"/>
              <w:keepLines/>
            </w:pPr>
            <w:r>
              <w:t>Example roster wages plus super</w:t>
            </w:r>
          </w:p>
        </w:tc>
        <w:tc>
          <w:tcPr>
            <w:tcW w:type="dxa" w:w="2984"/>
            <w:vAlign w:val="center"/>
            <w:shd w:fill="EDF2EE"/>
          </w:tcPr>
          <w:p>
            <w:pPr>
              <w:pStyle w:val="TableText"/>
              <w:keepNext w:val="0"/>
              <w:keepLines/>
              <w:jc w:val="center"/>
            </w:pPr>
            <w:r>
              <w:t>$430,719</w:t>
            </w:r>
          </w:p>
        </w:tc>
        <w:tc>
          <w:tcPr>
            <w:tcW w:type="dxa" w:w="1261"/>
            <w:vAlign w:val="center"/>
            <w:shd w:fill="EDF2EE"/>
          </w:tcPr>
          <w:p>
            <w:pPr>
              <w:pStyle w:val="TableText"/>
              <w:keepNext w:val="0"/>
              <w:keepLines/>
              <w:jc w:val="center"/>
            </w:pPr>
            <w:r>
              <w:t>$526,303</w:t>
            </w:r>
          </w:p>
        </w:tc>
        <w:tc>
          <w:tcPr>
            <w:tcW w:type="dxa" w:w="1261"/>
            <w:vAlign w:val="center"/>
            <w:shd w:fill="EDF2EE"/>
          </w:tcPr>
          <w:p>
            <w:pPr>
              <w:pStyle w:val="TableText"/>
              <w:keepNext w:val="0"/>
              <w:keepLines/>
              <w:jc w:val="center"/>
            </w:pPr>
            <w:r>
              <w:t>$621,888</w:t>
            </w:r>
          </w:p>
        </w:tc>
      </w:tr>
      <w:tr>
        <w:trPr>
          <w:cantSplit/>
        </w:trPr>
        <w:tc>
          <w:tcPr>
            <w:tcW w:type="dxa" w:w="4646"/>
            <w:vAlign w:val="top"/>
            <w:shd w:fill="FFFFFF"/>
          </w:tcPr>
          <w:p>
            <w:pPr>
              <w:pStyle w:val="TableText"/>
              <w:keepNext w:val="0"/>
              <w:keepLines/>
            </w:pPr>
            <w:r>
              <w:t>Domestic card processing, excluding recoverable GST</w:t>
            </w:r>
          </w:p>
        </w:tc>
        <w:tc>
          <w:tcPr>
            <w:tcW w:type="dxa" w:w="2984"/>
            <w:vAlign w:val="center"/>
            <w:shd w:fill="FFFFFF"/>
          </w:tcPr>
          <w:p>
            <w:pPr>
              <w:pStyle w:val="TableText"/>
              <w:keepNext w:val="0"/>
              <w:keepLines/>
              <w:jc w:val="center"/>
            </w:pPr>
            <w:r>
              <w:t>$13,497</w:t>
            </w:r>
          </w:p>
        </w:tc>
        <w:tc>
          <w:tcPr>
            <w:tcW w:type="dxa" w:w="1261"/>
            <w:vAlign w:val="center"/>
            <w:shd w:fill="FFFFFF"/>
          </w:tcPr>
          <w:p>
            <w:pPr>
              <w:pStyle w:val="TableText"/>
              <w:keepNext w:val="0"/>
              <w:keepLines/>
              <w:jc w:val="center"/>
            </w:pPr>
            <w:r>
              <w:t>$22,495</w:t>
            </w:r>
          </w:p>
        </w:tc>
        <w:tc>
          <w:tcPr>
            <w:tcW w:type="dxa" w:w="1261"/>
            <w:vAlign w:val="center"/>
            <w:shd w:fill="FFFFFF"/>
          </w:tcPr>
          <w:p>
            <w:pPr>
              <w:pStyle w:val="TableText"/>
              <w:keepNext w:val="0"/>
              <w:keepLines/>
              <w:jc w:val="center"/>
            </w:pPr>
            <w:r>
              <w:t>$31,493</w:t>
            </w:r>
          </w:p>
        </w:tc>
      </w:tr>
      <w:tr>
        <w:trPr>
          <w:cantSplit/>
        </w:trPr>
        <w:tc>
          <w:tcPr>
            <w:tcW w:type="dxa" w:w="4646"/>
            <w:vAlign w:val="top"/>
            <w:shd w:fill="EDF2EE"/>
          </w:tcPr>
          <w:p>
            <w:pPr>
              <w:pStyle w:val="TableText"/>
              <w:keepNext w:val="0"/>
              <w:keepLines/>
            </w:pPr>
            <w:r>
              <w:t>Available for all other costs and operating result</w:t>
            </w:r>
          </w:p>
        </w:tc>
        <w:tc>
          <w:tcPr>
            <w:tcW w:type="dxa" w:w="2984"/>
            <w:vAlign w:val="center"/>
            <w:shd w:fill="EDF2EE"/>
          </w:tcPr>
          <w:p>
            <w:pPr>
              <w:pStyle w:val="TableText"/>
              <w:keepNext w:val="0"/>
              <w:keepLines/>
              <w:jc w:val="center"/>
            </w:pPr>
            <w:r>
              <w:t>$328,719</w:t>
            </w:r>
          </w:p>
        </w:tc>
        <w:tc>
          <w:tcPr>
            <w:tcW w:type="dxa" w:w="1261"/>
            <w:vAlign w:val="center"/>
            <w:shd w:fill="EDF2EE"/>
          </w:tcPr>
          <w:p>
            <w:pPr>
              <w:pStyle w:val="TableText"/>
              <w:keepNext w:val="0"/>
              <w:keepLines/>
              <w:jc w:val="center"/>
            </w:pPr>
            <w:r>
              <w:t>$739,426</w:t>
            </w:r>
          </w:p>
        </w:tc>
        <w:tc>
          <w:tcPr>
            <w:tcW w:type="dxa" w:w="1261"/>
            <w:vAlign w:val="center"/>
            <w:shd w:fill="EDF2EE"/>
          </w:tcPr>
          <w:p>
            <w:pPr>
              <w:pStyle w:val="TableText"/>
              <w:keepNext w:val="0"/>
              <w:keepLines/>
              <w:jc w:val="center"/>
            </w:pPr>
            <w:r>
              <w:t>$1,150,133</w:t>
            </w:r>
          </w:p>
        </w:tc>
      </w:tr>
    </w:tbl>
    <w:p>
      <w:pPr>
        <w:spacing w:after="20" w:before="0" w:line="240" w:lineRule="auto"/>
      </w:pPr>
      <w:r>
        <w:rPr>
          <w:sz w:val="6"/>
        </w:rPr>
      </w:r>
    </w:p>
    <w:p>
      <w:pPr/>
      <w:r>
        <w:t>Counts and dollar amounts are rounded independently for presentation. Calculations use the unrounded annual scenario values; these are planning averages, not confirmed bookings.</w:t>
      </w:r>
    </w:p>
    <w:p>
      <w:pPr/>
      <w:r>
        <w:t>The live Stripe Australia page shows domestic online card pricing of 1.65% plus $0.30 per successful payment, with fees including GST. The calculation assumes one domestic-card payment per team, and eligible recovery of the GST on the fee. International cards, refunds, chargebacks, multiple individual payments and other payment channels need their own row. [</w:t>
      </w:r>
      <w:hyperlink w:anchor="source_R103">
        <w:r>
          <w:rPr>
            <w:color w:val="275E67"/>
            <w:u w:val="single"/>
          </w:rPr>
          <w:t xml:space="preserve">R103</w:t>
        </w:r>
      </w:hyperlink>
      <w:r>
        <w:t>]</w:t>
      </w:r>
    </w:p>
    <w:p>
      <w:pPr/>
      <w:r>
        <w:t>From the final row, subtract actual rent and outgoings, management and founder remuneration, insurance and remaining employment costs, utilities, software and inference use, consumables, marketing, distribution commissions, maintenance, professional services and the approved renewal provision. Financing, depreciation and income tax then have their own treatment.</w:t>
      </w:r>
    </w:p>
    <w:p>
      <w:pPr/>
      <w:r>
        <w:t>For the 75-minute cycle at 50% sold, the corresponding results are:</w:t>
      </w:r>
    </w:p>
    <w:p>
      <w:pPr>
        <w:pStyle w:val="ListBullet"/>
      </w:pPr>
      <w:r>
        <w:t>3,976 sold teams and 20,476 paid visits.</w:t>
      </w:r>
    </w:p>
    <w:p>
      <w:pPr>
        <w:pStyle w:val="ListBullet"/>
      </w:pPr>
      <w:r>
        <w:t>$1,239,915.60 receipts including GST and $1,127,196.00 sales excluding GST.</w:t>
      </w:r>
    </w:p>
    <w:p>
      <w:pPr>
        <w:pStyle w:val="ListBullet"/>
      </w:pPr>
      <w:r>
        <w:t>$596,508.92 available for the remaining costs after the specified wages, super and domestic-card fees.</w:t>
      </w:r>
    </w:p>
    <w:p>
      <w:pPr/>
      <w:r>
        <w:t>A complete break-even calculation becomes available once those costs are entered. The formula is annual fixed costs and renewal provision divided by contribution per sold team, then divided by available annual slots. Contribution includes all variable labour, consumables, distribution and payment fees.</w:t>
      </w:r>
    </w:p>
    <w:p>
      <w:pPr>
        <w:pStyle w:val="SourceNote"/>
      </w:pPr>
      <w:r>
        <w:t xml:space="preserve">Sources: </w:t>
      </w:r>
      <w:hyperlink w:anchor="source_R103">
        <w:r>
          <w:rPr>
            <w:color w:val="275E67"/>
            <w:u w:val="single"/>
          </w:rPr>
          <w:t xml:space="preserve">R103</w:t>
        </w:r>
      </w:hyperlink>
    </w:p>
    <w:p>
      <w:bookmarkStart w:id="43" w:name="s_finance_Tourism_pass__settlem_a86c21"/>
      <w:pPr>
        <w:pStyle w:val="Heading2"/>
      </w:pPr>
      <w:r>
        <w:t>Tourism pass: settlement without double counting</w:t>
      </w:r>
      <w:bookmarkEnd w:id="43"/>
    </w:p>
    <w:p>
      <w:pPr/>
      <w:r>
        <w:t xml:space="preserve">A proposed direct three-room pass is </w:t>
      </w:r>
      <w:r>
        <w:rPr>
          <w:b/>
        </w:rPr>
        <w:t>$169 per person including GST</w:t>
      </w:r>
      <w:r>
        <w:t>, compared with three ordinary $59 visits at $177. Allocate $53 to each of three venue redemptions and $10 to the network service. Each venue knows its realised tariff before accepting pass inventory. This is a proposed tariff for approval.</w:t>
      </w:r>
    </w:p>
    <w:p>
      <w:pPr/>
      <w:r>
        <w:t>For five passes bought together:</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4180"/>
        <w:gridCol w:w="5972"/>
      </w:tblGrid>
      <w:tr>
        <w:trPr>
          <w:cantSplit/>
          <w:tblHeader w:val="true"/>
        </w:trPr>
        <w:tc>
          <w:tcPr>
            <w:tcW w:type="dxa" w:w="4180"/>
            <w:vAlign w:val="center"/>
            <w:shd w:fill="203B4C"/>
          </w:tcPr>
          <w:p>
            <w:pPr>
              <w:pStyle w:val="TableHead"/>
              <w:keepNext/>
              <w:keepLines/>
            </w:pPr>
            <w:r>
              <w:rPr>
                <w:color w:val="FFFFFF"/>
              </w:rPr>
              <w:t>Settlement item</w:t>
            </w:r>
          </w:p>
        </w:tc>
        <w:tc>
          <w:tcPr>
            <w:tcW w:type="dxa" w:w="5972"/>
            <w:vAlign w:val="center"/>
            <w:shd w:fill="203B4C"/>
          </w:tcPr>
          <w:p>
            <w:pPr>
              <w:pStyle w:val="TableHead"/>
              <w:keepNext/>
              <w:keepLines/>
              <w:jc w:val="center"/>
            </w:pPr>
            <w:r>
              <w:rPr>
                <w:color w:val="FFFFFF"/>
              </w:rPr>
              <w:t>Amount</w:t>
            </w:r>
          </w:p>
        </w:tc>
      </w:tr>
      <w:tr>
        <w:trPr>
          <w:cantSplit/>
        </w:trPr>
        <w:tc>
          <w:tcPr>
            <w:tcW w:type="dxa" w:w="4180"/>
            <w:vAlign w:val="top"/>
            <w:shd w:fill="EDF2EE"/>
          </w:tcPr>
          <w:p>
            <w:pPr>
              <w:pStyle w:val="TableText"/>
              <w:keepNext w:val="0"/>
              <w:keepLines/>
            </w:pPr>
            <w:r>
              <w:t>Customer payment</w:t>
            </w:r>
          </w:p>
        </w:tc>
        <w:tc>
          <w:tcPr>
            <w:tcW w:type="dxa" w:w="5972"/>
            <w:vAlign w:val="center"/>
            <w:shd w:fill="EDF2EE"/>
          </w:tcPr>
          <w:p>
            <w:pPr>
              <w:pStyle w:val="TableText"/>
              <w:keepNext w:val="0"/>
              <w:keepLines/>
              <w:jc w:val="center"/>
            </w:pPr>
            <w:r>
              <w:t>$845.00</w:t>
            </w:r>
          </w:p>
        </w:tc>
      </w:tr>
      <w:tr>
        <w:trPr>
          <w:cantSplit/>
        </w:trPr>
        <w:tc>
          <w:tcPr>
            <w:tcW w:type="dxa" w:w="4180"/>
            <w:vAlign w:val="top"/>
            <w:shd w:fill="FFFFFF"/>
          </w:tcPr>
          <w:p>
            <w:pPr>
              <w:pStyle w:val="TableText"/>
              <w:keepNext w:val="0"/>
              <w:keepLines/>
            </w:pPr>
            <w:r>
              <w:t>Three-venue allocations, including GST</w:t>
            </w:r>
          </w:p>
        </w:tc>
        <w:tc>
          <w:tcPr>
            <w:tcW w:type="dxa" w:w="5972"/>
            <w:vAlign w:val="center"/>
            <w:shd w:fill="FFFFFF"/>
          </w:tcPr>
          <w:p>
            <w:pPr>
              <w:pStyle w:val="TableText"/>
              <w:keepNext w:val="0"/>
              <w:keepLines/>
              <w:jc w:val="center"/>
            </w:pPr>
            <w:r>
              <w:t>$795.00</w:t>
            </w:r>
          </w:p>
        </w:tc>
      </w:tr>
      <w:tr>
        <w:trPr>
          <w:cantSplit/>
        </w:trPr>
        <w:tc>
          <w:tcPr>
            <w:tcW w:type="dxa" w:w="4180"/>
            <w:vAlign w:val="top"/>
            <w:shd w:fill="EDF2EE"/>
          </w:tcPr>
          <w:p>
            <w:pPr>
              <w:pStyle w:val="TableText"/>
              <w:keepNext w:val="0"/>
              <w:keepLines/>
            </w:pPr>
            <w:r>
              <w:t>Network service component, including GST</w:t>
            </w:r>
          </w:p>
        </w:tc>
        <w:tc>
          <w:tcPr>
            <w:tcW w:type="dxa" w:w="5972"/>
            <w:vAlign w:val="center"/>
            <w:shd w:fill="EDF2EE"/>
          </w:tcPr>
          <w:p>
            <w:pPr>
              <w:pStyle w:val="TableText"/>
              <w:keepNext w:val="0"/>
              <w:keepLines/>
              <w:jc w:val="center"/>
            </w:pPr>
            <w:r>
              <w:t>$50.00</w:t>
            </w:r>
          </w:p>
        </w:tc>
      </w:tr>
      <w:tr>
        <w:trPr>
          <w:cantSplit/>
        </w:trPr>
        <w:tc>
          <w:tcPr>
            <w:tcW w:type="dxa" w:w="4180"/>
            <w:vAlign w:val="top"/>
            <w:shd w:fill="FFFFFF"/>
          </w:tcPr>
          <w:p>
            <w:pPr>
              <w:pStyle w:val="TableText"/>
              <w:keepNext w:val="0"/>
              <w:keepLines/>
            </w:pPr>
            <w:r>
              <w:t>Network service revenue, excluding GST</w:t>
            </w:r>
          </w:p>
        </w:tc>
        <w:tc>
          <w:tcPr>
            <w:tcW w:type="dxa" w:w="5972"/>
            <w:vAlign w:val="center"/>
            <w:shd w:fill="FFFFFF"/>
          </w:tcPr>
          <w:p>
            <w:pPr>
              <w:pStyle w:val="TableText"/>
              <w:keepNext w:val="0"/>
              <w:keepLines/>
              <w:jc w:val="center"/>
            </w:pPr>
            <w:r>
              <w:t>$45.45</w:t>
            </w:r>
          </w:p>
        </w:tc>
      </w:tr>
      <w:tr>
        <w:trPr>
          <w:cantSplit/>
        </w:trPr>
        <w:tc>
          <w:tcPr>
            <w:tcW w:type="dxa" w:w="4180"/>
            <w:vAlign w:val="top"/>
            <w:shd w:fill="EDF2EE"/>
          </w:tcPr>
          <w:p>
            <w:pPr>
              <w:pStyle w:val="TableText"/>
              <w:keepNext w:val="0"/>
              <w:keepLines/>
            </w:pPr>
            <w:r>
              <w:t>Domestic-card processor cash charge</w:t>
            </w:r>
          </w:p>
        </w:tc>
        <w:tc>
          <w:tcPr>
            <w:tcW w:type="dxa" w:w="5972"/>
            <w:vAlign w:val="center"/>
            <w:shd w:fill="EDF2EE"/>
          </w:tcPr>
          <w:p>
            <w:pPr>
              <w:pStyle w:val="TableText"/>
              <w:keepNext w:val="0"/>
              <w:keepLines/>
              <w:jc w:val="center"/>
            </w:pPr>
            <w:r>
              <w:t>$14.2425</w:t>
            </w:r>
          </w:p>
        </w:tc>
      </w:tr>
      <w:tr>
        <w:trPr>
          <w:cantSplit/>
        </w:trPr>
        <w:tc>
          <w:tcPr>
            <w:tcW w:type="dxa" w:w="4180"/>
            <w:vAlign w:val="top"/>
            <w:shd w:fill="FFFFFF"/>
          </w:tcPr>
          <w:p>
            <w:pPr>
              <w:pStyle w:val="TableText"/>
              <w:keepNext w:val="0"/>
              <w:keepLines/>
            </w:pPr>
            <w:r>
              <w:t>Processor cost excluding GST if credit eligible</w:t>
            </w:r>
          </w:p>
        </w:tc>
        <w:tc>
          <w:tcPr>
            <w:tcW w:type="dxa" w:w="5972"/>
            <w:vAlign w:val="center"/>
            <w:shd w:fill="FFFFFF"/>
          </w:tcPr>
          <w:p>
            <w:pPr>
              <w:pStyle w:val="TableText"/>
              <w:keepNext w:val="0"/>
              <w:keepLines/>
              <w:jc w:val="center"/>
            </w:pPr>
            <w:r>
              <w:t>$12.947727</w:t>
            </w:r>
          </w:p>
        </w:tc>
      </w:tr>
      <w:tr>
        <w:trPr>
          <w:cantSplit/>
        </w:trPr>
        <w:tc>
          <w:tcPr>
            <w:tcW w:type="dxa" w:w="4180"/>
            <w:vAlign w:val="top"/>
            <w:shd w:fill="EDF2EE"/>
          </w:tcPr>
          <w:p>
            <w:pPr>
              <w:pStyle w:val="TableText"/>
              <w:keepNext w:val="0"/>
              <w:keepLines/>
            </w:pPr>
            <w:r>
              <w:t>Network amount after processing, before its other costs</w:t>
            </w:r>
          </w:p>
        </w:tc>
        <w:tc>
          <w:tcPr>
            <w:tcW w:type="dxa" w:w="5972"/>
            <w:vAlign w:val="center"/>
            <w:shd w:fill="EDF2EE"/>
          </w:tcPr>
          <w:p>
            <w:pPr>
              <w:pStyle w:val="TableText"/>
              <w:keepNext w:val="0"/>
              <w:keepLines/>
              <w:jc w:val="center"/>
            </w:pPr>
            <w:r>
              <w:t>$32.51</w:t>
            </w:r>
          </w:p>
        </w:tc>
      </w:tr>
    </w:tbl>
    <w:p>
      <w:pPr>
        <w:spacing w:after="20" w:before="0" w:line="240" w:lineRule="auto"/>
      </w:pPr>
      <w:r>
        <w:rPr>
          <w:sz w:val="6"/>
        </w:rPr>
      </w:r>
    </w:p>
    <w:p>
      <w:pPr/>
      <w:r>
        <w:t>The $795 venue allocation is held for venue settlement. Unredeemed entitlements remain separately tracked; the network cannot treat that money as earned revenue. The central service earns approximately $6.50 per pass after the example processing charge, before support, software, marketing, refunds and administration. Without claiming GST credit on processor fees, the five-pass amount is $31.21. [</w:t>
      </w:r>
      <w:hyperlink w:anchor="source_R103">
        <w:r>
          <w:rPr>
            <w:color w:val="275E67"/>
            <w:u w:val="single"/>
          </w:rPr>
          <w:t xml:space="preserve">R103</w:t>
        </w:r>
      </w:hyperlink>
      <w:r>
        <w:t>]</w:t>
      </w:r>
    </w:p>
    <w:p>
      <w:pPr/>
      <w:r>
        <w:t>At 1,000 passes sold in groups of five, the same tariff produces approximately $6,501 after processing and before other network costs. This demonstrates why the central business also needs properly priced design, installation, training, maintenance and optional service contracts. A large aggregate ticket flow does not itself fund the whole central operation.</w:t>
      </w:r>
    </w:p>
    <w:p>
      <w:pPr/>
      <w:r>
        <w:t>An agent or online distributor commission would consume part of this small direct service margin. Build a separate wholesale tariff or negotiate a separately priced marketing service. Do not silently stack a second commission onto the same direct pass.</w:t>
      </w:r>
    </w:p>
    <w:p>
      <w:pPr/>
      <w:r>
        <w:t>Rooms on an itinerary should offer different challenges and local stories. Booking availability, travel time and partner opening days determine the route. Accommodation, meals, transport, cultural experiences and other attractions retain their own prices, payments and responsibilities. Count the additional visits and local spending observed through agreed referral records; do not count all tourism spending as escape-network revenue. Skill transfer follows the participant's chosen learning across different rooms without requiring broad sharing of their private recordings.</w:t>
      </w:r>
    </w:p>
    <w:p>
      <w:pPr>
        <w:pStyle w:val="SourceNote"/>
      </w:pPr>
      <w:r>
        <w:t xml:space="preserve">Sources: </w:t>
      </w:r>
      <w:hyperlink w:anchor="source_R103">
        <w:r>
          <w:rPr>
            <w:color w:val="275E67"/>
            <w:u w:val="single"/>
          </w:rPr>
          <w:t xml:space="preserve">R103</w:t>
        </w:r>
      </w:hyperlink>
      <w:r>
        <w:t xml:space="preserve">, </w:t>
      </w:r>
      <w:hyperlink w:anchor="source_M05">
        <w:r>
          <w:rPr>
            <w:color w:val="275E67"/>
            <w:u w:val="single"/>
          </w:rPr>
          <w:t xml:space="preserve">M05</w:t>
        </w:r>
      </w:hyperlink>
    </w:p>
    <w:p>
      <w:bookmarkStart w:id="44" w:name="s_finance_Capital_that_supports_34d3fd"/>
      <w:pPr>
        <w:pStyle w:val="Heading2"/>
      </w:pPr>
      <w:r>
        <w:t>Capital that supports continuing local capability</w:t>
      </w:r>
      <w:bookmarkEnd w:id="44"/>
    </w:p>
    <w:p>
      <w:pPr/>
      <w:r>
        <w:t>Funding can combine founder capital, host contributions, customer contracts, debt, co-operative member capital, public-benefit funding and separately negotiated investment. Each proposed source is tied to an eligible applicant, a defined use and its actual terms. The initial cash plan does not assume a grant award or a partner commitment.</w:t>
      </w:r>
    </w:p>
    <w:p>
      <w:pPr/>
      <w:r>
        <w:t>Where external capital finances a room for later local acquisition, define its purchase basis, repayment, agreed return, end point and ownership transfer. The deployment margin, investor return and operating surplus are recorded separately. A co-operative can acquire its room or venue assets while continuing to buy network services on agreed terms.</w:t>
      </w:r>
    </w:p>
    <w:p>
      <w:pPr/>
      <w:r>
        <w:t>Renewal money belongs in the local operating case from opening. Paying off the first fitout does not fund a later replacement automatically. A new upgrade has its own scope, price and ownership record.</w:t>
      </w:r>
    </w:p>
    <w:p>
      <w:pPr>
        <w:pStyle w:val="SourceNote"/>
      </w:pPr>
      <w:r>
        <w:t xml:space="preserve">Sources: </w:t>
      </w:r>
      <w:hyperlink w:anchor="source_D01">
        <w:r>
          <w:rPr>
            <w:color w:val="275E67"/>
            <w:u w:val="single"/>
          </w:rPr>
          <w:t xml:space="preserve">D01</w:t>
        </w:r>
      </w:hyperlink>
      <w:r>
        <w:t xml:space="preserve">, </w:t>
      </w:r>
      <w:hyperlink w:anchor="source_D10">
        <w:r>
          <w:rPr>
            <w:color w:val="275E67"/>
            <w:u w:val="single"/>
          </w:rPr>
          <w:t xml:space="preserve">D10</w:t>
        </w:r>
      </w:hyperlink>
      <w:r>
        <w:t xml:space="preserve">, </w:t>
      </w:r>
      <w:hyperlink w:anchor="source_D12">
        <w:r>
          <w:rPr>
            <w:color w:val="275E67"/>
            <w:u w:val="single"/>
          </w:rPr>
          <w:t xml:space="preserve">D12</w:t>
        </w:r>
      </w:hyperlink>
      <w:r>
        <w:t xml:space="preserve">, </w:t>
      </w:r>
      <w:hyperlink w:anchor="source_P03">
        <w:r>
          <w:rPr>
            <w:color w:val="275E67"/>
            <w:u w:val="single"/>
          </w:rPr>
          <w:t xml:space="preserve">P03</w:t>
        </w:r>
      </w:hyperlink>
      <w:r>
        <w:t xml:space="preserve">, </w:t>
      </w:r>
      <w:hyperlink w:anchor="source_P04">
        <w:r>
          <w:rPr>
            <w:color w:val="275E67"/>
            <w:u w:val="single"/>
          </w:rPr>
          <w:t xml:space="preserve">P04</w:t>
        </w:r>
      </w:hyperlink>
      <w:r>
        <w:t xml:space="preserve">, </w:t>
      </w:r>
      <w:hyperlink w:anchor="source_P05">
        <w:r>
          <w:rPr>
            <w:color w:val="275E67"/>
            <w:u w:val="single"/>
          </w:rPr>
          <w:t xml:space="preserve">P05</w:t>
        </w:r>
      </w:hyperlink>
    </w:p>
    <w:p>
      <w:bookmarkStart w:id="45" w:name="s_finance_Cash_timing_and_comme_9e185b"/>
      <w:pPr>
        <w:pStyle w:val="Heading2"/>
      </w:pPr>
      <w:r>
        <w:t>Cash timing and commercial protection</w:t>
      </w:r>
      <w:bookmarkEnd w:id="45"/>
    </w:p>
    <w:p>
      <w:pPr/>
      <w:r>
        <w:t>The cash schedule follows supplier deposits, delivery, site works, commissioning, payroll, booking receipts, partner settlement, refunds, taxes and renewal funding. Milestone amounts come from the accepted contracts. Once the remaining scopes and payment terms are quoted, the completed cash forecast will show the cash required before opening and the lowest cash balance during the sales ramp.</w:t>
      </w:r>
    </w:p>
    <w:p>
      <w:pPr/>
      <w:r>
        <w:t>A staged contract can separate paid discovery, detailed design, procurement, installation, acceptance and support. Each stage has an output that can be reviewed and accepted. Variations identify their cost and effect on the timetable before the work proceeds under the agreed authority.</w:t>
      </w:r>
    </w:p>
    <w:p>
      <w:pPr/>
      <w:r>
        <w:t>C-Hour remains non-monetary recognition of voluntary contribution. Paid work, investor returns and ownership interests use their own agreements and accounts. Voluntary participation does not supply an assumed wage saving in the commercial budget.</w:t>
      </w:r>
    </w:p>
    <w:p>
      <w:pPr>
        <w:pStyle w:val="SourceNote"/>
      </w:pPr>
      <w:r>
        <w:t xml:space="preserve">Sources: </w:t>
      </w:r>
      <w:hyperlink w:anchor="source_D15">
        <w:r>
          <w:rPr>
            <w:color w:val="275E67"/>
            <w:u w:val="single"/>
          </w:rPr>
          <w:t xml:space="preserve">D15</w:t>
        </w:r>
      </w:hyperlink>
      <w:r>
        <w:t xml:space="preserve">, </w:t>
      </w:r>
      <w:hyperlink w:anchor="source_P09">
        <w:r>
          <w:rPr>
            <w:color w:val="275E67"/>
            <w:u w:val="single"/>
          </w:rPr>
          <w:t xml:space="preserve">P09</w:t>
        </w:r>
      </w:hyperlink>
      <w:r>
        <w:t xml:space="preserve">, </w:t>
      </w:r>
      <w:hyperlink w:anchor="source_P14">
        <w:r>
          <w:rPr>
            <w:color w:val="275E67"/>
            <w:u w:val="single"/>
          </w:rPr>
          <w:t xml:space="preserve">P14</w:t>
        </w:r>
      </w:hyperlink>
    </w:p>
    <w:p>
      <w:bookmarkStart w:id="46" w:name="chapter_learning"/>
      <w:pPr>
        <w:pStyle w:val="Heading1"/>
        <w:pageBreakBefore/>
      </w:pPr>
      <w:r>
        <w:t>Language, teamwork and whole-life learning</w:t>
      </w:r>
      <w:bookmarkEnd w:id="46"/>
    </w:p>
    <w:p>
      <w:pPr>
        <w:pStyle w:val="Lead"/>
      </w:pPr>
      <w:r>
        <w:t>Make the experience useful beyond the room through specific noticing, richer language, repair and practice in a new setting.</w:t>
      </w:r>
    </w:p>
    <w:p>
      <w:bookmarkStart w:id="47" w:name="s_learning_The_learning_product_d75de8"/>
      <w:pPr>
        <w:pStyle w:val="Heading2"/>
      </w:pPr>
      <w:r>
        <w:t>The learning product inside the business</w:t>
      </w:r>
      <w:bookmarkEnd w:id="47"/>
    </w:p>
    <w:p>
      <w:pPr/>
      <w:r>
        <w:t>People first experience the challenge together. Microphones and task events preserve selected moments for reflection afterwards. The facilitator helps participants understand how their words, decisions and responses affected the experience, recognise something worth keeping, and practise something they want to change.</w:t>
      </w:r>
    </w:p>
    <w:p>
      <w:pPr/>
      <w:r>
        <w:t>The learning begins in primary school and develops through adolescence, working life, family relationships and later life. Returning customers encounter new stories and tasks. The repeated capability might be listening, explaining, handling uncertainty, negotiating a boundary, sharing work or repairing an exchange.</w:t>
      </w:r>
    </w:p>
    <w:p>
      <w:pPr/>
      <w:r>
        <w:t>The game runs without hints. Learning support happens in the reflection and any separately booked workshop. A later room creates another opportunity to use the skill independently.</w:t>
      </w:r>
    </w:p>
    <w:p>
      <w:pPr>
        <w:pStyle w:val="SourceNote"/>
      </w:pPr>
      <w:r>
        <w:t xml:space="preserve">Sources: </w:t>
      </w:r>
      <w:hyperlink w:anchor="source_D03">
        <w:r>
          <w:rPr>
            <w:color w:val="275E67"/>
            <w:u w:val="single"/>
          </w:rPr>
          <w:t xml:space="preserve">D03</w:t>
        </w:r>
      </w:hyperlink>
      <w:r>
        <w:t xml:space="preserve">, </w:t>
      </w:r>
      <w:hyperlink w:anchor="source_D05">
        <w:r>
          <w:rPr>
            <w:color w:val="275E67"/>
            <w:u w:val="single"/>
          </w:rPr>
          <w:t xml:space="preserve">D05</w:t>
        </w:r>
      </w:hyperlink>
      <w:r>
        <w:t xml:space="preserve">, </w:t>
      </w:r>
      <w:hyperlink w:anchor="source_D06">
        <w:r>
          <w:rPr>
            <w:color w:val="275E67"/>
            <w:u w:val="single"/>
          </w:rPr>
          <w:t xml:space="preserve">D06</w:t>
        </w:r>
      </w:hyperlink>
      <w:r>
        <w:t xml:space="preserve">, </w:t>
      </w:r>
      <w:hyperlink w:anchor="source_D07">
        <w:r>
          <w:rPr>
            <w:color w:val="275E67"/>
            <w:u w:val="single"/>
          </w:rPr>
          <w:t xml:space="preserve">D07</w:t>
        </w:r>
      </w:hyperlink>
    </w:p>
    <w:p>
      <w:bookmarkStart w:id="48" w:name="s_learning_Noticing_destructive_42ea31"/>
      <w:pPr>
        <w:pStyle w:val="Heading2"/>
      </w:pPr>
      <w:r>
        <w:t>Noticing destructive language and useful repair</w:t>
      </w:r>
      <w:bookmarkEnd w:id="48"/>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774"/>
        <w:gridCol w:w="2836"/>
        <w:gridCol w:w="4542"/>
      </w:tblGrid>
      <w:tr>
        <w:trPr>
          <w:cantSplit/>
          <w:tblHeader w:val="true"/>
        </w:trPr>
        <w:tc>
          <w:tcPr>
            <w:tcW w:type="dxa" w:w="2774"/>
            <w:vAlign w:val="center"/>
            <w:shd w:fill="203B4C"/>
          </w:tcPr>
          <w:p>
            <w:pPr>
              <w:pStyle w:val="TableHead"/>
              <w:keepNext/>
              <w:keepLines/>
            </w:pPr>
            <w:r>
              <w:rPr>
                <w:color w:val="FFFFFF"/>
              </w:rPr>
              <w:t>Pattern</w:t>
            </w:r>
          </w:p>
        </w:tc>
        <w:tc>
          <w:tcPr>
            <w:tcW w:type="dxa" w:w="2836"/>
            <w:vAlign w:val="center"/>
            <w:shd w:fill="203B4C"/>
          </w:tcPr>
          <w:p>
            <w:pPr>
              <w:pStyle w:val="TableHead"/>
              <w:keepNext/>
              <w:keepLines/>
            </w:pPr>
            <w:r>
              <w:rPr>
                <w:color w:val="FFFFFF"/>
              </w:rPr>
              <w:t>Illustrative expression</w:t>
            </w:r>
          </w:p>
        </w:tc>
        <w:tc>
          <w:tcPr>
            <w:tcW w:type="dxa" w:w="4542"/>
            <w:vAlign w:val="center"/>
            <w:shd w:fill="203B4C"/>
          </w:tcPr>
          <w:p>
            <w:pPr>
              <w:pStyle w:val="TableHead"/>
              <w:keepNext/>
              <w:keepLines/>
            </w:pPr>
            <w:r>
              <w:rPr>
                <w:color w:val="FFFFFF"/>
              </w:rPr>
              <w:t>Question for reflection</w:t>
            </w:r>
          </w:p>
        </w:tc>
      </w:tr>
      <w:tr>
        <w:trPr>
          <w:cantSplit/>
        </w:trPr>
        <w:tc>
          <w:tcPr>
            <w:tcW w:type="dxa" w:w="2774"/>
            <w:vAlign w:val="top"/>
            <w:shd w:fill="EDF2EE"/>
          </w:tcPr>
          <w:p>
            <w:pPr>
              <w:pStyle w:val="TableText"/>
              <w:keepNext w:val="0"/>
              <w:keepLines/>
            </w:pPr>
            <w:r>
              <w:t>Blame</w:t>
            </w:r>
          </w:p>
        </w:tc>
        <w:tc>
          <w:tcPr>
            <w:tcW w:type="dxa" w:w="2836"/>
            <w:vAlign w:val="top"/>
            <w:shd w:fill="EDF2EE"/>
          </w:tcPr>
          <w:p>
            <w:pPr>
              <w:pStyle w:val="TableText"/>
              <w:keepNext w:val="0"/>
              <w:keepLines/>
            </w:pPr>
            <w:r>
              <w:t>This is all your fault.</w:t>
            </w:r>
          </w:p>
        </w:tc>
        <w:tc>
          <w:tcPr>
            <w:tcW w:type="dxa" w:w="4542"/>
            <w:vAlign w:val="top"/>
            <w:shd w:fill="EDF2EE"/>
          </w:tcPr>
          <w:p>
            <w:pPr>
              <w:pStyle w:val="TableText"/>
              <w:keepNext w:val="0"/>
              <w:keepLines/>
            </w:pPr>
            <w:r>
              <w:t>What happened, who knew what, and how was responsibility distributed?</w:t>
            </w:r>
          </w:p>
        </w:tc>
      </w:tr>
      <w:tr>
        <w:trPr>
          <w:cantSplit/>
        </w:trPr>
        <w:tc>
          <w:tcPr>
            <w:tcW w:type="dxa" w:w="2774"/>
            <w:vAlign w:val="top"/>
            <w:shd w:fill="FFFFFF"/>
          </w:tcPr>
          <w:p>
            <w:pPr>
              <w:pStyle w:val="TableText"/>
              <w:keepNext w:val="0"/>
              <w:keepLines/>
            </w:pPr>
            <w:r>
              <w:t>Contempt or humiliation</w:t>
            </w:r>
          </w:p>
        </w:tc>
        <w:tc>
          <w:tcPr>
            <w:tcW w:type="dxa" w:w="2836"/>
            <w:vAlign w:val="top"/>
            <w:shd w:fill="FFFFFF"/>
          </w:tcPr>
          <w:p>
            <w:pPr>
              <w:pStyle w:val="TableText"/>
              <w:keepNext w:val="0"/>
              <w:keepLines/>
            </w:pPr>
            <w:r>
              <w:t>You are useless.</w:t>
            </w:r>
          </w:p>
        </w:tc>
        <w:tc>
          <w:tcPr>
            <w:tcW w:type="dxa" w:w="4542"/>
            <w:vAlign w:val="top"/>
            <w:shd w:fill="FFFFFF"/>
          </w:tcPr>
          <w:p>
            <w:pPr>
              <w:pStyle w:val="TableText"/>
              <w:keepNext w:val="0"/>
              <w:keepLines/>
            </w:pPr>
            <w:r>
              <w:t>What did the personal judgement do to the exchange?</w:t>
            </w:r>
          </w:p>
        </w:tc>
      </w:tr>
      <w:tr>
        <w:trPr>
          <w:cantSplit/>
        </w:trPr>
        <w:tc>
          <w:tcPr>
            <w:tcW w:type="dxa" w:w="2774"/>
            <w:vAlign w:val="top"/>
            <w:shd w:fill="EDF2EE"/>
          </w:tcPr>
          <w:p>
            <w:pPr>
              <w:pStyle w:val="TableText"/>
              <w:keepNext w:val="0"/>
              <w:keepLines/>
            </w:pPr>
            <w:r>
              <w:t>Global labels</w:t>
            </w:r>
          </w:p>
        </w:tc>
        <w:tc>
          <w:tcPr>
            <w:tcW w:type="dxa" w:w="2836"/>
            <w:vAlign w:val="top"/>
            <w:shd w:fill="EDF2EE"/>
          </w:tcPr>
          <w:p>
            <w:pPr>
              <w:pStyle w:val="TableText"/>
              <w:keepNext w:val="0"/>
              <w:keepLines/>
            </w:pPr>
            <w:r>
              <w:t>You always ruin everything.</w:t>
            </w:r>
          </w:p>
        </w:tc>
        <w:tc>
          <w:tcPr>
            <w:tcW w:type="dxa" w:w="4542"/>
            <w:vAlign w:val="top"/>
            <w:shd w:fill="EDF2EE"/>
          </w:tcPr>
          <w:p>
            <w:pPr>
              <w:pStyle w:val="TableText"/>
              <w:keepNext w:val="0"/>
              <w:keepLines/>
            </w:pPr>
            <w:r>
              <w:t>Which specific event became a claim about the whole person?</w:t>
            </w:r>
          </w:p>
        </w:tc>
      </w:tr>
      <w:tr>
        <w:trPr>
          <w:cantSplit/>
        </w:trPr>
        <w:tc>
          <w:tcPr>
            <w:tcW w:type="dxa" w:w="2774"/>
            <w:vAlign w:val="top"/>
            <w:shd w:fill="FFFFFF"/>
          </w:tcPr>
          <w:p>
            <w:pPr>
              <w:pStyle w:val="TableText"/>
              <w:keepNext w:val="0"/>
              <w:keepLines/>
            </w:pPr>
            <w:r>
              <w:t>Dismissal or exclusion</w:t>
            </w:r>
          </w:p>
        </w:tc>
        <w:tc>
          <w:tcPr>
            <w:tcW w:type="dxa" w:w="2836"/>
            <w:vAlign w:val="top"/>
            <w:shd w:fill="FFFFFF"/>
          </w:tcPr>
          <w:p>
            <w:pPr>
              <w:pStyle w:val="TableText"/>
              <w:keepNext w:val="0"/>
              <w:keepLines/>
            </w:pPr>
            <w:r>
              <w:t>Nobody asked you.</w:t>
            </w:r>
          </w:p>
        </w:tc>
        <w:tc>
          <w:tcPr>
            <w:tcW w:type="dxa" w:w="4542"/>
            <w:vAlign w:val="top"/>
            <w:shd w:fill="FFFFFF"/>
          </w:tcPr>
          <w:p>
            <w:pPr>
              <w:pStyle w:val="TableText"/>
              <w:keepNext w:val="0"/>
              <w:keepLines/>
            </w:pPr>
            <w:r>
              <w:t>What contribution was attempted and was it considered?</w:t>
            </w:r>
          </w:p>
        </w:tc>
      </w:tr>
      <w:tr>
        <w:trPr>
          <w:cantSplit/>
        </w:trPr>
        <w:tc>
          <w:tcPr>
            <w:tcW w:type="dxa" w:w="2774"/>
            <w:vAlign w:val="top"/>
            <w:shd w:fill="EDF2EE"/>
          </w:tcPr>
          <w:p>
            <w:pPr>
              <w:pStyle w:val="TableText"/>
              <w:keepNext w:val="0"/>
              <w:keepLines/>
            </w:pPr>
            <w:r>
              <w:t>Pressure</w:t>
            </w:r>
          </w:p>
        </w:tc>
        <w:tc>
          <w:tcPr>
            <w:tcW w:type="dxa" w:w="2836"/>
            <w:vAlign w:val="top"/>
            <w:shd w:fill="EDF2EE"/>
          </w:tcPr>
          <w:p>
            <w:pPr>
              <w:pStyle w:val="TableText"/>
              <w:keepNext w:val="0"/>
              <w:keepLines/>
            </w:pPr>
            <w:r>
              <w:t>Do it my way or you are out.</w:t>
            </w:r>
          </w:p>
        </w:tc>
        <w:tc>
          <w:tcPr>
            <w:tcW w:type="dxa" w:w="4542"/>
            <w:vAlign w:val="top"/>
            <w:shd w:fill="EDF2EE"/>
          </w:tcPr>
          <w:p>
            <w:pPr>
              <w:pStyle w:val="TableText"/>
              <w:keepNext w:val="0"/>
              <w:keepLines/>
            </w:pPr>
            <w:r>
              <w:t>What choices and boundaries were available?</w:t>
            </w:r>
          </w:p>
        </w:tc>
      </w:tr>
      <w:tr>
        <w:trPr>
          <w:cantSplit/>
        </w:trPr>
        <w:tc>
          <w:tcPr>
            <w:tcW w:type="dxa" w:w="2774"/>
            <w:vAlign w:val="top"/>
            <w:shd w:fill="FFFFFF"/>
          </w:tcPr>
          <w:p>
            <w:pPr>
              <w:pStyle w:val="TableText"/>
              <w:keepNext w:val="0"/>
              <w:keepLines/>
            </w:pPr>
            <w:r>
              <w:t>Destructive self-talk</w:t>
            </w:r>
          </w:p>
        </w:tc>
        <w:tc>
          <w:tcPr>
            <w:tcW w:type="dxa" w:w="2836"/>
            <w:vAlign w:val="top"/>
            <w:shd w:fill="FFFFFF"/>
          </w:tcPr>
          <w:p>
            <w:pPr>
              <w:pStyle w:val="TableText"/>
              <w:keepNext w:val="0"/>
              <w:keepLines/>
            </w:pPr>
            <w:r>
              <w:t>I am stupid.</w:t>
            </w:r>
          </w:p>
        </w:tc>
        <w:tc>
          <w:tcPr>
            <w:tcW w:type="dxa" w:w="4542"/>
            <w:vAlign w:val="top"/>
            <w:shd w:fill="FFFFFF"/>
          </w:tcPr>
          <w:p>
            <w:pPr>
              <w:pStyle w:val="TableText"/>
              <w:keepNext w:val="0"/>
              <w:keepLines/>
            </w:pPr>
            <w:r>
              <w:t>What difficulty became an identity judgement?</w:t>
            </w:r>
          </w:p>
        </w:tc>
      </w:tr>
      <w:tr>
        <w:trPr>
          <w:cantSplit/>
        </w:trPr>
        <w:tc>
          <w:tcPr>
            <w:tcW w:type="dxa" w:w="2774"/>
            <w:vAlign w:val="top"/>
            <w:shd w:fill="EDF2EE"/>
          </w:tcPr>
          <w:p>
            <w:pPr>
              <w:pStyle w:val="TableText"/>
              <w:keepNext w:val="0"/>
              <w:keepLines/>
            </w:pPr>
            <w:r>
              <w:t>Premature hopelessness</w:t>
            </w:r>
          </w:p>
        </w:tc>
        <w:tc>
          <w:tcPr>
            <w:tcW w:type="dxa" w:w="2836"/>
            <w:vAlign w:val="top"/>
            <w:shd w:fill="EDF2EE"/>
          </w:tcPr>
          <w:p>
            <w:pPr>
              <w:pStyle w:val="TableText"/>
              <w:keepNext w:val="0"/>
              <w:keepLines/>
            </w:pPr>
            <w:r>
              <w:t>Nothing will work.</w:t>
            </w:r>
          </w:p>
        </w:tc>
        <w:tc>
          <w:tcPr>
            <w:tcW w:type="dxa" w:w="4542"/>
            <w:vAlign w:val="top"/>
            <w:shd w:fill="EDF2EE"/>
          </w:tcPr>
          <w:p>
            <w:pPr>
              <w:pStyle w:val="TableText"/>
              <w:keepNext w:val="0"/>
              <w:keepLines/>
            </w:pPr>
            <w:r>
              <w:t>What options and support remained?</w:t>
            </w:r>
          </w:p>
        </w:tc>
      </w:tr>
      <w:tr>
        <w:trPr>
          <w:cantSplit/>
        </w:trPr>
        <w:tc>
          <w:tcPr>
            <w:tcW w:type="dxa" w:w="2774"/>
            <w:vAlign w:val="top"/>
            <w:shd w:fill="FFFFFF"/>
          </w:tcPr>
          <w:p>
            <w:pPr>
              <w:pStyle w:val="TableText"/>
              <w:keepNext w:val="0"/>
              <w:keepLines/>
            </w:pPr>
            <w:r>
              <w:t>Certainty that silences</w:t>
            </w:r>
          </w:p>
        </w:tc>
        <w:tc>
          <w:tcPr>
            <w:tcW w:type="dxa" w:w="2836"/>
            <w:vAlign w:val="top"/>
            <w:shd w:fill="FFFFFF"/>
          </w:tcPr>
          <w:p>
            <w:pPr>
              <w:pStyle w:val="TableText"/>
              <w:keepNext w:val="0"/>
              <w:keepLines/>
            </w:pPr>
            <w:r>
              <w:t>Obviously I am right.</w:t>
            </w:r>
          </w:p>
        </w:tc>
        <w:tc>
          <w:tcPr>
            <w:tcW w:type="dxa" w:w="4542"/>
            <w:vAlign w:val="top"/>
            <w:shd w:fill="FFFFFF"/>
          </w:tcPr>
          <w:p>
            <w:pPr>
              <w:pStyle w:val="TableText"/>
              <w:keepNext w:val="0"/>
              <w:keepLines/>
            </w:pPr>
            <w:r>
              <w:t>What evidence and alternative explanations were considered?</w:t>
            </w:r>
          </w:p>
        </w:tc>
      </w:tr>
      <w:tr>
        <w:trPr>
          <w:cantSplit/>
        </w:trPr>
        <w:tc>
          <w:tcPr>
            <w:tcW w:type="dxa" w:w="2774"/>
            <w:vAlign w:val="top"/>
            <w:shd w:fill="EDF2EE"/>
          </w:tcPr>
          <w:p>
            <w:pPr>
              <w:pStyle w:val="TableText"/>
              <w:keepNext w:val="0"/>
              <w:keepLines/>
            </w:pPr>
            <w:r>
              <w:t>Deflection after harm</w:t>
            </w:r>
          </w:p>
        </w:tc>
        <w:tc>
          <w:tcPr>
            <w:tcW w:type="dxa" w:w="2836"/>
            <w:vAlign w:val="top"/>
            <w:shd w:fill="EDF2EE"/>
          </w:tcPr>
          <w:p>
            <w:pPr>
              <w:pStyle w:val="TableText"/>
              <w:keepNext w:val="0"/>
              <w:keepLines/>
            </w:pPr>
            <w:r>
              <w:t>It was only a joke.</w:t>
            </w:r>
          </w:p>
        </w:tc>
        <w:tc>
          <w:tcPr>
            <w:tcW w:type="dxa" w:w="4542"/>
            <w:vAlign w:val="top"/>
            <w:shd w:fill="EDF2EE"/>
          </w:tcPr>
          <w:p>
            <w:pPr>
              <w:pStyle w:val="TableText"/>
              <w:keepNext w:val="0"/>
              <w:keepLines/>
            </w:pPr>
            <w:r>
              <w:t>How did intention, reception and responsibility relate?</w:t>
            </w:r>
          </w:p>
        </w:tc>
      </w:tr>
    </w:tbl>
    <w:p>
      <w:pPr>
        <w:spacing w:after="20" w:before="0" w:line="240" w:lineRule="auto"/>
      </w:pPr>
      <w:r>
        <w:rPr>
          <w:sz w:val="6"/>
        </w:rPr>
      </w:r>
    </w:p>
    <w:p>
      <w:pPr/>
      <w:r>
        <w:t>The analysis examines an exchange in context. Anger, criticism, refusal and firm boundaries can be useful and appropriate. Profanity alone does not determine the meaning: 'This is fucking frustrating' expresses frustration, while 'You are fucking useless' directs degradation at a person. Banter, personal language, culture and the participants' accounts matter.</w:t>
      </w:r>
    </w:p>
    <w:p>
      <w:pPr/>
      <w:r>
        <w:t>Retain the words, surrounding turns, task state, observed response, possible repair and participants' interpretations. A quiet person may be reading, assembling, observing or thinking. The system identifies candidate moments for review; a facilitator checks attribution and context before discussing them. Participants can correct the record.</w:t>
      </w:r>
    </w:p>
    <w:p>
      <w:pPr/>
      <w:r>
        <w:t>Useful progress includes noticing a pattern, making a more specific request, accepting a boundary, hearing a different explanation, repairing harm and using the skill later. The record describes behaviour in a situation and the person's chosen learning.</w:t>
      </w:r>
    </w:p>
    <w:p>
      <w:pPr>
        <w:pStyle w:val="SourceNote"/>
      </w:pPr>
      <w:r>
        <w:t xml:space="preserve">Sources: </w:t>
      </w:r>
      <w:hyperlink w:anchor="source_D05">
        <w:r>
          <w:rPr>
            <w:color w:val="275E67"/>
            <w:u w:val="single"/>
          </w:rPr>
          <w:t xml:space="preserve">D05</w:t>
        </w:r>
      </w:hyperlink>
    </w:p>
    <w:p>
      <w:bookmarkStart w:id="49" w:name="s_learning_Vocabulary_that_give_1f7691"/>
      <w:pPr>
        <w:pStyle w:val="Heading2"/>
      </w:pPr>
      <w:r>
        <w:t>Vocabulary that gives people more choices</w:t>
      </w:r>
      <w:bookmarkEnd w:id="49"/>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402"/>
        <w:gridCol w:w="2916"/>
        <w:gridCol w:w="4835"/>
      </w:tblGrid>
      <w:tr>
        <w:trPr>
          <w:cantSplit/>
          <w:tblHeader w:val="true"/>
        </w:trPr>
        <w:tc>
          <w:tcPr>
            <w:tcW w:type="dxa" w:w="2402"/>
            <w:vAlign w:val="center"/>
            <w:shd w:fill="203B4C"/>
          </w:tcPr>
          <w:p>
            <w:pPr>
              <w:pStyle w:val="TableHead"/>
              <w:keepNext/>
              <w:keepLines/>
            </w:pPr>
            <w:r>
              <w:rPr>
                <w:color w:val="FFFFFF"/>
              </w:rPr>
              <w:t>Starting expression</w:t>
            </w:r>
          </w:p>
        </w:tc>
        <w:tc>
          <w:tcPr>
            <w:tcW w:type="dxa" w:w="2916"/>
            <w:vAlign w:val="center"/>
            <w:shd w:fill="203B4C"/>
          </w:tcPr>
          <w:p>
            <w:pPr>
              <w:pStyle w:val="TableHead"/>
              <w:keepNext/>
              <w:keepLines/>
            </w:pPr>
            <w:r>
              <w:rPr>
                <w:color w:val="FFFFFF"/>
              </w:rPr>
              <w:t>Useful distinction</w:t>
            </w:r>
          </w:p>
        </w:tc>
        <w:tc>
          <w:tcPr>
            <w:tcW w:type="dxa" w:w="4835"/>
            <w:vAlign w:val="center"/>
            <w:shd w:fill="203B4C"/>
          </w:tcPr>
          <w:p>
            <w:pPr>
              <w:pStyle w:val="TableHead"/>
              <w:keepNext/>
              <w:keepLines/>
            </w:pPr>
            <w:r>
              <w:rPr>
                <w:color w:val="FFFFFF"/>
              </w:rPr>
              <w:t>An alternative to rehearse afterwards</w:t>
            </w:r>
          </w:p>
        </w:tc>
      </w:tr>
      <w:tr>
        <w:trPr>
          <w:cantSplit/>
        </w:trPr>
        <w:tc>
          <w:tcPr>
            <w:tcW w:type="dxa" w:w="2402"/>
            <w:vAlign w:val="top"/>
            <w:shd w:fill="EDF2EE"/>
          </w:tcPr>
          <w:p>
            <w:pPr>
              <w:pStyle w:val="TableText"/>
              <w:keepNext w:val="0"/>
              <w:keepLines/>
            </w:pPr>
            <w:r>
              <w:t>You never listen.</w:t>
            </w:r>
          </w:p>
        </w:tc>
        <w:tc>
          <w:tcPr>
            <w:tcW w:type="dxa" w:w="2916"/>
            <w:vAlign w:val="top"/>
            <w:shd w:fill="EDF2EE"/>
          </w:tcPr>
          <w:p>
            <w:pPr>
              <w:pStyle w:val="TableText"/>
              <w:keepNext w:val="0"/>
              <w:keepLines/>
            </w:pPr>
            <w:r>
              <w:t>Observation and request</w:t>
            </w:r>
          </w:p>
        </w:tc>
        <w:tc>
          <w:tcPr>
            <w:tcW w:type="dxa" w:w="4835"/>
            <w:vAlign w:val="top"/>
            <w:shd w:fill="EDF2EE"/>
          </w:tcPr>
          <w:p>
            <w:pPr>
              <w:pStyle w:val="TableText"/>
              <w:keepNext w:val="0"/>
              <w:keepLines/>
            </w:pPr>
            <w:r>
              <w:t>I have not finished the second instruction. Can I finish, then hear your idea?</w:t>
            </w:r>
          </w:p>
        </w:tc>
      </w:tr>
      <w:tr>
        <w:trPr>
          <w:cantSplit/>
        </w:trPr>
        <w:tc>
          <w:tcPr>
            <w:tcW w:type="dxa" w:w="2402"/>
            <w:vAlign w:val="top"/>
            <w:shd w:fill="FFFFFF"/>
          </w:tcPr>
          <w:p>
            <w:pPr>
              <w:pStyle w:val="TableText"/>
              <w:keepNext w:val="0"/>
              <w:keepLines/>
            </w:pPr>
            <w:r>
              <w:t>I cannot do anything.</w:t>
            </w:r>
          </w:p>
        </w:tc>
        <w:tc>
          <w:tcPr>
            <w:tcW w:type="dxa" w:w="2916"/>
            <w:vAlign w:val="top"/>
            <w:shd w:fill="FFFFFF"/>
          </w:tcPr>
          <w:p>
            <w:pPr>
              <w:pStyle w:val="TableText"/>
              <w:keepNext w:val="0"/>
              <w:keepLines/>
            </w:pPr>
            <w:r>
              <w:t>Difficulty and capability</w:t>
            </w:r>
          </w:p>
        </w:tc>
        <w:tc>
          <w:tcPr>
            <w:tcW w:type="dxa" w:w="4835"/>
            <w:vAlign w:val="top"/>
            <w:shd w:fill="FFFFFF"/>
          </w:tcPr>
          <w:p>
            <w:pPr>
              <w:pStyle w:val="TableText"/>
              <w:keepNext w:val="0"/>
              <w:keepLines/>
            </w:pPr>
            <w:r>
              <w:t>I am stuck on this step. I can explain what I have tried.</w:t>
            </w:r>
          </w:p>
        </w:tc>
      </w:tr>
      <w:tr>
        <w:trPr>
          <w:cantSplit/>
        </w:trPr>
        <w:tc>
          <w:tcPr>
            <w:tcW w:type="dxa" w:w="2402"/>
            <w:vAlign w:val="top"/>
            <w:shd w:fill="EDF2EE"/>
          </w:tcPr>
          <w:p>
            <w:pPr>
              <w:pStyle w:val="TableText"/>
              <w:keepNext w:val="0"/>
              <w:keepLines/>
            </w:pPr>
            <w:r>
              <w:t>That is stupid.</w:t>
            </w:r>
          </w:p>
        </w:tc>
        <w:tc>
          <w:tcPr>
            <w:tcW w:type="dxa" w:w="2916"/>
            <w:vAlign w:val="top"/>
            <w:shd w:fill="EDF2EE"/>
          </w:tcPr>
          <w:p>
            <w:pPr>
              <w:pStyle w:val="TableText"/>
              <w:keepNext w:val="0"/>
              <w:keepLines/>
            </w:pPr>
            <w:r>
              <w:t>Assumption and consequence</w:t>
            </w:r>
          </w:p>
        </w:tc>
        <w:tc>
          <w:tcPr>
            <w:tcW w:type="dxa" w:w="4835"/>
            <w:vAlign w:val="top"/>
            <w:shd w:fill="EDF2EE"/>
          </w:tcPr>
          <w:p>
            <w:pPr>
              <w:pStyle w:val="TableText"/>
              <w:keepNext w:val="0"/>
              <w:keepLines/>
            </w:pPr>
            <w:r>
              <w:t>I see a problem with the timing. What happens if the first step takes longer?</w:t>
            </w:r>
          </w:p>
        </w:tc>
      </w:tr>
      <w:tr>
        <w:trPr>
          <w:cantSplit/>
        </w:trPr>
        <w:tc>
          <w:tcPr>
            <w:tcW w:type="dxa" w:w="2402"/>
            <w:vAlign w:val="top"/>
            <w:shd w:fill="FFFFFF"/>
          </w:tcPr>
          <w:p>
            <w:pPr>
              <w:pStyle w:val="TableText"/>
              <w:keepNext w:val="0"/>
              <w:keepLines/>
            </w:pPr>
            <w:r>
              <w:t>Just do it.</w:t>
            </w:r>
          </w:p>
        </w:tc>
        <w:tc>
          <w:tcPr>
            <w:tcW w:type="dxa" w:w="2916"/>
            <w:vAlign w:val="top"/>
            <w:shd w:fill="FFFFFF"/>
          </w:tcPr>
          <w:p>
            <w:pPr>
              <w:pStyle w:val="TableText"/>
              <w:keepNext w:val="0"/>
              <w:keepLines/>
            </w:pPr>
            <w:r>
              <w:t>Agreement and responsibility</w:t>
            </w:r>
          </w:p>
        </w:tc>
        <w:tc>
          <w:tcPr>
            <w:tcW w:type="dxa" w:w="4835"/>
            <w:vAlign w:val="top"/>
            <w:shd w:fill="FFFFFF"/>
          </w:tcPr>
          <w:p>
            <w:pPr>
              <w:pStyle w:val="TableText"/>
              <w:keepNext w:val="0"/>
              <w:keepLines/>
            </w:pPr>
            <w:r>
              <w:t>Are you willing to take this part? What do you need from us?</w:t>
            </w:r>
          </w:p>
        </w:tc>
      </w:tr>
      <w:tr>
        <w:trPr>
          <w:cantSplit/>
        </w:trPr>
        <w:tc>
          <w:tcPr>
            <w:tcW w:type="dxa" w:w="2402"/>
            <w:vAlign w:val="top"/>
            <w:shd w:fill="EDF2EE"/>
          </w:tcPr>
          <w:p>
            <w:pPr>
              <w:pStyle w:val="TableText"/>
              <w:keepNext w:val="0"/>
              <w:keepLines/>
            </w:pPr>
            <w:r>
              <w:t>Fine, whatever.</w:t>
            </w:r>
          </w:p>
        </w:tc>
        <w:tc>
          <w:tcPr>
            <w:tcW w:type="dxa" w:w="2916"/>
            <w:vAlign w:val="top"/>
            <w:shd w:fill="EDF2EE"/>
          </w:tcPr>
          <w:p>
            <w:pPr>
              <w:pStyle w:val="TableText"/>
              <w:keepNext w:val="0"/>
              <w:keepLines/>
            </w:pPr>
            <w:r>
              <w:t>Preference and unresolved concern</w:t>
            </w:r>
          </w:p>
        </w:tc>
        <w:tc>
          <w:tcPr>
            <w:tcW w:type="dxa" w:w="4835"/>
            <w:vAlign w:val="top"/>
            <w:shd w:fill="EDF2EE"/>
          </w:tcPr>
          <w:p>
            <w:pPr>
              <w:pStyle w:val="TableText"/>
              <w:keepNext w:val="0"/>
              <w:keepLines/>
            </w:pPr>
            <w:r>
              <w:t>I will support that choice, and I want to record one concern.</w:t>
            </w:r>
          </w:p>
        </w:tc>
      </w:tr>
    </w:tbl>
    <w:p>
      <w:pPr>
        <w:spacing w:after="20" w:before="0" w:line="240" w:lineRule="auto"/>
      </w:pPr>
      <w:r>
        <w:rPr>
          <w:sz w:val="6"/>
        </w:rPr>
      </w:r>
    </w:p>
    <w:p>
      <w:pPr/>
      <w:r>
        <w:t>Words such as assumption, evidence, perspective, uncertainty, reciprocity, contingency, consent and repair become useful through the event the group has just experienced. Emotional vocabulary can improve precision: frustrated, overwhelmed, hesitant, disappointed, relieved or reassured. Participants choose wording that fits their own voice.</w:t>
      </w:r>
    </w:p>
    <w:p>
      <w:pPr/>
      <w:r>
        <w:t>A standard reflection selects two or three moments, checks what happened, explores meanings and consequences, introduces a useful distinction, rehearses an alternative and chooses an application. Sensitive individual material receives a suitable private setting.</w:t>
      </w:r>
    </w:p>
    <w:p>
      <w:pPr>
        <w:pStyle w:val="SourceNote"/>
      </w:pPr>
      <w:r>
        <w:t xml:space="preserve">Sources: </w:t>
      </w:r>
      <w:hyperlink w:anchor="source_D05">
        <w:r>
          <w:rPr>
            <w:color w:val="275E67"/>
            <w:u w:val="single"/>
          </w:rPr>
          <w:t xml:space="preserve">D05</w:t>
        </w:r>
      </w:hyperlink>
    </w:p>
    <w:p>
      <w:bookmarkStart w:id="50" w:name="s_learning_Progression_across_l_b936a6"/>
      <w:pPr>
        <w:pStyle w:val="Heading2"/>
      </w:pPr>
      <w:r>
        <w:t>Progression across life</w:t>
      </w:r>
      <w:bookmarkEnd w:id="50"/>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461"/>
        <w:gridCol w:w="3370"/>
        <w:gridCol w:w="4321"/>
      </w:tblGrid>
      <w:tr>
        <w:trPr>
          <w:cantSplit/>
          <w:tblHeader w:val="true"/>
        </w:trPr>
        <w:tc>
          <w:tcPr>
            <w:tcW w:type="dxa" w:w="2461"/>
            <w:vAlign w:val="center"/>
            <w:shd w:fill="203B4C"/>
          </w:tcPr>
          <w:p>
            <w:pPr>
              <w:pStyle w:val="TableHead"/>
              <w:keepNext/>
              <w:keepLines/>
            </w:pPr>
            <w:r>
              <w:rPr>
                <w:color w:val="FFFFFF"/>
              </w:rPr>
              <w:t>Stage</w:t>
            </w:r>
          </w:p>
        </w:tc>
        <w:tc>
          <w:tcPr>
            <w:tcW w:type="dxa" w:w="3370"/>
            <w:vAlign w:val="center"/>
            <w:shd w:fill="203B4C"/>
          </w:tcPr>
          <w:p>
            <w:pPr>
              <w:pStyle w:val="TableHead"/>
              <w:keepNext/>
              <w:keepLines/>
            </w:pPr>
            <w:r>
              <w:rPr>
                <w:color w:val="FFFFFF"/>
              </w:rPr>
              <w:t>Experience direction</w:t>
            </w:r>
          </w:p>
        </w:tc>
        <w:tc>
          <w:tcPr>
            <w:tcW w:type="dxa" w:w="4321"/>
            <w:vAlign w:val="center"/>
            <w:shd w:fill="203B4C"/>
          </w:tcPr>
          <w:p>
            <w:pPr>
              <w:pStyle w:val="TableHead"/>
              <w:keepNext/>
              <w:keepLines/>
            </w:pPr>
            <w:r>
              <w:rPr>
                <w:color w:val="FFFFFF"/>
              </w:rPr>
              <w:t>Transfer into everyday life</w:t>
            </w:r>
          </w:p>
        </w:tc>
      </w:tr>
      <w:tr>
        <w:trPr>
          <w:cantSplit/>
        </w:trPr>
        <w:tc>
          <w:tcPr>
            <w:tcW w:type="dxa" w:w="2461"/>
            <w:vAlign w:val="top"/>
            <w:shd w:fill="EDF2EE"/>
          </w:tcPr>
          <w:p>
            <w:pPr>
              <w:pStyle w:val="TableText"/>
              <w:keepNext w:val="0"/>
              <w:keepLines/>
            </w:pPr>
            <w:r>
              <w:t>Prep to Year 2</w:t>
            </w:r>
          </w:p>
        </w:tc>
        <w:tc>
          <w:tcPr>
            <w:tcW w:type="dxa" w:w="3370"/>
            <w:vAlign w:val="top"/>
            <w:shd w:fill="EDF2EE"/>
          </w:tcPr>
          <w:p>
            <w:pPr>
              <w:pStyle w:val="TableText"/>
              <w:keepNext w:val="0"/>
              <w:keepLines/>
            </w:pPr>
            <w:r>
              <w:t>Short tactile adventures and visual sequences</w:t>
            </w:r>
          </w:p>
        </w:tc>
        <w:tc>
          <w:tcPr>
            <w:tcW w:type="dxa" w:w="4321"/>
            <w:vAlign w:val="top"/>
            <w:shd w:fill="EDF2EE"/>
          </w:tcPr>
          <w:p>
            <w:pPr>
              <w:pStyle w:val="TableText"/>
              <w:keepNext w:val="0"/>
              <w:keepLines/>
            </w:pPr>
            <w:r>
              <w:t>Naming needs, taking turns, inviting others and recovering from a mistake.</w:t>
            </w:r>
          </w:p>
        </w:tc>
      </w:tr>
      <w:tr>
        <w:trPr>
          <w:cantSplit/>
        </w:trPr>
        <w:tc>
          <w:tcPr>
            <w:tcW w:type="dxa" w:w="2461"/>
            <w:vAlign w:val="top"/>
            <w:shd w:fill="FFFFFF"/>
          </w:tcPr>
          <w:p>
            <w:pPr>
              <w:pStyle w:val="TableText"/>
              <w:keepNext w:val="0"/>
              <w:keepLines/>
            </w:pPr>
            <w:r>
              <w:t>Years 3 and 4</w:t>
            </w:r>
          </w:p>
        </w:tc>
        <w:tc>
          <w:tcPr>
            <w:tcW w:type="dxa" w:w="3370"/>
            <w:vAlign w:val="top"/>
            <w:shd w:fill="FFFFFF"/>
          </w:tcPr>
          <w:p>
            <w:pPr>
              <w:pStyle w:val="TableText"/>
              <w:keepNext w:val="0"/>
              <w:keepLines/>
            </w:pPr>
            <w:r>
              <w:t>Distributed clues and shared construction</w:t>
            </w:r>
          </w:p>
        </w:tc>
        <w:tc>
          <w:tcPr>
            <w:tcW w:type="dxa" w:w="4321"/>
            <w:vAlign w:val="top"/>
            <w:shd w:fill="FFFFFF"/>
          </w:tcPr>
          <w:p>
            <w:pPr>
              <w:pStyle w:val="TableText"/>
              <w:keepNext w:val="0"/>
              <w:keepLines/>
            </w:pPr>
            <w:r>
              <w:t>Explaining, asking specifically, noticing put-downs and acknowledging help.</w:t>
            </w:r>
          </w:p>
        </w:tc>
      </w:tr>
      <w:tr>
        <w:trPr>
          <w:cantSplit/>
        </w:trPr>
        <w:tc>
          <w:tcPr>
            <w:tcW w:type="dxa" w:w="2461"/>
            <w:vAlign w:val="top"/>
            <w:shd w:fill="EDF2EE"/>
          </w:tcPr>
          <w:p>
            <w:pPr>
              <w:pStyle w:val="TableText"/>
              <w:keepNext w:val="0"/>
              <w:keepLines/>
            </w:pPr>
            <w:r>
              <w:t>Years 5 and 6</w:t>
            </w:r>
          </w:p>
        </w:tc>
        <w:tc>
          <w:tcPr>
            <w:tcW w:type="dxa" w:w="3370"/>
            <w:vAlign w:val="top"/>
            <w:shd w:fill="EDF2EE"/>
          </w:tcPr>
          <w:p>
            <w:pPr>
              <w:pStyle w:val="TableText"/>
              <w:keepNext w:val="0"/>
              <w:keepLines/>
            </w:pPr>
            <w:r>
              <w:t>Shared resources and changed conditions</w:t>
            </w:r>
          </w:p>
        </w:tc>
        <w:tc>
          <w:tcPr>
            <w:tcW w:type="dxa" w:w="4321"/>
            <w:vAlign w:val="top"/>
            <w:shd w:fill="EDF2EE"/>
          </w:tcPr>
          <w:p>
            <w:pPr>
              <w:pStyle w:val="TableText"/>
              <w:keepNext w:val="0"/>
              <w:keepLines/>
            </w:pPr>
            <w:r>
              <w:t>Fairness, assumptions, planning, exclusion and repair.</w:t>
            </w:r>
          </w:p>
        </w:tc>
      </w:tr>
      <w:tr>
        <w:trPr>
          <w:cantSplit/>
        </w:trPr>
        <w:tc>
          <w:tcPr>
            <w:tcW w:type="dxa" w:w="2461"/>
            <w:vAlign w:val="top"/>
            <w:shd w:fill="FFFFFF"/>
          </w:tcPr>
          <w:p>
            <w:pPr>
              <w:pStyle w:val="TableText"/>
              <w:keepNext w:val="0"/>
              <w:keepLines/>
            </w:pPr>
            <w:r>
              <w:t>Years 7 to 10</w:t>
            </w:r>
          </w:p>
        </w:tc>
        <w:tc>
          <w:tcPr>
            <w:tcW w:type="dxa" w:w="3370"/>
            <w:vAlign w:val="top"/>
            <w:shd w:fill="FFFFFF"/>
          </w:tcPr>
          <w:p>
            <w:pPr>
              <w:pStyle w:val="TableText"/>
              <w:keepNext w:val="0"/>
              <w:keepLines/>
            </w:pPr>
            <w:r>
              <w:t>Disputed information and peer situations</w:t>
            </w:r>
          </w:p>
        </w:tc>
        <w:tc>
          <w:tcPr>
            <w:tcW w:type="dxa" w:w="4321"/>
            <w:vAlign w:val="top"/>
            <w:shd w:fill="FFFFFF"/>
          </w:tcPr>
          <w:p>
            <w:pPr>
              <w:pStyle w:val="TableText"/>
              <w:keepNext w:val="0"/>
              <w:keepLines/>
            </w:pPr>
            <w:r>
              <w:t>Evidence, pressure, boundaries, persuasion and constructive disagreement.</w:t>
            </w:r>
          </w:p>
        </w:tc>
      </w:tr>
      <w:tr>
        <w:trPr>
          <w:cantSplit/>
        </w:trPr>
        <w:tc>
          <w:tcPr>
            <w:tcW w:type="dxa" w:w="2461"/>
            <w:vAlign w:val="top"/>
            <w:shd w:fill="EDF2EE"/>
          </w:tcPr>
          <w:p>
            <w:pPr>
              <w:pStyle w:val="TableText"/>
              <w:keepNext w:val="0"/>
              <w:keepLines/>
            </w:pPr>
            <w:r>
              <w:t>Later teens and young adults</w:t>
            </w:r>
          </w:p>
        </w:tc>
        <w:tc>
          <w:tcPr>
            <w:tcW w:type="dxa" w:w="3370"/>
            <w:vAlign w:val="top"/>
            <w:shd w:fill="EDF2EE"/>
          </w:tcPr>
          <w:p>
            <w:pPr>
              <w:pStyle w:val="TableText"/>
              <w:keepNext w:val="0"/>
              <w:keepLines/>
            </w:pPr>
            <w:r>
              <w:t>Work, travel, housing and unfamiliar services</w:t>
            </w:r>
          </w:p>
        </w:tc>
        <w:tc>
          <w:tcPr>
            <w:tcW w:type="dxa" w:w="4321"/>
            <w:vAlign w:val="top"/>
            <w:shd w:fill="EDF2EE"/>
          </w:tcPr>
          <w:p>
            <w:pPr>
              <w:pStyle w:val="TableText"/>
              <w:keepNext w:val="0"/>
              <w:keepLines/>
            </w:pPr>
            <w:r>
              <w:t>Negotiating, checking requirements, agreements, deadlines and useful help.</w:t>
            </w:r>
          </w:p>
        </w:tc>
      </w:tr>
      <w:tr>
        <w:trPr>
          <w:cantSplit/>
        </w:trPr>
        <w:tc>
          <w:tcPr>
            <w:tcW w:type="dxa" w:w="2461"/>
            <w:vAlign w:val="top"/>
            <w:shd w:fill="FFFFFF"/>
          </w:tcPr>
          <w:p>
            <w:pPr>
              <w:pStyle w:val="TableText"/>
              <w:keepNext w:val="0"/>
              <w:keepLines/>
            </w:pPr>
            <w:r>
              <w:t>Working adults</w:t>
            </w:r>
          </w:p>
        </w:tc>
        <w:tc>
          <w:tcPr>
            <w:tcW w:type="dxa" w:w="3370"/>
            <w:vAlign w:val="top"/>
            <w:shd w:fill="FFFFFF"/>
          </w:tcPr>
          <w:p>
            <w:pPr>
              <w:pStyle w:val="TableText"/>
              <w:keepNext w:val="0"/>
              <w:keepLines/>
            </w:pPr>
            <w:r>
              <w:t>Handover, enterprise and competing priorities</w:t>
            </w:r>
          </w:p>
        </w:tc>
        <w:tc>
          <w:tcPr>
            <w:tcW w:type="dxa" w:w="4321"/>
            <w:vAlign w:val="top"/>
            <w:shd w:fill="FFFFFF"/>
          </w:tcPr>
          <w:p>
            <w:pPr>
              <w:pStyle w:val="TableText"/>
              <w:keepNext w:val="0"/>
              <w:keepLines/>
            </w:pPr>
            <w:r>
              <w:t>Delegation, feedback, accountability and workload negotiation.</w:t>
            </w:r>
          </w:p>
        </w:tc>
      </w:tr>
      <w:tr>
        <w:trPr>
          <w:cantSplit/>
        </w:trPr>
        <w:tc>
          <w:tcPr>
            <w:tcW w:type="dxa" w:w="2461"/>
            <w:vAlign w:val="top"/>
            <w:shd w:fill="EDF2EE"/>
          </w:tcPr>
          <w:p>
            <w:pPr>
              <w:pStyle w:val="TableText"/>
              <w:keepNext w:val="0"/>
              <w:keepLines/>
            </w:pPr>
            <w:r>
              <w:t>Families and generations</w:t>
            </w:r>
          </w:p>
        </w:tc>
        <w:tc>
          <w:tcPr>
            <w:tcW w:type="dxa" w:w="3370"/>
            <w:vAlign w:val="top"/>
            <w:shd w:fill="EDF2EE"/>
          </w:tcPr>
          <w:p>
            <w:pPr>
              <w:pStyle w:val="TableText"/>
              <w:keepNext w:val="0"/>
              <w:keepLines/>
            </w:pPr>
            <w:r>
              <w:t>Shared plans, care preferences and practical knowledge</w:t>
            </w:r>
          </w:p>
        </w:tc>
        <w:tc>
          <w:tcPr>
            <w:tcW w:type="dxa" w:w="4321"/>
            <w:vAlign w:val="top"/>
            <w:shd w:fill="EDF2EE"/>
          </w:tcPr>
          <w:p>
            <w:pPr>
              <w:pStyle w:val="TableText"/>
              <w:keepNext w:val="0"/>
              <w:keepLines/>
            </w:pPr>
            <w:r>
              <w:t>Listening across differences, fair contribution and repairing habitual blame.</w:t>
            </w:r>
          </w:p>
        </w:tc>
      </w:tr>
      <w:tr>
        <w:trPr>
          <w:cantSplit/>
        </w:trPr>
        <w:tc>
          <w:tcPr>
            <w:tcW w:type="dxa" w:w="2461"/>
            <w:vAlign w:val="top"/>
            <w:shd w:fill="FFFFFF"/>
          </w:tcPr>
          <w:p>
            <w:pPr>
              <w:pStyle w:val="TableText"/>
              <w:keepNext w:val="0"/>
              <w:keepLines/>
            </w:pPr>
            <w:r>
              <w:t>Later life and changing needs</w:t>
            </w:r>
          </w:p>
        </w:tc>
        <w:tc>
          <w:tcPr>
            <w:tcW w:type="dxa" w:w="3370"/>
            <w:vAlign w:val="top"/>
            <w:shd w:fill="FFFFFF"/>
          </w:tcPr>
          <w:p>
            <w:pPr>
              <w:pStyle w:val="TableText"/>
              <w:keepNext w:val="0"/>
              <w:keepLines/>
            </w:pPr>
            <w:r>
              <w:t>Community decisions, changed routines and new systems</w:t>
            </w:r>
          </w:p>
        </w:tc>
        <w:tc>
          <w:tcPr>
            <w:tcW w:type="dxa" w:w="4321"/>
            <w:vAlign w:val="top"/>
            <w:shd w:fill="FFFFFF"/>
          </w:tcPr>
          <w:p>
            <w:pPr>
              <w:pStyle w:val="TableText"/>
              <w:keepNext w:val="0"/>
              <w:keepLines/>
            </w:pPr>
            <w:r>
              <w:t>Expressing wishes, directing assistance, adapting, mentoring and agency.</w:t>
            </w:r>
          </w:p>
        </w:tc>
      </w:tr>
    </w:tbl>
    <w:p>
      <w:pPr>
        <w:spacing w:after="20" w:before="0" w:line="240" w:lineRule="auto"/>
      </w:pPr>
      <w:r>
        <w:rPr>
          <w:sz w:val="6"/>
        </w:rPr>
      </w:r>
    </w:p>
    <w:p>
      <w:pPr/>
      <w:r>
        <w:t>Age guides the catalogue. Interests, readiness, communication and access needs determine the version. Adults retain adult themes when sensory load, text, pace or interaction methods are adjusted. Spoken, written, AAC and nonverbal contributions can all matter.</w:t>
      </w:r>
    </w:p>
    <w:p>
      <w:pPr/>
      <w:r>
        <w:t>School modules map selected outcomes to the Australian Curriculum Personal and Social capability continuum. The booking information describes the actual activities, timetable, group sizes and supervision arrangements so teachers can judge the fit.</w:t>
      </w:r>
    </w:p>
    <w:p>
      <w:pPr>
        <w:pStyle w:val="SourceNote"/>
      </w:pPr>
      <w:r>
        <w:t xml:space="preserve">Sources: </w:t>
      </w:r>
      <w:hyperlink w:anchor="source_D03">
        <w:r>
          <w:rPr>
            <w:color w:val="275E67"/>
            <w:u w:val="single"/>
          </w:rPr>
          <w:t xml:space="preserve">D03</w:t>
        </w:r>
      </w:hyperlink>
      <w:r>
        <w:t xml:space="preserve">, </w:t>
      </w:r>
      <w:hyperlink w:anchor="source_D06">
        <w:r>
          <w:rPr>
            <w:color w:val="275E67"/>
            <w:u w:val="single"/>
          </w:rPr>
          <w:t xml:space="preserve">D06</w:t>
        </w:r>
      </w:hyperlink>
      <w:r>
        <w:t xml:space="preserve">, </w:t>
      </w:r>
      <w:hyperlink w:anchor="source_D07">
        <w:r>
          <w:rPr>
            <w:color w:val="275E67"/>
            <w:u w:val="single"/>
          </w:rPr>
          <w:t xml:space="preserve">D07</w:t>
        </w:r>
      </w:hyperlink>
      <w:r>
        <w:t xml:space="preserve">, </w:t>
      </w:r>
      <w:hyperlink w:anchor="source_M24">
        <w:r>
          <w:rPr>
            <w:color w:val="275E67"/>
            <w:u w:val="single"/>
          </w:rPr>
          <w:t xml:space="preserve">M24</w:t>
        </w:r>
      </w:hyperlink>
      <w:r>
        <w:t xml:space="preserve">, </w:t>
      </w:r>
      <w:hyperlink w:anchor="source_M25">
        <w:r>
          <w:rPr>
            <w:color w:val="275E67"/>
            <w:u w:val="single"/>
          </w:rPr>
          <w:t xml:space="preserve">M25</w:t>
        </w:r>
      </w:hyperlink>
    </w:p>
    <w:p>
      <w:bookmarkStart w:id="51" w:name="s_learning_Skill_transfer_and_p_3d69a7"/>
      <w:pPr>
        <w:pStyle w:val="Heading2"/>
      </w:pPr>
      <w:r>
        <w:t>Skill transfer and personal Aura continuity</w:t>
      </w:r>
      <w:bookmarkEnd w:id="51"/>
    </w:p>
    <w:p>
      <w:pPr/>
      <w:r>
        <w:t>A participant chooses a concrete application: 'When a plan changes, I will separate what we know, what we assume and what we can try next.' A different room or real-life event then offers a fresh occasion to use it. The next reflection asks what the person noticed and what changed.</w:t>
      </w:r>
    </w:p>
    <w:p>
      <w:pPr/>
      <w:r>
        <w:t>Aura can retain a small, purposeful starting context: preferred communication, relevant access needs, the chosen goal and examples the person wants to keep. People own their data and digital twins. Recording a session, retaining an excerpt, developing a personal model, research and publication are separate choices. A group clip includes other people and needs the corresponding permissions.</w:t>
      </w:r>
    </w:p>
    <w:p>
      <w:pPr/>
      <w:r>
        <w:t>The tourism network supplies varied contexts for practice. A later room, a shared journey, a workplace task or a community project can develop the same skill with different people and conditions. The business measures repeat use, participant-selected learning and independent application, alongside the enjoyment that brings people back.</w:t>
      </w:r>
    </w:p>
    <w:p>
      <w:pPr>
        <w:pStyle w:val="SourceNote"/>
      </w:pPr>
      <w:r>
        <w:t xml:space="preserve">Sources: </w:t>
      </w:r>
      <w:hyperlink w:anchor="source_D05">
        <w:r>
          <w:rPr>
            <w:color w:val="275E67"/>
            <w:u w:val="single"/>
          </w:rPr>
          <w:t xml:space="preserve">D05</w:t>
        </w:r>
      </w:hyperlink>
      <w:r>
        <w:t xml:space="preserve">, </w:t>
      </w:r>
      <w:hyperlink w:anchor="source_D06">
        <w:r>
          <w:rPr>
            <w:color w:val="275E67"/>
            <w:u w:val="single"/>
          </w:rPr>
          <w:t xml:space="preserve">D06</w:t>
        </w:r>
      </w:hyperlink>
      <w:r>
        <w:t xml:space="preserve">, </w:t>
      </w:r>
      <w:hyperlink w:anchor="source_D07">
        <w:r>
          <w:rPr>
            <w:color w:val="275E67"/>
            <w:u w:val="single"/>
          </w:rPr>
          <w:t xml:space="preserve">D07</w:t>
        </w:r>
      </w:hyperlink>
      <w:r>
        <w:t xml:space="preserve">, </w:t>
      </w:r>
      <w:hyperlink w:anchor="source_P11">
        <w:r>
          <w:rPr>
            <w:color w:val="275E67"/>
            <w:u w:val="single"/>
          </w:rPr>
          <w:t xml:space="preserve">P11</w:t>
        </w:r>
      </w:hyperlink>
    </w:p>
    <w:p>
      <w:bookmarkStart w:id="52" w:name="chapter_agent_roles"/>
      <w:pPr>
        <w:pStyle w:val="Heading1"/>
        <w:pageBreakBefore/>
      </w:pPr>
      <w:r>
        <w:t>Luke and the proposed agent suite</w:t>
      </w:r>
      <w:bookmarkEnd w:id="52"/>
    </w:p>
    <w:p>
      <w:pPr>
        <w:pStyle w:val="Lead"/>
      </w:pPr>
      <w:r>
        <w:t>One accountable founder, specific agent responsibilities and paid people carrying out clearly scoped work.</w:t>
      </w:r>
    </w:p>
    <w:p>
      <w:bookmarkStart w:id="53" w:name="s_agent_roles_Organisation_and__baacb8"/>
      <w:pPr>
        <w:pStyle w:val="Heading2"/>
      </w:pPr>
      <w:r>
        <w:t>Organisation and authority</w:t>
      </w:r>
      <w:bookmarkEnd w:id="53"/>
    </w:p>
    <w:p>
      <w:pPr/>
      <w:r>
        <w:t>I am the founder and accountable lead for this business. The proposed agent suite supports my decisions and, after approval, carries out the work allowed by its defined scope. Contractors and employees perform their agreed roles, with specialist work assigned to appropriately qualified people. Partner businesses retain authority over their own operations.</w:t>
      </w:r>
    </w:p>
    <w:p>
      <w:pPr/>
      <w:r>
        <w:t>Every role has a brief, authorised sources, required outputs, handovers, account access, expenditure or communication limits, review conditions and a pause process. A role can receive standing authority within an approved scope. Exceptions return as concise decision packs.</w:t>
      </w:r>
    </w:p>
    <w:p>
      <w:pPr/>
      <w:r>
        <w:t>The suite below is a system design for approval. It is not running. Publishing the plan does not create operating agents, business schedules, outreach, hiring or purchasing authority.</w:t>
      </w:r>
    </w:p>
    <w:p>
      <w:pPr>
        <w:pStyle w:val="SourceNote"/>
      </w:pPr>
      <w:r>
        <w:t xml:space="preserve">Sources: </w:t>
      </w:r>
      <w:hyperlink w:anchor="source_P14">
        <w:r>
          <w:rPr>
            <w:color w:val="275E67"/>
            <w:u w:val="single"/>
          </w:rPr>
          <w:t xml:space="preserve">P14</w:t>
        </w:r>
      </w:hyperlink>
    </w:p>
    <w:p>
      <w:bookmarkStart w:id="54" w:name="s_agent_roles_Proposed_roles_an_f7eb09"/>
      <w:pPr>
        <w:pStyle w:val="Heading2"/>
      </w:pPr>
      <w:r>
        <w:t>Proposed roles and concrete outputs</w:t>
      </w:r>
      <w:bookmarkEnd w:id="54"/>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415"/>
        <w:gridCol w:w="3969"/>
        <w:gridCol w:w="3768"/>
      </w:tblGrid>
      <w:tr>
        <w:trPr>
          <w:cantSplit/>
          <w:tblHeader w:val="true"/>
        </w:trPr>
        <w:tc>
          <w:tcPr>
            <w:tcW w:type="dxa" w:w="2415"/>
            <w:vAlign w:val="center"/>
            <w:shd w:fill="203B4C"/>
          </w:tcPr>
          <w:p>
            <w:pPr>
              <w:pStyle w:val="TableHead"/>
              <w:keepNext/>
              <w:keepLines/>
            </w:pPr>
            <w:r>
              <w:rPr>
                <w:color w:val="FFFFFF"/>
              </w:rPr>
              <w:t>Role</w:t>
            </w:r>
          </w:p>
        </w:tc>
        <w:tc>
          <w:tcPr>
            <w:tcW w:type="dxa" w:w="3969"/>
            <w:vAlign w:val="center"/>
            <w:shd w:fill="203B4C"/>
          </w:tcPr>
          <w:p>
            <w:pPr>
              <w:pStyle w:val="TableHead"/>
              <w:keepNext/>
              <w:keepLines/>
            </w:pPr>
            <w:r>
              <w:rPr>
                <w:color w:val="FFFFFF"/>
              </w:rPr>
              <w:t>Specific work</w:t>
            </w:r>
          </w:p>
        </w:tc>
        <w:tc>
          <w:tcPr>
            <w:tcW w:type="dxa" w:w="3768"/>
            <w:vAlign w:val="center"/>
            <w:shd w:fill="203B4C"/>
          </w:tcPr>
          <w:p>
            <w:pPr>
              <w:pStyle w:val="TableHead"/>
              <w:keepNext/>
              <w:keepLines/>
            </w:pPr>
            <w:r>
              <w:rPr>
                <w:color w:val="FFFFFF"/>
              </w:rPr>
              <w:t>Required output and handover</w:t>
            </w:r>
          </w:p>
        </w:tc>
      </w:tr>
      <w:tr>
        <w:trPr>
          <w:cantSplit/>
        </w:trPr>
        <w:tc>
          <w:tcPr>
            <w:tcW w:type="dxa" w:w="2415"/>
            <w:vAlign w:val="top"/>
            <w:shd w:fill="EDF2EE"/>
          </w:tcPr>
          <w:p>
            <w:pPr>
              <w:pStyle w:val="TableText"/>
              <w:keepNext w:val="0"/>
              <w:keepLines/>
            </w:pPr>
            <w:r>
              <w:t>Programme coordinator</w:t>
            </w:r>
          </w:p>
        </w:tc>
        <w:tc>
          <w:tcPr>
            <w:tcW w:type="dxa" w:w="3969"/>
            <w:vAlign w:val="top"/>
            <w:shd w:fill="EDF2EE"/>
          </w:tcPr>
          <w:p>
            <w:pPr>
              <w:pStyle w:val="TableText"/>
              <w:keepNext w:val="0"/>
              <w:keepLines/>
            </w:pPr>
            <w:r>
              <w:t>Maintain the plan, dependencies, decisions, owners and version register</w:t>
            </w:r>
          </w:p>
        </w:tc>
        <w:tc>
          <w:tcPr>
            <w:tcW w:type="dxa" w:w="3768"/>
            <w:vAlign w:val="top"/>
            <w:shd w:fill="EDF2EE"/>
          </w:tcPr>
          <w:p>
            <w:pPr>
              <w:pStyle w:val="TableText"/>
              <w:keepNext w:val="0"/>
              <w:keepLines/>
            </w:pPr>
            <w:r>
              <w:t>Weekly decision pack and accepted work-package register for Luke.</w:t>
            </w:r>
          </w:p>
        </w:tc>
      </w:tr>
      <w:tr>
        <w:trPr>
          <w:cantSplit/>
        </w:trPr>
        <w:tc>
          <w:tcPr>
            <w:tcW w:type="dxa" w:w="2415"/>
            <w:vAlign w:val="top"/>
            <w:shd w:fill="FFFFFF"/>
          </w:tcPr>
          <w:p>
            <w:pPr>
              <w:pStyle w:val="TableText"/>
              <w:keepNext w:val="0"/>
              <w:keepLines/>
            </w:pPr>
            <w:r>
              <w:t>Market and site analyst</w:t>
            </w:r>
          </w:p>
        </w:tc>
        <w:tc>
          <w:tcPr>
            <w:tcW w:type="dxa" w:w="3969"/>
            <w:vAlign w:val="top"/>
            <w:shd w:fill="FFFFFF"/>
          </w:tcPr>
          <w:p>
            <w:pPr>
              <w:pStyle w:val="TableText"/>
              <w:keepNext w:val="0"/>
              <w:keepLines/>
            </w:pPr>
            <w:r>
              <w:t>Research catchments, room competitors, transport, premises and buyer requirements</w:t>
            </w:r>
          </w:p>
        </w:tc>
        <w:tc>
          <w:tcPr>
            <w:tcW w:type="dxa" w:w="3768"/>
            <w:vAlign w:val="top"/>
            <w:shd w:fill="FFFFFF"/>
          </w:tcPr>
          <w:p>
            <w:pPr>
              <w:pStyle w:val="TableText"/>
              <w:keepNext w:val="0"/>
              <w:keepLines/>
            </w:pPr>
            <w:r>
              <w:t>A sourced candidate-site case for finance and deployment review.</w:t>
            </w:r>
          </w:p>
        </w:tc>
      </w:tr>
      <w:tr>
        <w:trPr>
          <w:cantSplit/>
        </w:trPr>
        <w:tc>
          <w:tcPr>
            <w:tcW w:type="dxa" w:w="2415"/>
            <w:vAlign w:val="top"/>
            <w:shd w:fill="EDF2EE"/>
          </w:tcPr>
          <w:p>
            <w:pPr>
              <w:pStyle w:val="TableText"/>
              <w:keepNext w:val="0"/>
              <w:keepLines/>
            </w:pPr>
            <w:r>
              <w:t>Experience architect</w:t>
            </w:r>
          </w:p>
        </w:tc>
        <w:tc>
          <w:tcPr>
            <w:tcW w:type="dxa" w:w="3969"/>
            <w:vAlign w:val="top"/>
            <w:shd w:fill="EDF2EE"/>
          </w:tcPr>
          <w:p>
            <w:pPr>
              <w:pStyle w:val="TableText"/>
              <w:keepNext w:val="0"/>
              <w:keepLines/>
            </w:pPr>
            <w:r>
              <w:t>Author the room paths, stories, age settings, no-hint logic and reset states</w:t>
            </w:r>
          </w:p>
        </w:tc>
        <w:tc>
          <w:tcPr>
            <w:tcW w:type="dxa" w:w="3768"/>
            <w:vAlign w:val="top"/>
            <w:shd w:fill="EDF2EE"/>
          </w:tcPr>
          <w:p>
            <w:pPr>
              <w:pStyle w:val="TableText"/>
              <w:keepNext w:val="0"/>
              <w:keepLines/>
            </w:pPr>
            <w:r>
              <w:t>Scenario specification, parts list and independent-play test record.</w:t>
            </w:r>
          </w:p>
        </w:tc>
      </w:tr>
      <w:tr>
        <w:trPr>
          <w:cantSplit/>
        </w:trPr>
        <w:tc>
          <w:tcPr>
            <w:tcW w:type="dxa" w:w="2415"/>
            <w:vAlign w:val="top"/>
            <w:shd w:fill="FFFFFF"/>
          </w:tcPr>
          <w:p>
            <w:pPr>
              <w:pStyle w:val="TableText"/>
              <w:keepNext w:val="0"/>
              <w:keepLines/>
            </w:pPr>
            <w:r>
              <w:t>Procurement and reuse planner</w:t>
            </w:r>
          </w:p>
        </w:tc>
        <w:tc>
          <w:tcPr>
            <w:tcW w:type="dxa" w:w="3969"/>
            <w:vAlign w:val="top"/>
            <w:shd w:fill="FFFFFF"/>
          </w:tcPr>
          <w:p>
            <w:pPr>
              <w:pStyle w:val="TableText"/>
              <w:keepNext w:val="0"/>
              <w:keepLines/>
            </w:pPr>
            <w:r>
              <w:t>Compare new and used items, stock, condition, freight, warranty and suppliers</w:t>
            </w:r>
          </w:p>
        </w:tc>
        <w:tc>
          <w:tcPr>
            <w:tcW w:type="dxa" w:w="3768"/>
            <w:vAlign w:val="top"/>
            <w:shd w:fill="FFFFFF"/>
          </w:tcPr>
          <w:p>
            <w:pPr>
              <w:pStyle w:val="TableText"/>
              <w:keepNext w:val="0"/>
              <w:keepLines/>
            </w:pPr>
            <w:r>
              <w:t>Itemised landed-cost comparison and proposed purchase order.</w:t>
            </w:r>
          </w:p>
        </w:tc>
      </w:tr>
      <w:tr>
        <w:trPr>
          <w:cantSplit/>
        </w:trPr>
        <w:tc>
          <w:tcPr>
            <w:tcW w:type="dxa" w:w="2415"/>
            <w:vAlign w:val="top"/>
            <w:shd w:fill="EDF2EE"/>
          </w:tcPr>
          <w:p>
            <w:pPr>
              <w:pStyle w:val="TableText"/>
              <w:keepNext w:val="0"/>
              <w:keepLines/>
            </w:pPr>
            <w:r>
              <w:t>Deployment coordinator</w:t>
            </w:r>
          </w:p>
        </w:tc>
        <w:tc>
          <w:tcPr>
            <w:tcW w:type="dxa" w:w="3969"/>
            <w:vAlign w:val="top"/>
            <w:shd w:fill="EDF2EE"/>
          </w:tcPr>
          <w:p>
            <w:pPr>
              <w:pStyle w:val="TableText"/>
              <w:keepNext w:val="0"/>
              <w:keepLines/>
            </w:pPr>
            <w:r>
              <w:t>Sequence paid labour, trades, materials, site access, installation and acceptance</w:t>
            </w:r>
          </w:p>
        </w:tc>
        <w:tc>
          <w:tcPr>
            <w:tcW w:type="dxa" w:w="3768"/>
            <w:vAlign w:val="top"/>
            <w:shd w:fill="EDF2EE"/>
          </w:tcPr>
          <w:p>
            <w:pPr>
              <w:pStyle w:val="TableText"/>
              <w:keepNext w:val="0"/>
              <w:keepLines/>
            </w:pPr>
            <w:r>
              <w:t>Resource-loaded work plan, daily task packs and completion evidence.</w:t>
            </w:r>
          </w:p>
        </w:tc>
      </w:tr>
      <w:tr>
        <w:trPr>
          <w:cantSplit/>
        </w:trPr>
        <w:tc>
          <w:tcPr>
            <w:tcW w:type="dxa" w:w="2415"/>
            <w:vAlign w:val="top"/>
            <w:shd w:fill="FFFFFF"/>
          </w:tcPr>
          <w:p>
            <w:pPr>
              <w:pStyle w:val="TableText"/>
              <w:keepNext w:val="0"/>
              <w:keepLines/>
            </w:pPr>
            <w:r>
              <w:t>People and just-in-time learning coordinator</w:t>
            </w:r>
          </w:p>
        </w:tc>
        <w:tc>
          <w:tcPr>
            <w:tcW w:type="dxa" w:w="3969"/>
            <w:vAlign w:val="top"/>
            <w:shd w:fill="FFFFFF"/>
          </w:tcPr>
          <w:p>
            <w:pPr>
              <w:pStyle w:val="TableText"/>
              <w:keepNext w:val="0"/>
              <w:keepLines/>
            </w:pPr>
            <w:r>
              <w:t>Prepare role scopes, contractor comparisons, onboarding and task-specific learning</w:t>
            </w:r>
          </w:p>
        </w:tc>
        <w:tc>
          <w:tcPr>
            <w:tcW w:type="dxa" w:w="3768"/>
            <w:vAlign w:val="top"/>
            <w:shd w:fill="FFFFFF"/>
          </w:tcPr>
          <w:p>
            <w:pPr>
              <w:pStyle w:val="TableText"/>
              <w:keepNext w:val="0"/>
              <w:keepLines/>
            </w:pPr>
            <w:r>
              <w:t>Proposed engagements, paid training records and supervised task evidence.</w:t>
            </w:r>
          </w:p>
        </w:tc>
      </w:tr>
      <w:tr>
        <w:trPr>
          <w:cantSplit/>
        </w:trPr>
        <w:tc>
          <w:tcPr>
            <w:tcW w:type="dxa" w:w="2415"/>
            <w:vAlign w:val="top"/>
            <w:shd w:fill="EDF2EE"/>
          </w:tcPr>
          <w:p>
            <w:pPr>
              <w:pStyle w:val="TableText"/>
              <w:keepNext w:val="0"/>
              <w:keepLines/>
            </w:pPr>
            <w:r>
              <w:t>Finance and settlement controller</w:t>
            </w:r>
          </w:p>
        </w:tc>
        <w:tc>
          <w:tcPr>
            <w:tcW w:type="dxa" w:w="3969"/>
            <w:vAlign w:val="top"/>
            <w:shd w:fill="EDF2EE"/>
          </w:tcPr>
          <w:p>
            <w:pPr>
              <w:pStyle w:val="TableText"/>
              <w:keepNext w:val="0"/>
              <w:keepLines/>
            </w:pPr>
            <w:r>
              <w:t>Model cash, costs, quotes, pass liabilities, venue payments and reserves</w:t>
            </w:r>
          </w:p>
        </w:tc>
        <w:tc>
          <w:tcPr>
            <w:tcW w:type="dxa" w:w="3768"/>
            <w:vAlign w:val="top"/>
            <w:shd w:fill="EDF2EE"/>
          </w:tcPr>
          <w:p>
            <w:pPr>
              <w:pStyle w:val="TableText"/>
              <w:keepNext w:val="0"/>
              <w:keepLines/>
            </w:pPr>
            <w:r>
              <w:t>Reconciled forecast, settlement statement and exceptions for approval.</w:t>
            </w:r>
          </w:p>
        </w:tc>
      </w:tr>
      <w:tr>
        <w:trPr>
          <w:cantSplit/>
        </w:trPr>
        <w:tc>
          <w:tcPr>
            <w:tcW w:type="dxa" w:w="2415"/>
            <w:vAlign w:val="top"/>
            <w:shd w:fill="FFFFFF"/>
          </w:tcPr>
          <w:p>
            <w:pPr>
              <w:pStyle w:val="TableText"/>
              <w:keepNext w:val="0"/>
              <w:keepLines/>
            </w:pPr>
            <w:r>
              <w:t>Tourism and partnership planner</w:t>
            </w:r>
          </w:p>
        </w:tc>
        <w:tc>
          <w:tcPr>
            <w:tcW w:type="dxa" w:w="3969"/>
            <w:vAlign w:val="top"/>
            <w:shd w:fill="FFFFFF"/>
          </w:tcPr>
          <w:p>
            <w:pPr>
              <w:pStyle w:val="TableText"/>
              <w:keepNext w:val="0"/>
              <w:keepLines/>
            </w:pPr>
            <w:r>
              <w:t>Develop routes, partner offers, event packages and draft communications</w:t>
            </w:r>
          </w:p>
        </w:tc>
        <w:tc>
          <w:tcPr>
            <w:tcW w:type="dxa" w:w="3768"/>
            <w:vAlign w:val="top"/>
            <w:shd w:fill="FFFFFF"/>
          </w:tcPr>
          <w:p>
            <w:pPr>
              <w:pStyle w:val="TableText"/>
              <w:keepNext w:val="0"/>
              <w:keepLines/>
            </w:pPr>
            <w:r>
              <w:t>A bookable itinerary specification and proposed partner agreement.</w:t>
            </w:r>
          </w:p>
        </w:tc>
      </w:tr>
      <w:tr>
        <w:trPr>
          <w:cantSplit/>
        </w:trPr>
        <w:tc>
          <w:tcPr>
            <w:tcW w:type="dxa" w:w="2415"/>
            <w:vAlign w:val="top"/>
            <w:shd w:fill="EDF2EE"/>
          </w:tcPr>
          <w:p>
            <w:pPr>
              <w:pStyle w:val="TableText"/>
              <w:keepNext w:val="0"/>
              <w:keepLines/>
            </w:pPr>
            <w:r>
              <w:t>Learning and language designer</w:t>
            </w:r>
          </w:p>
        </w:tc>
        <w:tc>
          <w:tcPr>
            <w:tcW w:type="dxa" w:w="3969"/>
            <w:vAlign w:val="top"/>
            <w:shd w:fill="EDF2EE"/>
          </w:tcPr>
          <w:p>
            <w:pPr>
              <w:pStyle w:val="TableText"/>
              <w:keepNext w:val="0"/>
              <w:keepLines/>
            </w:pPr>
            <w:r>
              <w:t>Maintain the contextual taxonomy, reflection process and life-stage curriculum</w:t>
            </w:r>
          </w:p>
        </w:tc>
        <w:tc>
          <w:tcPr>
            <w:tcW w:type="dxa" w:w="3768"/>
            <w:vAlign w:val="top"/>
            <w:shd w:fill="EDF2EE"/>
          </w:tcPr>
          <w:p>
            <w:pPr>
              <w:pStyle w:val="TableText"/>
              <w:keepNext w:val="0"/>
              <w:keepLines/>
            </w:pPr>
            <w:r>
              <w:t>Facilitator guides, selected outcomes and participant-facing learning tools.</w:t>
            </w:r>
          </w:p>
        </w:tc>
      </w:tr>
      <w:tr>
        <w:trPr>
          <w:cantSplit/>
        </w:trPr>
        <w:tc>
          <w:tcPr>
            <w:tcW w:type="dxa" w:w="2415"/>
            <w:vAlign w:val="top"/>
            <w:shd w:fill="FFFFFF"/>
          </w:tcPr>
          <w:p>
            <w:pPr>
              <w:pStyle w:val="TableText"/>
              <w:keepNext w:val="0"/>
              <w:keepLines/>
            </w:pPr>
            <w:r>
              <w:t>Audio and data engineer</w:t>
            </w:r>
          </w:p>
        </w:tc>
        <w:tc>
          <w:tcPr>
            <w:tcW w:type="dxa" w:w="3969"/>
            <w:vAlign w:val="top"/>
            <w:shd w:fill="FFFFFF"/>
          </w:tcPr>
          <w:p>
            <w:pPr>
              <w:pStyle w:val="TableText"/>
              <w:keepNext w:val="0"/>
              <w:keepLines/>
            </w:pPr>
            <w:r>
              <w:t>Specify capture, RF, acoustics, processing, access, retention and correction</w:t>
            </w:r>
          </w:p>
        </w:tc>
        <w:tc>
          <w:tcPr>
            <w:tcW w:type="dxa" w:w="3768"/>
            <w:vAlign w:val="top"/>
            <w:shd w:fill="FFFFFF"/>
          </w:tcPr>
          <w:p>
            <w:pPr>
              <w:pStyle w:val="TableText"/>
              <w:keepNext w:val="0"/>
              <w:keepLines/>
            </w:pPr>
            <w:r>
              <w:t>Tested technical design, data-flow record and service recovery procedure.</w:t>
            </w:r>
          </w:p>
        </w:tc>
      </w:tr>
      <w:tr>
        <w:trPr>
          <w:cantSplit/>
        </w:trPr>
        <w:tc>
          <w:tcPr>
            <w:tcW w:type="dxa" w:w="2415"/>
            <w:vAlign w:val="top"/>
            <w:shd w:fill="EDF2EE"/>
          </w:tcPr>
          <w:p>
            <w:pPr>
              <w:pStyle w:val="TableText"/>
              <w:keepNext w:val="0"/>
              <w:keepLines/>
            </w:pPr>
            <w:r>
              <w:t>Asset and renewal planner</w:t>
            </w:r>
          </w:p>
        </w:tc>
        <w:tc>
          <w:tcPr>
            <w:tcW w:type="dxa" w:w="3969"/>
            <w:vAlign w:val="top"/>
            <w:shd w:fill="EDF2EE"/>
          </w:tcPr>
          <w:p>
            <w:pPr>
              <w:pStyle w:val="TableText"/>
              <w:keepNext w:val="0"/>
              <w:keepLines/>
            </w:pPr>
            <w:r>
              <w:t>Track condition, faults, useful life, content fatigue and relocation opportunities</w:t>
            </w:r>
          </w:p>
        </w:tc>
        <w:tc>
          <w:tcPr>
            <w:tcW w:type="dxa" w:w="3768"/>
            <w:vAlign w:val="top"/>
            <w:shd w:fill="EDF2EE"/>
          </w:tcPr>
          <w:p>
            <w:pPr>
              <w:pStyle w:val="TableText"/>
              <w:keepNext w:val="0"/>
              <w:keepLines/>
            </w:pPr>
            <w:r>
              <w:t>Costed renewal schedule, reserve requirement and rotation proposal.</w:t>
            </w:r>
          </w:p>
        </w:tc>
      </w:tr>
      <w:tr>
        <w:trPr>
          <w:cantSplit/>
        </w:trPr>
        <w:tc>
          <w:tcPr>
            <w:tcW w:type="dxa" w:w="2415"/>
            <w:vAlign w:val="top"/>
            <w:shd w:fill="FFFFFF"/>
          </w:tcPr>
          <w:p>
            <w:pPr>
              <w:pStyle w:val="TableText"/>
              <w:keepNext w:val="0"/>
              <w:keepLines/>
            </w:pPr>
            <w:r>
              <w:t>Contract and source reviewer</w:t>
            </w:r>
          </w:p>
        </w:tc>
        <w:tc>
          <w:tcPr>
            <w:tcW w:type="dxa" w:w="3969"/>
            <w:vAlign w:val="top"/>
            <w:shd w:fill="FFFFFF"/>
          </w:tcPr>
          <w:p>
            <w:pPr>
              <w:pStyle w:val="TableText"/>
              <w:keepNext w:val="0"/>
              <w:keepLines/>
            </w:pPr>
            <w:r>
              <w:t>Maintain current sources and assemble premises, employment and partner questions</w:t>
            </w:r>
          </w:p>
        </w:tc>
        <w:tc>
          <w:tcPr>
            <w:tcW w:type="dxa" w:w="3768"/>
            <w:vAlign w:val="top"/>
            <w:shd w:fill="FFFFFF"/>
          </w:tcPr>
          <w:p>
            <w:pPr>
              <w:pStyle w:val="TableText"/>
              <w:keepNext w:val="0"/>
              <w:keepLines/>
            </w:pPr>
            <w:r>
              <w:t>A source-linked review pack for Luke and the relevant professional adviser.</w:t>
            </w:r>
          </w:p>
        </w:tc>
      </w:tr>
    </w:tbl>
    <w:p>
      <w:pPr>
        <w:spacing w:after="20" w:before="0" w:line="240" w:lineRule="auto"/>
      </w:pPr>
      <w:r>
        <w:rPr>
          <w:sz w:val="6"/>
        </w:rPr>
      </w:r>
    </w:p>
    <w:p>
      <w:pPr/>
      <w:r>
        <w:t>These are proposed functional roles. They can be combined or separated as workload and approved systems develop. The role count is not an employee count or an assumed software subscription bill.</w:t>
      </w:r>
    </w:p>
    <w:p>
      <w:pPr>
        <w:pStyle w:val="SourceNote"/>
      </w:pPr>
      <w:r>
        <w:t xml:space="preserve">Sources: </w:t>
      </w:r>
      <w:hyperlink w:anchor="source_D05">
        <w:r>
          <w:rPr>
            <w:color w:val="275E67"/>
            <w:u w:val="single"/>
          </w:rPr>
          <w:t xml:space="preserve">D05</w:t>
        </w:r>
      </w:hyperlink>
      <w:r>
        <w:t xml:space="preserve">, </w:t>
      </w:r>
      <w:hyperlink w:anchor="source_D08">
        <w:r>
          <w:rPr>
            <w:color w:val="275E67"/>
            <w:u w:val="single"/>
          </w:rPr>
          <w:t xml:space="preserve">D08</w:t>
        </w:r>
      </w:hyperlink>
      <w:r>
        <w:t xml:space="preserve">, </w:t>
      </w:r>
      <w:hyperlink w:anchor="source_P06">
        <w:r>
          <w:rPr>
            <w:color w:val="275E67"/>
            <w:u w:val="single"/>
          </w:rPr>
          <w:t xml:space="preserve">P06</w:t>
        </w:r>
      </w:hyperlink>
      <w:r>
        <w:t xml:space="preserve">, </w:t>
      </w:r>
      <w:hyperlink w:anchor="source_P07">
        <w:r>
          <w:rPr>
            <w:color w:val="275E67"/>
            <w:u w:val="single"/>
          </w:rPr>
          <w:t xml:space="preserve">P07</w:t>
        </w:r>
      </w:hyperlink>
      <w:r>
        <w:t xml:space="preserve">, </w:t>
      </w:r>
      <w:hyperlink w:anchor="source_P08">
        <w:r>
          <w:rPr>
            <w:color w:val="275E67"/>
            <w:u w:val="single"/>
          </w:rPr>
          <w:t xml:space="preserve">P08</w:t>
        </w:r>
      </w:hyperlink>
    </w:p>
    <w:p>
      <w:bookmarkStart w:id="55" w:name="s_agent_roles_Hiring_paid_labou_af33cb"/>
      <w:pPr>
        <w:pStyle w:val="Heading2"/>
      </w:pPr>
      <w:r>
        <w:t>Hiring paid labourers and contractors</w:t>
      </w:r>
      <w:bookmarkEnd w:id="55"/>
    </w:p>
    <w:p>
      <w:pPr/>
      <w:r>
        <w:t>The approved workflow begins with a work package: location, drawings, quantities, task, competence, materials, tools, dates, site conditions, acceptance checks and payment terms. The people coordinator prepares an appropriate engagement brief; procurement compares supplier offers; finance verifies the available budget; deployment sequences the accepted work.</w:t>
      </w:r>
    </w:p>
    <w:p>
      <w:pPr/>
      <w:r>
        <w:t>Luke approves the initial engagement authority and its limits. The future system can then request quotes, schedule people or issue agreed work orders within that authority. A change outside the approved scope returns with its cost and timetable effect. The agent records the completed action and the evidence of acceptance.</w:t>
      </w:r>
    </w:p>
    <w:p>
      <w:pPr/>
      <w:r>
        <w:t>The business pays for preparation, setup, travel where agreed, training, the task itself and handover. Qualified work and professional sign-off remain with the responsible human provider. The just-in-time material helps people perform the actual task and preserves their useful knowledge for the next crew.</w:t>
      </w:r>
    </w:p>
    <w:p>
      <w:pPr>
        <w:pStyle w:val="SourceNote"/>
      </w:pPr>
      <w:r>
        <w:t xml:space="preserve">Sources: </w:t>
      </w:r>
      <w:hyperlink w:anchor="source_D05">
        <w:r>
          <w:rPr>
            <w:color w:val="275E67"/>
            <w:u w:val="single"/>
          </w:rPr>
          <w:t xml:space="preserve">D05</w:t>
        </w:r>
      </w:hyperlink>
      <w:r>
        <w:t xml:space="preserve">, </w:t>
      </w:r>
      <w:hyperlink w:anchor="source_D13">
        <w:r>
          <w:rPr>
            <w:color w:val="275E67"/>
            <w:u w:val="single"/>
          </w:rPr>
          <w:t xml:space="preserve">D13</w:t>
        </w:r>
      </w:hyperlink>
      <w:r>
        <w:t xml:space="preserve">, </w:t>
      </w:r>
      <w:hyperlink w:anchor="source_P03">
        <w:r>
          <w:rPr>
            <w:color w:val="275E67"/>
            <w:u w:val="single"/>
          </w:rPr>
          <w:t xml:space="preserve">P03</w:t>
        </w:r>
      </w:hyperlink>
      <w:r>
        <w:t xml:space="preserve">, </w:t>
      </w:r>
      <w:hyperlink w:anchor="source_P05">
        <w:r>
          <w:rPr>
            <w:color w:val="275E67"/>
            <w:u w:val="single"/>
          </w:rPr>
          <w:t xml:space="preserve">P05</w:t>
        </w:r>
      </w:hyperlink>
    </w:p>
    <w:p>
      <w:bookmarkStart w:id="56" w:name="s_agent_roles_A_complete_approv_db6dce"/>
      <w:pPr>
        <w:pStyle w:val="Heading2"/>
      </w:pPr>
      <w:r>
        <w:t>A complete approval record</w:t>
      </w:r>
      <w:bookmarkEnd w:id="56"/>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3545"/>
        <w:gridCol w:w="6607"/>
      </w:tblGrid>
      <w:tr>
        <w:trPr>
          <w:cantSplit/>
          <w:tblHeader w:val="true"/>
        </w:trPr>
        <w:tc>
          <w:tcPr>
            <w:tcW w:type="dxa" w:w="3545"/>
            <w:vAlign w:val="center"/>
            <w:shd w:fill="203B4C"/>
          </w:tcPr>
          <w:p>
            <w:pPr>
              <w:pStyle w:val="TableHead"/>
              <w:keepNext/>
              <w:keepLines/>
            </w:pPr>
            <w:r>
              <w:rPr>
                <w:color w:val="FFFFFF"/>
              </w:rPr>
              <w:t>Decision</w:t>
            </w:r>
          </w:p>
        </w:tc>
        <w:tc>
          <w:tcPr>
            <w:tcW w:type="dxa" w:w="6607"/>
            <w:vAlign w:val="center"/>
            <w:shd w:fill="203B4C"/>
          </w:tcPr>
          <w:p>
            <w:pPr>
              <w:pStyle w:val="TableHead"/>
              <w:keepNext/>
              <w:keepLines/>
            </w:pPr>
            <w:r>
              <w:rPr>
                <w:color w:val="FFFFFF"/>
              </w:rPr>
              <w:t>What Luke reviews before activation</w:t>
            </w:r>
          </w:p>
        </w:tc>
      </w:tr>
      <w:tr>
        <w:trPr>
          <w:cantSplit/>
        </w:trPr>
        <w:tc>
          <w:tcPr>
            <w:tcW w:type="dxa" w:w="3545"/>
            <w:vAlign w:val="top"/>
            <w:shd w:fill="EDF2EE"/>
          </w:tcPr>
          <w:p>
            <w:pPr>
              <w:pStyle w:val="TableText"/>
              <w:keepNext w:val="0"/>
              <w:keepLines/>
            </w:pPr>
            <w:r>
              <w:t>System adoption</w:t>
            </w:r>
          </w:p>
        </w:tc>
        <w:tc>
          <w:tcPr>
            <w:tcW w:type="dxa" w:w="6607"/>
            <w:vAlign w:val="top"/>
            <w:shd w:fill="EDF2EE"/>
          </w:tcPr>
          <w:p>
            <w:pPr>
              <w:pStyle w:val="TableText"/>
              <w:keepNext w:val="0"/>
              <w:keepLines/>
            </w:pPr>
            <w:r>
              <w:t>Role charters, objectives, outputs and reporting relationships.</w:t>
            </w:r>
          </w:p>
        </w:tc>
      </w:tr>
      <w:tr>
        <w:trPr>
          <w:cantSplit/>
        </w:trPr>
        <w:tc>
          <w:tcPr>
            <w:tcW w:type="dxa" w:w="3545"/>
            <w:vAlign w:val="top"/>
            <w:shd w:fill="FFFFFF"/>
          </w:tcPr>
          <w:p>
            <w:pPr>
              <w:pStyle w:val="TableText"/>
              <w:keepNext w:val="0"/>
              <w:keepLines/>
            </w:pPr>
            <w:r>
              <w:t>Data and accounts</w:t>
            </w:r>
          </w:p>
        </w:tc>
        <w:tc>
          <w:tcPr>
            <w:tcW w:type="dxa" w:w="6607"/>
            <w:vAlign w:val="top"/>
            <w:shd w:fill="FFFFFF"/>
          </w:tcPr>
          <w:p>
            <w:pPr>
              <w:pStyle w:val="TableText"/>
              <w:keepNext w:val="0"/>
              <w:keepLines/>
            </w:pPr>
            <w:r>
              <w:t>Approved systems, credentials, information scope and retention.</w:t>
            </w:r>
          </w:p>
        </w:tc>
      </w:tr>
      <w:tr>
        <w:trPr>
          <w:cantSplit/>
        </w:trPr>
        <w:tc>
          <w:tcPr>
            <w:tcW w:type="dxa" w:w="3545"/>
            <w:vAlign w:val="top"/>
            <w:shd w:fill="EDF2EE"/>
          </w:tcPr>
          <w:p>
            <w:pPr>
              <w:pStyle w:val="TableText"/>
              <w:keepNext w:val="0"/>
              <w:keepLines/>
            </w:pPr>
            <w:r>
              <w:t>Communications</w:t>
            </w:r>
          </w:p>
        </w:tc>
        <w:tc>
          <w:tcPr>
            <w:tcW w:type="dxa" w:w="6607"/>
            <w:vAlign w:val="top"/>
            <w:shd w:fill="EDF2EE"/>
          </w:tcPr>
          <w:p>
            <w:pPr>
              <w:pStyle w:val="TableText"/>
              <w:keepNext w:val="0"/>
              <w:keepLines/>
            </w:pPr>
            <w:r>
              <w:t>Identity, audiences, templates, contact limits and escalation.</w:t>
            </w:r>
          </w:p>
        </w:tc>
      </w:tr>
      <w:tr>
        <w:trPr>
          <w:cantSplit/>
        </w:trPr>
        <w:tc>
          <w:tcPr>
            <w:tcW w:type="dxa" w:w="3545"/>
            <w:vAlign w:val="top"/>
            <w:shd w:fill="FFFFFF"/>
          </w:tcPr>
          <w:p>
            <w:pPr>
              <w:pStyle w:val="TableText"/>
              <w:keepNext w:val="0"/>
              <w:keepLines/>
            </w:pPr>
            <w:r>
              <w:t>Hiring and contracting</w:t>
            </w:r>
          </w:p>
        </w:tc>
        <w:tc>
          <w:tcPr>
            <w:tcW w:type="dxa" w:w="6607"/>
            <w:vAlign w:val="top"/>
            <w:shd w:fill="FFFFFF"/>
          </w:tcPr>
          <w:p>
            <w:pPr>
              <w:pStyle w:val="TableText"/>
              <w:keepNext w:val="0"/>
              <w:keepLines/>
            </w:pPr>
            <w:r>
              <w:t>Who can request quotes, engage people, vary work and accept delivery.</w:t>
            </w:r>
          </w:p>
        </w:tc>
      </w:tr>
      <w:tr>
        <w:trPr>
          <w:cantSplit/>
        </w:trPr>
        <w:tc>
          <w:tcPr>
            <w:tcW w:type="dxa" w:w="3545"/>
            <w:vAlign w:val="top"/>
            <w:shd w:fill="EDF2EE"/>
          </w:tcPr>
          <w:p>
            <w:pPr>
              <w:pStyle w:val="TableText"/>
              <w:keepNext w:val="0"/>
              <w:keepLines/>
            </w:pPr>
            <w:r>
              <w:t>Expenditure</w:t>
            </w:r>
          </w:p>
        </w:tc>
        <w:tc>
          <w:tcPr>
            <w:tcW w:type="dxa" w:w="6607"/>
            <w:vAlign w:val="top"/>
            <w:shd w:fill="EDF2EE"/>
          </w:tcPr>
          <w:p>
            <w:pPr>
              <w:pStyle w:val="TableText"/>
              <w:keepNext w:val="0"/>
              <w:keepLines/>
            </w:pPr>
            <w:r>
              <w:t>Budget, per-action limits, payment checks and exceptions.</w:t>
            </w:r>
          </w:p>
        </w:tc>
      </w:tr>
      <w:tr>
        <w:trPr>
          <w:cantSplit/>
        </w:trPr>
        <w:tc>
          <w:tcPr>
            <w:tcW w:type="dxa" w:w="3545"/>
            <w:vAlign w:val="top"/>
            <w:shd w:fill="FFFFFF"/>
          </w:tcPr>
          <w:p>
            <w:pPr>
              <w:pStyle w:val="TableText"/>
              <w:keepNext w:val="0"/>
              <w:keepLines/>
            </w:pPr>
            <w:r>
              <w:t>Customer operations</w:t>
            </w:r>
          </w:p>
        </w:tc>
        <w:tc>
          <w:tcPr>
            <w:tcW w:type="dxa" w:w="6607"/>
            <w:vAlign w:val="top"/>
            <w:shd w:fill="FFFFFF"/>
          </w:tcPr>
          <w:p>
            <w:pPr>
              <w:pStyle w:val="TableText"/>
              <w:keepNext w:val="0"/>
              <w:keepLines/>
            </w:pPr>
            <w:r>
              <w:t>Bookings, settlement, refunds, complaints and human support.</w:t>
            </w:r>
          </w:p>
        </w:tc>
      </w:tr>
      <w:tr>
        <w:trPr>
          <w:cantSplit/>
        </w:trPr>
        <w:tc>
          <w:tcPr>
            <w:tcW w:type="dxa" w:w="3545"/>
            <w:vAlign w:val="top"/>
            <w:shd w:fill="EDF2EE"/>
          </w:tcPr>
          <w:p>
            <w:pPr>
              <w:pStyle w:val="TableText"/>
              <w:keepNext w:val="0"/>
              <w:keepLines/>
            </w:pPr>
            <w:r>
              <w:t>Deployment and renewal</w:t>
            </w:r>
          </w:p>
        </w:tc>
        <w:tc>
          <w:tcPr>
            <w:tcW w:type="dxa" w:w="6607"/>
            <w:vAlign w:val="top"/>
            <w:shd w:fill="EDF2EE"/>
          </w:tcPr>
          <w:p>
            <w:pPr>
              <w:pStyle w:val="TableText"/>
              <w:keepNext w:val="0"/>
              <w:keepLines/>
            </w:pPr>
            <w:r>
              <w:t>First approved sites, scope, reserve, works and acceptance evidence.</w:t>
            </w:r>
          </w:p>
        </w:tc>
      </w:tr>
      <w:tr>
        <w:trPr>
          <w:cantSplit/>
        </w:trPr>
        <w:tc>
          <w:tcPr>
            <w:tcW w:type="dxa" w:w="3545"/>
            <w:vAlign w:val="top"/>
            <w:shd w:fill="FFFFFF"/>
          </w:tcPr>
          <w:p>
            <w:pPr>
              <w:pStyle w:val="TableText"/>
              <w:keepNext w:val="0"/>
              <w:keepLines/>
            </w:pPr>
            <w:r>
              <w:t>Automation</w:t>
            </w:r>
          </w:p>
        </w:tc>
        <w:tc>
          <w:tcPr>
            <w:tcW w:type="dxa" w:w="6607"/>
            <w:vAlign w:val="top"/>
            <w:shd w:fill="FFFFFF"/>
          </w:tcPr>
          <w:p>
            <w:pPr>
              <w:pStyle w:val="TableText"/>
              <w:keepNext w:val="0"/>
              <w:keepLines/>
            </w:pPr>
            <w:r>
              <w:t>Actual triggers, schedules, tools, monitoring and pause procedure.</w:t>
            </w:r>
          </w:p>
        </w:tc>
      </w:tr>
    </w:tbl>
    <w:p>
      <w:pPr>
        <w:spacing w:after="20" w:before="0" w:line="240" w:lineRule="auto"/>
      </w:pPr>
      <w:r>
        <w:rPr>
          <w:sz w:val="6"/>
        </w:rPr>
      </w:r>
    </w:p>
    <w:p>
      <w:pPr/>
      <w:r>
        <w:t>The register records the approved version, date and authority. Proposed, approved, completed and accepted are distinct states. A changed role or material increase in authority returns for review. Luke can pause a role or narrow its access.</w:t>
      </w:r>
    </w:p>
    <w:p>
      <w:pPr/>
      <w:r>
        <w:t>The first approval pack is delivered with this business plan. No operational task is scheduled merely because its proposed role appears here.</w:t>
      </w:r>
    </w:p>
    <w:p>
      <w:pPr>
        <w:pStyle w:val="SourceNote"/>
      </w:pPr>
      <w:r>
        <w:t xml:space="preserve">Sources: </w:t>
      </w:r>
      <w:hyperlink w:anchor="source_P14">
        <w:r>
          <w:rPr>
            <w:color w:val="275E67"/>
            <w:u w:val="single"/>
          </w:rPr>
          <w:t xml:space="preserve">P14</w:t>
        </w:r>
      </w:hyperlink>
    </w:p>
    <w:p>
      <w:bookmarkStart w:id="57" w:name="chapter_renewal"/>
      <w:pPr>
        <w:pStyle w:val="Heading1"/>
        <w:spacing w:before="360"/>
      </w:pPr>
      <w:r>
        <w:t>Renewal, rotation and useful asset life</w:t>
      </w:r>
      <w:bookmarkEnd w:id="57"/>
    </w:p>
    <w:p>
      <w:pPr>
        <w:pStyle w:val="Lead"/>
      </w:pPr>
      <w:r>
        <w:t>Keep the experience fresh, the equipment dependable and the next renewal funded before it is due.</w:t>
      </w:r>
    </w:p>
    <w:p>
      <w:bookmarkStart w:id="58" w:name="s_renewal_Four_lifecycles_to_ma_321517"/>
      <w:pPr>
        <w:pStyle w:val="Heading2"/>
      </w:pPr>
      <w:r>
        <w:t>Four lifecycles to manage</w:t>
      </w:r>
      <w:bookmarkEnd w:id="58"/>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688"/>
        <w:gridCol w:w="3515"/>
        <w:gridCol w:w="3949"/>
      </w:tblGrid>
      <w:tr>
        <w:trPr>
          <w:cantSplit/>
          <w:tblHeader w:val="true"/>
        </w:trPr>
        <w:tc>
          <w:tcPr>
            <w:tcW w:type="dxa" w:w="2688"/>
            <w:vAlign w:val="center"/>
            <w:shd w:fill="203B4C"/>
          </w:tcPr>
          <w:p>
            <w:pPr>
              <w:pStyle w:val="TableHead"/>
              <w:keepNext/>
              <w:keepLines/>
            </w:pPr>
            <w:r>
              <w:rPr>
                <w:color w:val="FFFFFF"/>
              </w:rPr>
              <w:t>Asset layer</w:t>
            </w:r>
          </w:p>
        </w:tc>
        <w:tc>
          <w:tcPr>
            <w:tcW w:type="dxa" w:w="3515"/>
            <w:vAlign w:val="center"/>
            <w:shd w:fill="203B4C"/>
          </w:tcPr>
          <w:p>
            <w:pPr>
              <w:pStyle w:val="TableHead"/>
              <w:keepNext/>
              <w:keepLines/>
            </w:pPr>
            <w:r>
              <w:rPr>
                <w:color w:val="FFFFFF"/>
              </w:rPr>
              <w:t>Review and service pattern</w:t>
            </w:r>
          </w:p>
        </w:tc>
        <w:tc>
          <w:tcPr>
            <w:tcW w:type="dxa" w:w="3949"/>
            <w:vAlign w:val="center"/>
            <w:shd w:fill="203B4C"/>
          </w:tcPr>
          <w:p>
            <w:pPr>
              <w:pStyle w:val="TableHead"/>
              <w:keepNext/>
              <w:keepLines/>
            </w:pPr>
            <w:r>
              <w:rPr>
                <w:color w:val="FFFFFF"/>
              </w:rPr>
              <w:t>Renewal decision</w:t>
            </w:r>
          </w:p>
        </w:tc>
      </w:tr>
      <w:tr>
        <w:trPr>
          <w:cantSplit/>
        </w:trPr>
        <w:tc>
          <w:tcPr>
            <w:tcW w:type="dxa" w:w="2688"/>
            <w:vAlign w:val="top"/>
            <w:shd w:fill="EDF2EE"/>
          </w:tcPr>
          <w:p>
            <w:pPr>
              <w:pStyle w:val="TableText"/>
              <w:keepNext w:val="0"/>
              <w:keepLines/>
            </w:pPr>
            <w:r>
              <w:t>Story, evidence and facilitator material</w:t>
            </w:r>
          </w:p>
        </w:tc>
        <w:tc>
          <w:tcPr>
            <w:tcW w:type="dxa" w:w="3515"/>
            <w:vAlign w:val="top"/>
            <w:shd w:fill="EDF2EE"/>
          </w:tcPr>
          <w:p>
            <w:pPr>
              <w:pStyle w:val="TableText"/>
              <w:keepNext w:val="0"/>
              <w:keepLines/>
            </w:pPr>
            <w:r>
              <w:t>Review after sessions and at a quarterly content meeting</w:t>
            </w:r>
          </w:p>
        </w:tc>
        <w:tc>
          <w:tcPr>
            <w:tcW w:type="dxa" w:w="3949"/>
            <w:vAlign w:val="top"/>
            <w:shd w:fill="EDF2EE"/>
          </w:tcPr>
          <w:p>
            <w:pPr>
              <w:pStyle w:val="TableText"/>
              <w:keepNext w:val="0"/>
              <w:keepLines/>
            </w:pPr>
            <w:r>
              <w:t>Revise unclear elements, add variants and retire familiar or weak scenarios.</w:t>
            </w:r>
          </w:p>
        </w:tc>
      </w:tr>
      <w:tr>
        <w:trPr>
          <w:cantSplit/>
        </w:trPr>
        <w:tc>
          <w:tcPr>
            <w:tcW w:type="dxa" w:w="2688"/>
            <w:vAlign w:val="top"/>
            <w:shd w:fill="FFFFFF"/>
          </w:tcPr>
          <w:p>
            <w:pPr>
              <w:pStyle w:val="TableText"/>
              <w:keepNext w:val="0"/>
              <w:keepLines/>
            </w:pPr>
            <w:r>
              <w:t>Props, furniture and moving mechanisms</w:t>
            </w:r>
          </w:p>
        </w:tc>
        <w:tc>
          <w:tcPr>
            <w:tcW w:type="dxa" w:w="3515"/>
            <w:vAlign w:val="top"/>
            <w:shd w:fill="FFFFFF"/>
          </w:tcPr>
          <w:p>
            <w:pPr>
              <w:pStyle w:val="TableText"/>
              <w:keepNext w:val="0"/>
              <w:keepLines/>
            </w:pPr>
            <w:r>
              <w:t>Reset checks, scheduled condition checks and recorded repairs</w:t>
            </w:r>
          </w:p>
        </w:tc>
        <w:tc>
          <w:tcPr>
            <w:tcW w:type="dxa" w:w="3949"/>
            <w:vAlign w:val="top"/>
            <w:shd w:fill="FFFFFF"/>
          </w:tcPr>
          <w:p>
            <w:pPr>
              <w:pStyle w:val="TableText"/>
              <w:keepNext w:val="0"/>
              <w:keepLines/>
            </w:pPr>
            <w:r>
              <w:t>Repair, refurbish or replace individual components against actual condition.</w:t>
            </w:r>
          </w:p>
        </w:tc>
      </w:tr>
      <w:tr>
        <w:trPr>
          <w:cantSplit/>
        </w:trPr>
        <w:tc>
          <w:tcPr>
            <w:tcW w:type="dxa" w:w="2688"/>
            <w:vAlign w:val="top"/>
            <w:shd w:fill="EDF2EE"/>
          </w:tcPr>
          <w:p>
            <w:pPr>
              <w:pStyle w:val="TableText"/>
              <w:keepNext w:val="0"/>
              <w:keepLines/>
            </w:pPr>
            <w:r>
              <w:t>Audio, controls, compute and network</w:t>
            </w:r>
          </w:p>
        </w:tc>
        <w:tc>
          <w:tcPr>
            <w:tcW w:type="dxa" w:w="3515"/>
            <w:vAlign w:val="top"/>
            <w:shd w:fill="EDF2EE"/>
          </w:tcPr>
          <w:p>
            <w:pPr>
              <w:pStyle w:val="TableText"/>
              <w:keepNext w:val="0"/>
              <w:keepLines/>
            </w:pPr>
            <w:r>
              <w:t>Functional checks, supported-version reviews and fault monitoring</w:t>
            </w:r>
          </w:p>
        </w:tc>
        <w:tc>
          <w:tcPr>
            <w:tcW w:type="dxa" w:w="3949"/>
            <w:vAlign w:val="top"/>
            <w:shd w:fill="EDF2EE"/>
          </w:tcPr>
          <w:p>
            <w:pPr>
              <w:pStyle w:val="TableText"/>
              <w:keepNext w:val="0"/>
              <w:keepLines/>
            </w:pPr>
            <w:r>
              <w:t>Replace unsupported or unreliable equipment and test integration before reopening.</w:t>
            </w:r>
          </w:p>
        </w:tc>
      </w:tr>
      <w:tr>
        <w:trPr>
          <w:cantSplit/>
        </w:trPr>
        <w:tc>
          <w:tcPr>
            <w:tcW w:type="dxa" w:w="2688"/>
            <w:vAlign w:val="top"/>
            <w:shd w:fill="FFFFFF"/>
          </w:tcPr>
          <w:p>
            <w:pPr>
              <w:pStyle w:val="TableText"/>
              <w:keepNext w:val="0"/>
              <w:keepLines/>
            </w:pPr>
            <w:r>
              <w:t>Building and fixed services</w:t>
            </w:r>
          </w:p>
        </w:tc>
        <w:tc>
          <w:tcPr>
            <w:tcW w:type="dxa" w:w="3515"/>
            <w:vAlign w:val="top"/>
            <w:shd w:fill="FFFFFF"/>
          </w:tcPr>
          <w:p>
            <w:pPr>
              <w:pStyle w:val="TableText"/>
              <w:keepNext w:val="0"/>
              <w:keepLines/>
            </w:pPr>
            <w:r>
              <w:t>Inspections and maintenance required by the actual premises and installations</w:t>
            </w:r>
          </w:p>
        </w:tc>
        <w:tc>
          <w:tcPr>
            <w:tcW w:type="dxa" w:w="3949"/>
            <w:vAlign w:val="top"/>
            <w:shd w:fill="FFFFFF"/>
          </w:tcPr>
          <w:p>
            <w:pPr>
              <w:pStyle w:val="TableText"/>
              <w:keepNext w:val="0"/>
              <w:keepLines/>
            </w:pPr>
            <w:r>
              <w:t>Fund the specific landlord or operator responsibilities in the lease and asset plan.</w:t>
            </w:r>
          </w:p>
        </w:tc>
      </w:tr>
    </w:tbl>
    <w:p>
      <w:pPr>
        <w:spacing w:after="20" w:before="0" w:line="240" w:lineRule="auto"/>
      </w:pPr>
      <w:r>
        <w:rPr>
          <w:sz w:val="6"/>
        </w:rPr>
      </w:r>
    </w:p>
    <w:p>
      <w:pPr/>
      <w:r>
        <w:t>The financial schedule ties each priced replacement to its asset quantity, current benchmark price and selected reserve horizon. Planned horizons are budgeting decisions, reviewed against condition and support. They do not claim that every item fails on a particular birthday.</w:t>
      </w:r>
    </w:p>
    <w:p>
      <w:pPr>
        <w:pStyle w:val="SourceNote"/>
      </w:pPr>
      <w:r>
        <w:t xml:space="preserve">Sources: </w:t>
      </w:r>
      <w:hyperlink w:anchor="source_D05">
        <w:r>
          <w:rPr>
            <w:color w:val="275E67"/>
            <w:u w:val="single"/>
          </w:rPr>
          <w:t xml:space="preserve">D05</w:t>
        </w:r>
      </w:hyperlink>
      <w:r>
        <w:t xml:space="preserve">, </w:t>
      </w:r>
      <w:hyperlink w:anchor="source_P14">
        <w:r>
          <w:rPr>
            <w:color w:val="275E67"/>
            <w:u w:val="single"/>
          </w:rPr>
          <w:t xml:space="preserve">P14</w:t>
        </w:r>
      </w:hyperlink>
    </w:p>
    <w:p>
      <w:bookmarkStart w:id="59" w:name="s_renewal_Itemised_renewal_prov_f9c229"/>
      <w:pPr>
        <w:pStyle w:val="Heading2"/>
      </w:pPr>
      <w:r>
        <w:t>Itemised renewal provision and timing</w:t>
      </w:r>
      <w:bookmarkEnd w:id="59"/>
    </w:p>
    <w:p>
      <w:pPr/>
      <w:r>
        <w:t>For the priced prototype and furniture, the following renewal periods are proposed planning decisions, not manufacturer promises: microphones and cables three years; control computer and UPS four; mixer five; used chairs three remaining years; used desks/cupboards five; new armchairs/tables seven. Review condition and service support annually. Reuse equipment where it remains suitable.</w:t>
      </w:r>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172"/>
        <w:gridCol w:w="1637"/>
        <w:gridCol w:w="1959"/>
        <w:gridCol w:w="2090"/>
        <w:gridCol w:w="1147"/>
        <w:gridCol w:w="1147"/>
      </w:tblGrid>
      <w:tr>
        <w:trPr>
          <w:cantSplit/>
          <w:tblHeader w:val="true"/>
        </w:trPr>
        <w:tc>
          <w:tcPr>
            <w:tcW w:type="dxa" w:w="2172"/>
            <w:vAlign w:val="center"/>
            <w:shd w:fill="203B4C"/>
          </w:tcPr>
          <w:p>
            <w:pPr>
              <w:pStyle w:val="TableHead"/>
              <w:keepNext/>
              <w:keepLines/>
            </w:pPr>
            <w:r>
              <w:rPr>
                <w:color w:val="FFFFFF"/>
              </w:rPr>
              <w:t>Priced group</w:t>
            </w:r>
          </w:p>
        </w:tc>
        <w:tc>
          <w:tcPr>
            <w:tcW w:type="dxa" w:w="1637"/>
            <w:vAlign w:val="center"/>
            <w:shd w:fill="203B4C"/>
          </w:tcPr>
          <w:p>
            <w:pPr>
              <w:pStyle w:val="TableHead"/>
              <w:keepNext/>
              <w:keepLines/>
              <w:jc w:val="center"/>
            </w:pPr>
            <w:r>
              <w:rPr>
                <w:color w:val="FFFFFF"/>
              </w:rPr>
              <w:t>Initial displayed-price cost</w:t>
            </w:r>
          </w:p>
        </w:tc>
        <w:tc>
          <w:tcPr>
            <w:tcW w:type="dxa" w:w="1959"/>
            <w:vAlign w:val="center"/>
            <w:shd w:fill="203B4C"/>
          </w:tcPr>
          <w:p>
            <w:pPr>
              <w:pStyle w:val="TableHead"/>
              <w:keepNext/>
              <w:keepLines/>
              <w:jc w:val="center"/>
            </w:pPr>
            <w:r>
              <w:rPr>
                <w:color w:val="FFFFFF"/>
              </w:rPr>
              <w:t>Annual provision at current prices</w:t>
            </w:r>
          </w:p>
        </w:tc>
        <w:tc>
          <w:tcPr>
            <w:tcW w:type="dxa" w:w="2090"/>
            <w:vAlign w:val="center"/>
            <w:shd w:fill="203B4C"/>
          </w:tcPr>
          <w:p>
            <w:pPr>
              <w:pStyle w:val="TableHead"/>
              <w:keepNext/>
              <w:keepLines/>
              <w:jc w:val="center"/>
            </w:pPr>
            <w:r>
              <w:rPr>
                <w:color w:val="FFFFFF"/>
              </w:rPr>
              <w:t>Replacement purchases through year 3</w:t>
            </w:r>
          </w:p>
        </w:tc>
        <w:tc>
          <w:tcPr>
            <w:tcW w:type="dxa" w:w="1147"/>
            <w:vAlign w:val="center"/>
            <w:shd w:fill="203B4C"/>
          </w:tcPr>
          <w:p>
            <w:pPr>
              <w:pStyle w:val="TableHead"/>
              <w:keepNext/>
              <w:keepLines/>
              <w:jc w:val="center"/>
            </w:pPr>
            <w:r>
              <w:rPr>
                <w:color w:val="FFFFFF"/>
              </w:rPr>
              <w:t>Through year 5</w:t>
            </w:r>
          </w:p>
        </w:tc>
        <w:tc>
          <w:tcPr>
            <w:tcW w:type="dxa" w:w="1147"/>
            <w:vAlign w:val="center"/>
            <w:shd w:fill="203B4C"/>
          </w:tcPr>
          <w:p>
            <w:pPr>
              <w:pStyle w:val="TableHead"/>
              <w:keepNext/>
              <w:keepLines/>
              <w:jc w:val="center"/>
            </w:pPr>
            <w:r>
              <w:rPr>
                <w:color w:val="FFFFFF"/>
              </w:rPr>
              <w:t>Through year 10</w:t>
            </w:r>
          </w:p>
        </w:tc>
      </w:tr>
      <w:tr>
        <w:trPr>
          <w:cantSplit/>
        </w:trPr>
        <w:tc>
          <w:tcPr>
            <w:tcW w:type="dxa" w:w="2172"/>
            <w:vAlign w:val="top"/>
            <w:shd w:fill="EDF2EE"/>
          </w:tcPr>
          <w:p>
            <w:pPr>
              <w:pStyle w:val="TableText"/>
              <w:keepNext w:val="0"/>
              <w:keepLines/>
            </w:pPr>
            <w:r>
              <w:t>One-room capture/control prototype</w:t>
            </w:r>
          </w:p>
        </w:tc>
        <w:tc>
          <w:tcPr>
            <w:tcW w:type="dxa" w:w="1637"/>
            <w:vAlign w:val="center"/>
            <w:shd w:fill="EDF2EE"/>
          </w:tcPr>
          <w:p>
            <w:pPr>
              <w:pStyle w:val="TableText"/>
              <w:keepNext w:val="0"/>
              <w:keepLines/>
              <w:jc w:val="center"/>
            </w:pPr>
            <w:r>
              <w:t>$3,041.00</w:t>
            </w:r>
          </w:p>
        </w:tc>
        <w:tc>
          <w:tcPr>
            <w:tcW w:type="dxa" w:w="1959"/>
            <w:vAlign w:val="center"/>
            <w:shd w:fill="EDF2EE"/>
          </w:tcPr>
          <w:p>
            <w:pPr>
              <w:pStyle w:val="TableText"/>
              <w:keepNext w:val="0"/>
              <w:keepLines/>
              <w:jc w:val="center"/>
            </w:pPr>
            <w:r>
              <w:t>$860.17</w:t>
            </w:r>
          </w:p>
        </w:tc>
        <w:tc>
          <w:tcPr>
            <w:tcW w:type="dxa" w:w="2090"/>
            <w:vAlign w:val="center"/>
            <w:shd w:fill="EDF2EE"/>
          </w:tcPr>
          <w:p>
            <w:pPr>
              <w:pStyle w:val="TableText"/>
              <w:keepNext w:val="0"/>
              <w:keepLines/>
              <w:jc w:val="center"/>
            </w:pPr>
            <w:r>
              <w:t>$1,628.00</w:t>
            </w:r>
          </w:p>
        </w:tc>
        <w:tc>
          <w:tcPr>
            <w:tcW w:type="dxa" w:w="1147"/>
            <w:vAlign w:val="center"/>
            <w:shd w:fill="EDF2EE"/>
          </w:tcPr>
          <w:p>
            <w:pPr>
              <w:pStyle w:val="TableText"/>
              <w:keepNext w:val="0"/>
              <w:keepLines/>
              <w:jc w:val="center"/>
            </w:pPr>
            <w:r>
              <w:t>$3,041.00</w:t>
            </w:r>
          </w:p>
        </w:tc>
        <w:tc>
          <w:tcPr>
            <w:tcW w:type="dxa" w:w="1147"/>
            <w:vAlign w:val="center"/>
            <w:shd w:fill="EDF2EE"/>
          </w:tcPr>
          <w:p>
            <w:pPr>
              <w:pStyle w:val="TableText"/>
              <w:keepNext w:val="0"/>
              <w:keepLines/>
              <w:jc w:val="center"/>
            </w:pPr>
            <w:r>
              <w:t>$7,710.00</w:t>
            </w:r>
          </w:p>
        </w:tc>
      </w:tr>
      <w:tr>
        <w:trPr>
          <w:cantSplit/>
        </w:trPr>
        <w:tc>
          <w:tcPr>
            <w:tcW w:type="dxa" w:w="2172"/>
            <w:vAlign w:val="top"/>
            <w:shd w:fill="FFFFFF"/>
          </w:tcPr>
          <w:p>
            <w:pPr>
              <w:pStyle w:val="TableText"/>
              <w:keepNext w:val="0"/>
              <w:keepLines/>
            </w:pPr>
            <w:r>
              <w:t>Four-room shared furniture</w:t>
            </w:r>
          </w:p>
        </w:tc>
        <w:tc>
          <w:tcPr>
            <w:tcW w:type="dxa" w:w="1637"/>
            <w:vAlign w:val="center"/>
            <w:shd w:fill="FFFFFF"/>
          </w:tcPr>
          <w:p>
            <w:pPr>
              <w:pStyle w:val="TableText"/>
              <w:keepNext w:val="0"/>
              <w:keepLines/>
              <w:jc w:val="center"/>
            </w:pPr>
            <w:r>
              <w:t>$4,028.00</w:t>
            </w:r>
          </w:p>
        </w:tc>
        <w:tc>
          <w:tcPr>
            <w:tcW w:type="dxa" w:w="1959"/>
            <w:vAlign w:val="center"/>
            <w:shd w:fill="FFFFFF"/>
          </w:tcPr>
          <w:p>
            <w:pPr>
              <w:pStyle w:val="TableText"/>
              <w:keepNext w:val="0"/>
              <w:keepLines/>
              <w:jc w:val="center"/>
            </w:pPr>
            <w:r>
              <w:t>$859.77</w:t>
            </w:r>
          </w:p>
        </w:tc>
        <w:tc>
          <w:tcPr>
            <w:tcW w:type="dxa" w:w="2090"/>
            <w:vAlign w:val="center"/>
            <w:shd w:fill="FFFFFF"/>
          </w:tcPr>
          <w:p>
            <w:pPr>
              <w:pStyle w:val="TableText"/>
              <w:keepNext w:val="0"/>
              <w:keepLines/>
              <w:jc w:val="center"/>
            </w:pPr>
            <w:r>
              <w:t>$1,248.00</w:t>
            </w:r>
          </w:p>
        </w:tc>
        <w:tc>
          <w:tcPr>
            <w:tcW w:type="dxa" w:w="1147"/>
            <w:vAlign w:val="center"/>
            <w:shd w:fill="FFFFFF"/>
          </w:tcPr>
          <w:p>
            <w:pPr>
              <w:pStyle w:val="TableText"/>
              <w:keepNext w:val="0"/>
              <w:keepLines/>
              <w:jc w:val="center"/>
            </w:pPr>
            <w:r>
              <w:t>$2,064.00</w:t>
            </w:r>
          </w:p>
        </w:tc>
        <w:tc>
          <w:tcPr>
            <w:tcW w:type="dxa" w:w="1147"/>
            <w:vAlign w:val="center"/>
            <w:shd w:fill="FFFFFF"/>
          </w:tcPr>
          <w:p>
            <w:pPr>
              <w:pStyle w:val="TableText"/>
              <w:keepNext w:val="0"/>
              <w:keepLines/>
              <w:jc w:val="center"/>
            </w:pPr>
            <w:r>
              <w:t>$7,340.00</w:t>
            </w:r>
          </w:p>
        </w:tc>
      </w:tr>
    </w:tbl>
    <w:p>
      <w:pPr>
        <w:spacing w:after="20" w:before="0" w:line="240" w:lineRule="auto"/>
      </w:pPr>
      <w:r>
        <w:rPr>
          <w:sz w:val="6"/>
        </w:rPr>
      </w:r>
    </w:p>
    <w:p>
      <w:pPr/>
      <w:r>
        <w:t>These are separate groups, so do not describe the one-room equipment provision as the cost of renewing four-room audio. Prices are held in October 2026 dollars for comparability. Reprice actual replacement orders and update the provision; no resale credit is assumed.</w:t>
      </w:r>
    </w:p>
    <w:p>
      <w:pPr/>
      <w:r>
        <w:t>For the four standard room-package comparison, funding $297,300 over five years requires $59,460 a year at the displayed prices, before freight, taxes, installation and customisation. This creates a clear benchmark for a complete-theme replacement option at years 5 and 10. The actual chosen modular room designs get their own replacement bill, and a midlife refit or redeployment can use that provision when it offers better value. This illustration is not a requirement to discard useful rooms every five years.</w:t>
      </w:r>
    </w:p>
    <w:p>
      <w:pPr>
        <w:pStyle w:val="Heading3"/>
      </w:pPr>
      <w:r>
        <w:t>Continuing renewal work</w:t>
      </w:r>
    </w:p>
    <w:p>
      <w:pPr>
        <w:pStyle w:val="ListBullet"/>
      </w:pPr>
      <w:r>
        <w:rPr>
          <w:b/>
        </w:rPr>
        <w:t>Each reset:</w:t>
      </w:r>
      <w:r>
        <w:t xml:space="preserve"> recorded prop count, mechanism and safety checks, microphone cleaning/charge, version confirmation and test state. Time is already in the room cycle; consumables follow the actual supplier bill.</w:t>
      </w:r>
    </w:p>
    <w:p>
      <w:pPr>
        <w:pStyle w:val="ListBullet"/>
      </w:pPr>
      <w:r>
        <w:rPr>
          <w:b/>
        </w:rPr>
        <w:t>Monthly:</w:t>
      </w:r>
      <w:r>
        <w:t xml:space="preserve"> a proposed two technical hours per room for a detailed mechanical inspection and repairs. Across four rooms this is 96 hours a year. At the published shopfitting range of $65-$85/hour, the labour component is $6,240-$8,160 excluding GST, with parts and electronics specialists separate. [</w:t>
      </w:r>
      <w:hyperlink w:anchor="source_R104">
        <w:r>
          <w:rPr>
            <w:color w:val="275E67"/>
            <w:u w:val="single"/>
          </w:rPr>
          <w:t xml:space="preserve">R104</w:t>
        </w:r>
      </w:hyperlink>
      <w:r>
        <w:t>]</w:t>
      </w:r>
    </w:p>
    <w:p>
      <w:pPr>
        <w:pStyle w:val="ListBullet"/>
      </w:pPr>
      <w:r>
        <w:rPr>
          <w:b/>
        </w:rPr>
        <w:t>Quarterly:</w:t>
      </w:r>
      <w:r>
        <w:t xml:space="preserve"> one blocked trading day per room for a version change and fresh-group check. The 128 unavailable sessions are already removed from annual capacity. Each update gets a task brief and content/technical quote.</w:t>
      </w:r>
    </w:p>
    <w:p>
      <w:pPr>
        <w:pStyle w:val="ListBullet"/>
      </w:pPr>
      <w:r>
        <w:rPr>
          <w:b/>
        </w:rPr>
        <w:t>Year 3:</w:t>
      </w:r>
      <w:r>
        <w:t xml:space="preserve"> review repeat demand, content saturation, wear, remaining support and the return from repair, new puzzle paths, room exchange or retirement.</w:t>
      </w:r>
    </w:p>
    <w:p>
      <w:pPr>
        <w:pStyle w:val="ListBullet"/>
      </w:pPr>
      <w:r>
        <w:rPr>
          <w:b/>
        </w:rPr>
        <w:t>Years 4-5:</w:t>
      </w:r>
      <w:r>
        <w:t xml:space="preserve"> fund the agreed technology and physical renewal orders from the asset-specific provision. Quote freight, reinstallation and recommissioning when rooms move.</w:t>
      </w:r>
    </w:p>
    <w:p>
      <w:pPr>
        <w:pStyle w:val="ListBullet"/>
      </w:pPr>
      <w:r>
        <w:rPr>
          <w:b/>
        </w:rPr>
        <w:t>Years 8-10:</w:t>
      </w:r>
      <w:r>
        <w:t xml:space="preserve"> repeat technology review, inspect the long-lived partitions/services, revisit access and the room mix, and prepare the next capital schedule. Useful parts can move to another location after safety, data handling, support and receiving-site checks.</w:t>
      </w:r>
    </w:p>
    <w:p>
      <w:pPr/>
      <w:r>
        <w:t>A content renewal brief can be priced as explicit deliverables: revised story/clue set, alternate route, accessible version, no-hint playtest, facilitator notes, updated reset guide and JIT lesson. The writer, educator, prop maker and testing time each receive a quantity and quoted rate. It is not hidden within an unexplained annual content allowance.</w:t>
      </w:r>
    </w:p>
    <w:p>
      <w:pPr>
        <w:pStyle w:val="SourceNote"/>
      </w:pPr>
      <w:r>
        <w:t xml:space="preserve">Sources: </w:t>
      </w:r>
      <w:hyperlink w:anchor="source_R104">
        <w:r>
          <w:rPr>
            <w:color w:val="275E67"/>
            <w:u w:val="single"/>
          </w:rPr>
          <w:t xml:space="preserve">R104</w:t>
        </w:r>
      </w:hyperlink>
      <w:r>
        <w:t xml:space="preserve">, </w:t>
      </w:r>
      <w:hyperlink w:anchor="source_R106">
        <w:r>
          <w:rPr>
            <w:color w:val="275E67"/>
            <w:u w:val="single"/>
          </w:rPr>
          <w:t xml:space="preserve">R106</w:t>
        </w:r>
      </w:hyperlink>
      <w:r>
        <w:t xml:space="preserve">, </w:t>
      </w:r>
      <w:hyperlink w:anchor="source_R108">
        <w:r>
          <w:rPr>
            <w:color w:val="275E67"/>
            <w:u w:val="single"/>
          </w:rPr>
          <w:t xml:space="preserve">R108</w:t>
        </w:r>
      </w:hyperlink>
      <w:r>
        <w:t xml:space="preserve">, </w:t>
      </w:r>
      <w:hyperlink w:anchor="source_R109">
        <w:r>
          <w:rPr>
            <w:color w:val="275E67"/>
            <w:u w:val="single"/>
          </w:rPr>
          <w:t xml:space="preserve">R109</w:t>
        </w:r>
      </w:hyperlink>
      <w:r>
        <w:t xml:space="preserve">, </w:t>
      </w:r>
      <w:hyperlink w:anchor="source_R111">
        <w:r>
          <w:rPr>
            <w:color w:val="275E67"/>
            <w:u w:val="single"/>
          </w:rPr>
          <w:t xml:space="preserve">R111</w:t>
        </w:r>
      </w:hyperlink>
      <w:r>
        <w:t xml:space="preserve">, </w:t>
      </w:r>
      <w:hyperlink w:anchor="source_R112">
        <w:r>
          <w:rPr>
            <w:color w:val="275E67"/>
            <w:u w:val="single"/>
          </w:rPr>
          <w:t xml:space="preserve">R112</w:t>
        </w:r>
      </w:hyperlink>
      <w:r>
        <w:t xml:space="preserve">, </w:t>
      </w:r>
      <w:hyperlink w:anchor="source_R113">
        <w:r>
          <w:rPr>
            <w:color w:val="275E67"/>
            <w:u w:val="single"/>
          </w:rPr>
          <w:t xml:space="preserve">R113</w:t>
        </w:r>
      </w:hyperlink>
      <w:r>
        <w:t xml:space="preserve">, </w:t>
      </w:r>
      <w:hyperlink w:anchor="source_R114">
        <w:r>
          <w:rPr>
            <w:color w:val="275E67"/>
            <w:u w:val="single"/>
          </w:rPr>
          <w:t xml:space="preserve">R114</w:t>
        </w:r>
      </w:hyperlink>
      <w:r>
        <w:t xml:space="preserve">, </w:t>
      </w:r>
      <w:hyperlink w:anchor="source_R115">
        <w:r>
          <w:rPr>
            <w:color w:val="275E67"/>
            <w:u w:val="single"/>
          </w:rPr>
          <w:t xml:space="preserve">R115</w:t>
        </w:r>
      </w:hyperlink>
      <w:r>
        <w:t xml:space="preserve">, </w:t>
      </w:r>
      <w:hyperlink w:anchor="source_R116">
        <w:r>
          <w:rPr>
            <w:color w:val="275E67"/>
            <w:u w:val="single"/>
          </w:rPr>
          <w:t xml:space="preserve">R116</w:t>
        </w:r>
      </w:hyperlink>
      <w:r>
        <w:t xml:space="preserve">, </w:t>
      </w:r>
      <w:hyperlink w:anchor="source_R117">
        <w:r>
          <w:rPr>
            <w:color w:val="275E67"/>
            <w:u w:val="single"/>
          </w:rPr>
          <w:t xml:space="preserve">R117</w:t>
        </w:r>
      </w:hyperlink>
    </w:p>
    <w:p>
      <w:bookmarkStart w:id="60" w:name="s_renewal_Content_renewal_and_r_9d448d"/>
      <w:pPr>
        <w:pStyle w:val="Heading2"/>
      </w:pPr>
      <w:r>
        <w:t>Content renewal and room rotation</w:t>
      </w:r>
      <w:bookmarkEnd w:id="60"/>
    </w:p>
    <w:p>
      <w:pPr/>
      <w:r>
        <w:t>Create several scenario variants around durable mechanisms. Change evidence, roles, dependencies and the final decision so a returning participant encounters a new task. Preserve the room's reset reliability and learning purpose as the story changes.</w:t>
      </w:r>
    </w:p>
    <w:p>
      <w:pPr/>
      <w:r>
        <w:t>When a room has a stronger audience elsewhere, prepare a rotation proposal. Record the module condition, ownership, receiving layout, changes, transport dimensions, freight quote, installation labour, commissioning, training, downtime and settlement. A room relocation is a costed project with an accountable receiving operator.</w:t>
      </w:r>
    </w:p>
    <w:p>
      <w:pPr/>
      <w:r>
        <w:t>The network catalogue shows where each version is operating. Customers can choose new experiences without a private learning record being shared across the network. The asset record tracks the parts; the participant chooses which learning continues with them.</w:t>
      </w:r>
    </w:p>
    <w:p>
      <w:pPr>
        <w:pStyle w:val="SourceNote"/>
      </w:pPr>
      <w:r>
        <w:t xml:space="preserve">Sources: </w:t>
      </w:r>
      <w:hyperlink w:anchor="source_M16">
        <w:r>
          <w:rPr>
            <w:color w:val="275E67"/>
            <w:u w:val="single"/>
          </w:rPr>
          <w:t xml:space="preserve">M16</w:t>
        </w:r>
      </w:hyperlink>
      <w:r>
        <w:t xml:space="preserve">, </w:t>
      </w:r>
      <w:hyperlink w:anchor="source_D07">
        <w:r>
          <w:rPr>
            <w:color w:val="275E67"/>
            <w:u w:val="single"/>
          </w:rPr>
          <w:t xml:space="preserve">D07</w:t>
        </w:r>
      </w:hyperlink>
    </w:p>
    <w:p>
      <w:bookmarkStart w:id="61" w:name="s_renewal_Pay_for_downtime_as_w_569e18"/>
      <w:pPr>
        <w:pStyle w:val="Heading2"/>
      </w:pPr>
      <w:r>
        <w:t>Pay for downtime as well as parts</w:t>
      </w:r>
      <w:bookmarkEnd w:id="61"/>
    </w:p>
    <w:p>
      <w:pPr/>
      <w:r>
        <w:t>A renewal schedule includes closed room sessions and the staff or host costs that continue while work happens. Where feasible, rotate one room at a time and use quieter periods. Temporary reductions in room capacity also affect school and corporate booking limits.</w:t>
      </w:r>
    </w:p>
    <w:p>
      <w:pPr/>
      <w:r>
        <w:t>Calculate the cash effect using the sessions displaced, expected sold share, actual group size, net ticket yield and avoidable delivery costs. Avoid treating every unavailable slot as a sold ticket, and avoid treating a closed room as cost-free.</w:t>
      </w:r>
    </w:p>
    <w:p>
      <w:pPr/>
      <w:r>
        <w:t>The reserve remains visible in the operating forecast. Actual renewals draw on the reserve under the accepted scope. A new design release updates the spatial record, parts list, reset procedure, learner material and receiving crew's task pack.</w:t>
      </w:r>
    </w:p>
    <w:p>
      <w:pPr>
        <w:pStyle w:val="SourceNote"/>
      </w:pPr>
      <w:r>
        <w:t xml:space="preserve">Sources: </w:t>
      </w:r>
      <w:hyperlink w:anchor="source_D05">
        <w:r>
          <w:rPr>
            <w:color w:val="275E67"/>
            <w:u w:val="single"/>
          </w:rPr>
          <w:t xml:space="preserve">D05</w:t>
        </w:r>
      </w:hyperlink>
      <w:r>
        <w:t xml:space="preserve">, </w:t>
      </w:r>
      <w:hyperlink w:anchor="source_P05">
        <w:r>
          <w:rPr>
            <w:color w:val="275E67"/>
            <w:u w:val="single"/>
          </w:rPr>
          <w:t xml:space="preserve">P05</w:t>
        </w:r>
      </w:hyperlink>
      <w:r>
        <w:t xml:space="preserve">, </w:t>
      </w:r>
      <w:hyperlink w:anchor="source_P14">
        <w:r>
          <w:rPr>
            <w:color w:val="275E67"/>
            <w:u w:val="single"/>
          </w:rPr>
          <w:t xml:space="preserve">P14</w:t>
        </w:r>
      </w:hyperlink>
    </w:p>
    <w:p>
      <w:bookmarkStart w:id="62" w:name="chapter_partnerships"/>
      <w:pPr>
        <w:pStyle w:val="Heading1"/>
        <w:spacing w:before="360"/>
      </w:pPr>
      <w:r>
        <w:t>Local enterprise, councils and a fair go</w:t>
      </w:r>
      <w:bookmarkEnd w:id="62"/>
    </w:p>
    <w:p>
      <w:pPr>
        <w:pStyle w:val="Lead"/>
      </w:pPr>
      <w:r>
        <w:t>Grow a federation of useful local businesses, with shared learning and clear ownership of the work and its value.</w:t>
      </w:r>
    </w:p>
    <w:p>
      <w:bookmarkStart w:id="63" w:name="s_partnerships_Commercial_parti_f9c847"/>
      <w:pPr>
        <w:pStyle w:val="Heading2"/>
      </w:pPr>
      <w:r>
        <w:t>Commercial participation without a compulsory structure</w:t>
      </w:r>
      <w:bookmarkEnd w:id="63"/>
    </w:p>
    <w:p>
      <w:pPr/>
      <w:r>
        <w:t>An existing escape operator can join distribution or install a new room. A tourism business can host a room or supply a linked experience. A local co-operative can own assets and employ people. A maker or trade business can deliver installation and renewal work. Agreements define the chosen relationship and its price.</w:t>
      </w:r>
    </w:p>
    <w:p>
      <w:pPr/>
      <w:r>
        <w:t>The deployment business maintains the shared design, records and learning method. Local partners contribute their place knowledge, people, premises, stories and customers. The structure can support private businesses, co-operatives, community organisations and institutional hosts without requiring them to become one organisation.</w:t>
      </w:r>
    </w:p>
    <w:p>
      <w:pPr/>
      <w:r>
        <w:t>Mutual Futures adds a route for succession and paid knowledge transfer from experienced owners. 500 Queens offers a connection for women-led enterprise, leadership and investment development. Participation and finance are developed through actual agreements.</w:t>
      </w:r>
    </w:p>
    <w:p>
      <w:pPr>
        <w:pStyle w:val="SourceNote"/>
      </w:pPr>
      <w:r>
        <w:t xml:space="preserve">Sources: </w:t>
      </w:r>
      <w:hyperlink w:anchor="source_D10">
        <w:r>
          <w:rPr>
            <w:color w:val="275E67"/>
            <w:u w:val="single"/>
          </w:rPr>
          <w:t xml:space="preserve">D10</w:t>
        </w:r>
      </w:hyperlink>
      <w:r>
        <w:t xml:space="preserve">, </w:t>
      </w:r>
      <w:hyperlink w:anchor="source_D12">
        <w:r>
          <w:rPr>
            <w:color w:val="275E67"/>
            <w:u w:val="single"/>
          </w:rPr>
          <w:t xml:space="preserve">D12</w:t>
        </w:r>
      </w:hyperlink>
      <w:r>
        <w:t xml:space="preserve">, </w:t>
      </w:r>
      <w:hyperlink w:anchor="source_D13">
        <w:r>
          <w:rPr>
            <w:color w:val="275E67"/>
            <w:u w:val="single"/>
          </w:rPr>
          <w:t xml:space="preserve">D13</w:t>
        </w:r>
      </w:hyperlink>
      <w:r>
        <w:t xml:space="preserve">, </w:t>
      </w:r>
      <w:hyperlink w:anchor="source_P03">
        <w:r>
          <w:rPr>
            <w:color w:val="275E67"/>
            <w:u w:val="single"/>
          </w:rPr>
          <w:t xml:space="preserve">P03</w:t>
        </w:r>
      </w:hyperlink>
      <w:r>
        <w:t xml:space="preserve">, </w:t>
      </w:r>
      <w:hyperlink w:anchor="source_P04">
        <w:r>
          <w:rPr>
            <w:color w:val="275E67"/>
            <w:u w:val="single"/>
          </w:rPr>
          <w:t xml:space="preserve">P04</w:t>
        </w:r>
      </w:hyperlink>
      <w:r>
        <w:t xml:space="preserve">, </w:t>
      </w:r>
      <w:hyperlink w:anchor="source_P05">
        <w:r>
          <w:rPr>
            <w:color w:val="275E67"/>
            <w:u w:val="single"/>
          </w:rPr>
          <w:t xml:space="preserve">P05</w:t>
        </w:r>
      </w:hyperlink>
    </w:p>
    <w:p>
      <w:bookmarkStart w:id="64" w:name="s_partnerships_The_council_and__8ce7dc"/>
      <w:pPr>
        <w:pStyle w:val="Heading2"/>
      </w:pPr>
      <w:r>
        <w:t>The council and regional tourism offer</w:t>
      </w:r>
      <w:bookmarkEnd w:id="64"/>
    </w:p>
    <w:p>
      <w:pPr/>
      <w:r>
        <w:t>A council or tourism body can help identify suitable precincts, available premises, local supplier capacity, visitor information, event calendars and relevant programmes. A proposed venue offers a specific local economic case: additional bookable experiences, paid work, repeat visitors, partner referrals, accessible participation and documented learning.</w:t>
      </w:r>
    </w:p>
    <w:p>
      <w:pPr/>
      <w:r>
        <w:t>The opportunity register works nationally. Expressions of interest can be invited across regions once the outreach system is approved. Deployment then follows the combination of a viable host, customer demand, delivery people, costed premises, finance and an attractive route through other participating places.</w:t>
      </w:r>
    </w:p>
    <w:p>
      <w:pPr/>
      <w:r>
        <w:t>Council, regional and electorate maps can provide overlapping views of the same venues and assets. The register counts a physical room once, even when several geographic or programme views include it. Aggregate local results can support public discussion without exposing personal Aura records.</w:t>
      </w:r>
    </w:p>
    <w:p>
      <w:pPr>
        <w:pStyle w:val="SourceNote"/>
      </w:pPr>
      <w:r>
        <w:t xml:space="preserve">Sources: </w:t>
      </w:r>
      <w:hyperlink w:anchor="source_D01">
        <w:r>
          <w:rPr>
            <w:color w:val="275E67"/>
            <w:u w:val="single"/>
          </w:rPr>
          <w:t xml:space="preserve">D01</w:t>
        </w:r>
      </w:hyperlink>
      <w:r>
        <w:t xml:space="preserve">, </w:t>
      </w:r>
      <w:hyperlink w:anchor="source_D15">
        <w:r>
          <w:rPr>
            <w:color w:val="275E67"/>
            <w:u w:val="single"/>
          </w:rPr>
          <w:t xml:space="preserve">D15</w:t>
        </w:r>
      </w:hyperlink>
      <w:r>
        <w:t xml:space="preserve">, </w:t>
      </w:r>
      <w:hyperlink w:anchor="source_P10">
        <w:r>
          <w:rPr>
            <w:color w:val="275E67"/>
            <w:u w:val="single"/>
          </w:rPr>
          <w:t xml:space="preserve">P10</w:t>
        </w:r>
      </w:hyperlink>
      <w:r>
        <w:t xml:space="preserve">, </w:t>
      </w:r>
      <w:hyperlink w:anchor="source_M06">
        <w:r>
          <w:rPr>
            <w:color w:val="275E67"/>
            <w:u w:val="single"/>
          </w:rPr>
          <w:t xml:space="preserve">M06</w:t>
        </w:r>
      </w:hyperlink>
      <w:r>
        <w:t xml:space="preserve">, </w:t>
      </w:r>
      <w:hyperlink w:anchor="source_M21">
        <w:r>
          <w:rPr>
            <w:color w:val="275E67"/>
            <w:u w:val="single"/>
          </w:rPr>
          <w:t xml:space="preserve">M21</w:t>
        </w:r>
      </w:hyperlink>
      <w:r>
        <w:t xml:space="preserve">, </w:t>
      </w:r>
      <w:hyperlink w:anchor="source_M22">
        <w:r>
          <w:rPr>
            <w:color w:val="275E67"/>
            <w:u w:val="single"/>
          </w:rPr>
          <w:t xml:space="preserve">M22</w:t>
        </w:r>
      </w:hyperlink>
    </w:p>
    <w:p>
      <w:bookmarkStart w:id="65" w:name="s_partnerships_Aura__civic_proj_257b44"/>
      <w:pPr>
        <w:pStyle w:val="Heading2"/>
      </w:pPr>
      <w:r>
        <w:t>Aura, civic projects and cultural authority</w:t>
      </w:r>
      <w:bookmarkEnd w:id="65"/>
    </w:p>
    <w:p>
      <w:pPr/>
      <w:r>
        <w:t>Aura of Intelligence provides continuity for chosen personal learning and the digital record of deployed rooms. p4a-xyz-cinema can connect public explanations, civic maps and scenarios about collective choices. Skillful participation can include disagreement, questioning and a change of mind.</w:t>
      </w:r>
    </w:p>
    <w:p>
      <w:pPr/>
      <w:r>
        <w:t>Local stories, cultural knowledge and place-based experiences are developed with the relevant people and permissions. A cultural host controls its own offer and material. Payments, attribution, permitted uses and any ongoing reuse are specified in the agreement. Individual personal records and collectively held cultural material retain their respective authority.</w:t>
      </w:r>
    </w:p>
    <w:p>
      <w:pPr/>
      <w:r>
        <w:t>The Global Sensorium contributes investigation methods: compare models, inspect assumptions, choose an observation and explain a revision. These methods can become simple physical investigations for younger groups and richer science or civic scenarios for adults.</w:t>
      </w:r>
    </w:p>
    <w:p>
      <w:pPr>
        <w:pStyle w:val="SourceNote"/>
      </w:pPr>
      <w:r>
        <w:t xml:space="preserve">Sources: </w:t>
      </w:r>
      <w:hyperlink w:anchor="source_D02">
        <w:r>
          <w:rPr>
            <w:color w:val="275E67"/>
            <w:u w:val="single"/>
          </w:rPr>
          <w:t xml:space="preserve">D02</w:t>
        </w:r>
      </w:hyperlink>
      <w:r>
        <w:t xml:space="preserve">, </w:t>
      </w:r>
      <w:hyperlink w:anchor="source_D04">
        <w:r>
          <w:rPr>
            <w:color w:val="275E67"/>
            <w:u w:val="single"/>
          </w:rPr>
          <w:t xml:space="preserve">D04</w:t>
        </w:r>
      </w:hyperlink>
      <w:r>
        <w:t xml:space="preserve">, </w:t>
      </w:r>
      <w:hyperlink w:anchor="source_D07">
        <w:r>
          <w:rPr>
            <w:color w:val="275E67"/>
            <w:u w:val="single"/>
          </w:rPr>
          <w:t xml:space="preserve">D07</w:t>
        </w:r>
      </w:hyperlink>
      <w:r>
        <w:t xml:space="preserve">, </w:t>
      </w:r>
      <w:hyperlink w:anchor="source_D14">
        <w:r>
          <w:rPr>
            <w:color w:val="275E67"/>
            <w:u w:val="single"/>
          </w:rPr>
          <w:t xml:space="preserve">D14</w:t>
        </w:r>
      </w:hyperlink>
      <w:r>
        <w:t xml:space="preserve">, </w:t>
      </w:r>
      <w:hyperlink w:anchor="source_D15">
        <w:r>
          <w:rPr>
            <w:color w:val="275E67"/>
            <w:u w:val="single"/>
          </w:rPr>
          <w:t xml:space="preserve">D15</w:t>
        </w:r>
      </w:hyperlink>
      <w:r>
        <w:t xml:space="preserve">, </w:t>
      </w:r>
      <w:hyperlink w:anchor="source_P02">
        <w:r>
          <w:rPr>
            <w:color w:val="275E67"/>
            <w:u w:val="single"/>
          </w:rPr>
          <w:t xml:space="preserve">P02</w:t>
        </w:r>
      </w:hyperlink>
      <w:r>
        <w:t xml:space="preserve">, </w:t>
      </w:r>
      <w:hyperlink w:anchor="source_P10">
        <w:r>
          <w:rPr>
            <w:color w:val="275E67"/>
            <w:u w:val="single"/>
          </w:rPr>
          <w:t xml:space="preserve">P10</w:t>
        </w:r>
      </w:hyperlink>
      <w:r>
        <w:t xml:space="preserve">, </w:t>
      </w:r>
      <w:hyperlink w:anchor="source_P11">
        <w:r>
          <w:rPr>
            <w:color w:val="275E67"/>
            <w:u w:val="single"/>
          </w:rPr>
          <w:t xml:space="preserve">P11</w:t>
        </w:r>
      </w:hyperlink>
    </w:p>
    <w:p>
      <w:bookmarkStart w:id="66" w:name="s_partnerships_Whole_life_parti_54832d"/>
      <w:pPr>
        <w:pStyle w:val="Heading2"/>
      </w:pPr>
      <w:r>
        <w:t>Whole-life participation and access</w:t>
      </w:r>
      <w:bookmarkEnd w:id="66"/>
    </w:p>
    <w:p>
      <w:pPr/>
      <w:r>
        <w:t>The wider programme can connect learning, tourism, intergenerational activity and periods of paid work. Young people can see local creative and technical careers. Experienced people can mentor a deployment crew or help preserve a craft. Older participants can direct the support they want and contribute knowledge through an adult experience.</w:t>
      </w:r>
    </w:p>
    <w:p>
      <w:pPr/>
      <w:r>
        <w:t>The adaptive support, children-and-teens, tourism and teacher documents supply the personal-development foundation. The Oceania co-operative and 82 Claytons proposals provide further examples of locally shaped services and intergenerational places. They inform possible connections, while each escape-room site and service is costed and contracted on its own terms.</w:t>
      </w:r>
    </w:p>
    <w:p>
      <w:pPr/>
      <w:r>
        <w:t>Funded access can be purchased by sponsors, schools or community partners as a defined number of visits. Record the cash funding and actual admissions. C-Hour can recognise separate voluntary contribution and has no cash conversion in this business model.</w:t>
      </w:r>
    </w:p>
    <w:p>
      <w:pPr>
        <w:pStyle w:val="SourceNote"/>
      </w:pPr>
      <w:r>
        <w:t xml:space="preserve">Sources: </w:t>
      </w:r>
      <w:hyperlink w:anchor="source_D03">
        <w:r>
          <w:rPr>
            <w:color w:val="275E67"/>
            <w:u w:val="single"/>
          </w:rPr>
          <w:t xml:space="preserve">D03</w:t>
        </w:r>
      </w:hyperlink>
      <w:r>
        <w:t xml:space="preserve">, </w:t>
      </w:r>
      <w:hyperlink w:anchor="source_D06">
        <w:r>
          <w:rPr>
            <w:color w:val="275E67"/>
            <w:u w:val="single"/>
          </w:rPr>
          <w:t xml:space="preserve">D06</w:t>
        </w:r>
      </w:hyperlink>
      <w:r>
        <w:t xml:space="preserve">, </w:t>
      </w:r>
      <w:hyperlink w:anchor="source_D07">
        <w:r>
          <w:rPr>
            <w:color w:val="275E67"/>
            <w:u w:val="single"/>
          </w:rPr>
          <w:t xml:space="preserve">D07</w:t>
        </w:r>
      </w:hyperlink>
      <w:r>
        <w:t xml:space="preserve">, </w:t>
      </w:r>
      <w:hyperlink w:anchor="source_P09">
        <w:r>
          <w:rPr>
            <w:color w:val="275E67"/>
            <w:u w:val="single"/>
          </w:rPr>
          <w:t xml:space="preserve">P09</w:t>
        </w:r>
      </w:hyperlink>
      <w:r>
        <w:t xml:space="preserve">, </w:t>
      </w:r>
      <w:hyperlink w:anchor="source_P12">
        <w:r>
          <w:rPr>
            <w:color w:val="275E67"/>
            <w:u w:val="single"/>
          </w:rPr>
          <w:t xml:space="preserve">P12</w:t>
        </w:r>
      </w:hyperlink>
      <w:r>
        <w:t xml:space="preserve">, </w:t>
      </w:r>
      <w:hyperlink w:anchor="source_P13">
        <w:r>
          <w:rPr>
            <w:color w:val="275E67"/>
            <w:u w:val="single"/>
          </w:rPr>
          <w:t xml:space="preserve">P13</w:t>
        </w:r>
      </w:hyperlink>
    </w:p>
    <w:p>
      <w:bookmarkStart w:id="67" w:name="s_partnerships_Source_linked_ag_1f7fa7"/>
      <w:pPr>
        <w:pStyle w:val="Heading2"/>
      </w:pPr>
      <w:r>
        <w:t>Source-linked agreements and continuing improvement</w:t>
      </w:r>
      <w:bookmarkEnd w:id="67"/>
    </w:p>
    <w:p>
      <w:pPr/>
      <w:r>
        <w:t>The Australian Legal Engine, Your Relevance and Legal Memory Workbench can help organise the actual jurisdiction, premises, employment, consumer, data and partnership questions. The responsible people use current source material and qualified advice where the decision requires it.</w:t>
      </w:r>
    </w:p>
    <w:p>
      <w:pPr/>
      <w:r>
        <w:t>The project record identifies an issue, its source, the relevant person, the proposed response and the accepted decision. Practical lessons can improve the next contract, room or deployment. Where a wider rule or process causes unnecessary difficulty, the civic work can examine a specific improvement while the operating business follows its current obligations.</w:t>
      </w:r>
    </w:p>
    <w:p>
      <w:pPr/>
      <w:r>
        <w:t>The reference collection is retained in full, with applications mapped to this business. Current directions include personally controlled Auras, non-monetary C-Hour and Luke's proposed agent-led organisation. Historical source wording remains available in the original documents.</w:t>
      </w:r>
    </w:p>
    <w:p>
      <w:pPr>
        <w:pStyle w:val="SourceNote"/>
      </w:pPr>
      <w:r>
        <w:t xml:space="preserve">Sources: </w:t>
      </w:r>
      <w:hyperlink w:anchor="source_D08">
        <w:r>
          <w:rPr>
            <w:color w:val="275E67"/>
            <w:u w:val="single"/>
          </w:rPr>
          <w:t xml:space="preserve">D08</w:t>
        </w:r>
      </w:hyperlink>
      <w:r>
        <w:t xml:space="preserve">, </w:t>
      </w:r>
      <w:hyperlink w:anchor="source_D15">
        <w:r>
          <w:rPr>
            <w:color w:val="275E67"/>
            <w:u w:val="single"/>
          </w:rPr>
          <w:t xml:space="preserve">D15</w:t>
        </w:r>
      </w:hyperlink>
      <w:r>
        <w:t xml:space="preserve">, </w:t>
      </w:r>
      <w:hyperlink w:anchor="source_P06">
        <w:r>
          <w:rPr>
            <w:color w:val="275E67"/>
            <w:u w:val="single"/>
          </w:rPr>
          <w:t xml:space="preserve">P06</w:t>
        </w:r>
      </w:hyperlink>
      <w:r>
        <w:t xml:space="preserve">, </w:t>
      </w:r>
      <w:hyperlink w:anchor="source_P07">
        <w:r>
          <w:rPr>
            <w:color w:val="275E67"/>
            <w:u w:val="single"/>
          </w:rPr>
          <w:t xml:space="preserve">P07</w:t>
        </w:r>
      </w:hyperlink>
      <w:r>
        <w:t xml:space="preserve">, </w:t>
      </w:r>
      <w:hyperlink w:anchor="source_P08">
        <w:r>
          <w:rPr>
            <w:color w:val="275E67"/>
            <w:u w:val="single"/>
          </w:rPr>
          <w:t xml:space="preserve">P08</w:t>
        </w:r>
      </w:hyperlink>
      <w:r>
        <w:t xml:space="preserve">, </w:t>
      </w:r>
      <w:hyperlink w:anchor="source_P14">
        <w:r>
          <w:rPr>
            <w:color w:val="275E67"/>
            <w:u w:val="single"/>
          </w:rPr>
          <w:t xml:space="preserve">P14</w:t>
        </w:r>
      </w:hyperlink>
    </w:p>
    <w:p>
      <w:bookmarkStart w:id="68" w:name="chapter_roadmap"/>
      <w:pPr>
        <w:pStyle w:val="Heading1"/>
        <w:spacing w:before="360"/>
      </w:pPr>
      <w:r>
        <w:t>Programme, decisions and delivery milestones</w:t>
      </w:r>
      <w:bookmarkEnd w:id="68"/>
    </w:p>
    <w:p>
      <w:pPr>
        <w:pStyle w:val="Lead"/>
      </w:pPr>
      <w:r>
        <w:t>Move from an approved operating design to a complete paid pilot, then expand through costed local opportunities.</w:t>
      </w:r>
    </w:p>
    <w:p>
      <w:bookmarkStart w:id="69" w:name="s_roadmap_A_relative_programme__28e0b8"/>
      <w:pPr>
        <w:pStyle w:val="Heading2"/>
      </w:pPr>
      <w:r>
        <w:t>A relative programme from approval</w:t>
      </w:r>
      <w:bookmarkEnd w:id="69"/>
    </w:p>
    <w:tbl>
      <w:tblPr>
        <w:tblW w:type="dxa" w:w="10152"/>
        <w:jc w:val="center"/>
        <w:tblLayout w:type="fixed"/>
        <w:tblLook w:firstColumn="1" w:firstRow="1" w:lastColumn="0" w:lastRow="0" w:noHBand="0" w:noVBand="1" w:val="04A0"/>
        <w:tblLayout w:type="fixed"/>
        <w:tblBorders>
          <w:top w:val="single" w:sz="5" w:color="D9D9D9"/>
          <w:left w:val="single" w:sz="5" w:color="D9D9D9"/>
          <w:bottom w:val="single" w:sz="5" w:color="D9D9D9"/>
          <w:right w:val="single" w:sz="5" w:color="D9D9D9"/>
          <w:insideH w:val="single" w:sz="5" w:color="D9D9D9"/>
          <w:insideV w:val="single" w:sz="5" w:color="D9D9D9"/>
        </w:tblBorders>
        <w:tblCellMar>
          <w:top w:w="85" w:type="dxa"/>
          <w:left w:w="95" w:type="dxa"/>
          <w:bottom w:w="85" w:type="dxa"/>
          <w:right w:w="95" w:type="dxa"/>
        </w:tblCellMar>
      </w:tblPr>
      <w:tblGrid>
        <w:gridCol w:w="2704"/>
        <w:gridCol w:w="2615"/>
        <w:gridCol w:w="4832"/>
      </w:tblGrid>
      <w:tr>
        <w:trPr>
          <w:cantSplit/>
          <w:tblHeader w:val="true"/>
        </w:trPr>
        <w:tc>
          <w:tcPr>
            <w:tcW w:type="dxa" w:w="2704"/>
            <w:vAlign w:val="center"/>
            <w:shd w:fill="203B4C"/>
          </w:tcPr>
          <w:p>
            <w:pPr>
              <w:pStyle w:val="TableHead"/>
              <w:keepNext/>
              <w:keepLines/>
            </w:pPr>
            <w:r>
              <w:rPr>
                <w:color w:val="FFFFFF"/>
              </w:rPr>
              <w:t>Stage</w:t>
            </w:r>
          </w:p>
        </w:tc>
        <w:tc>
          <w:tcPr>
            <w:tcW w:type="dxa" w:w="2615"/>
            <w:vAlign w:val="center"/>
            <w:shd w:fill="203B4C"/>
          </w:tcPr>
          <w:p>
            <w:pPr>
              <w:pStyle w:val="TableHead"/>
              <w:keepNext/>
              <w:keepLines/>
            </w:pPr>
            <w:r>
              <w:rPr>
                <w:color w:val="FFFFFF"/>
              </w:rPr>
              <w:t>Indicative work window</w:t>
            </w:r>
          </w:p>
        </w:tc>
        <w:tc>
          <w:tcPr>
            <w:tcW w:type="dxa" w:w="4832"/>
            <w:vAlign w:val="center"/>
            <w:shd w:fill="203B4C"/>
          </w:tcPr>
          <w:p>
            <w:pPr>
              <w:pStyle w:val="TableHead"/>
              <w:keepNext/>
              <w:keepLines/>
            </w:pPr>
            <w:r>
              <w:rPr>
                <w:color w:val="FFFFFF"/>
              </w:rPr>
              <w:t>Work and acceptance output</w:t>
            </w:r>
          </w:p>
        </w:tc>
      </w:tr>
      <w:tr>
        <w:trPr>
          <w:cantSplit/>
        </w:trPr>
        <w:tc>
          <w:tcPr>
            <w:tcW w:type="dxa" w:w="2704"/>
            <w:vAlign w:val="top"/>
            <w:shd w:fill="EDF2EE"/>
          </w:tcPr>
          <w:p>
            <w:pPr>
              <w:pStyle w:val="TableText"/>
              <w:keepNext w:val="0"/>
              <w:keepLines/>
            </w:pPr>
            <w:r>
              <w:t>System design and approval</w:t>
            </w:r>
          </w:p>
        </w:tc>
        <w:tc>
          <w:tcPr>
            <w:tcW w:type="dxa" w:w="2615"/>
            <w:vAlign w:val="top"/>
            <w:shd w:fill="EDF2EE"/>
          </w:tcPr>
          <w:p>
            <w:pPr>
              <w:pStyle w:val="TableText"/>
              <w:keepNext w:val="0"/>
              <w:keepLines/>
            </w:pPr>
            <w:r>
              <w:t>Weeks 1 to 2</w:t>
            </w:r>
          </w:p>
        </w:tc>
        <w:tc>
          <w:tcPr>
            <w:tcW w:type="dxa" w:w="4832"/>
            <w:vAlign w:val="top"/>
            <w:shd w:fill="EDF2EE"/>
          </w:tcPr>
          <w:p>
            <w:pPr>
              <w:pStyle w:val="TableText"/>
              <w:keepNext w:val="0"/>
              <w:keepLines/>
            </w:pPr>
            <w:r>
              <w:t>Adopt role scopes, accounts, authority, reporting and the first funded work packages.</w:t>
            </w:r>
          </w:p>
        </w:tc>
      </w:tr>
      <w:tr>
        <w:trPr>
          <w:cantSplit/>
        </w:trPr>
        <w:tc>
          <w:tcPr>
            <w:tcW w:type="dxa" w:w="2704"/>
            <w:vAlign w:val="top"/>
            <w:shd w:fill="FFFFFF"/>
          </w:tcPr>
          <w:p>
            <w:pPr>
              <w:pStyle w:val="TableText"/>
              <w:keepNext w:val="0"/>
              <w:keepLines/>
            </w:pPr>
            <w:r>
              <w:t>Site and customer development</w:t>
            </w:r>
          </w:p>
        </w:tc>
        <w:tc>
          <w:tcPr>
            <w:tcW w:type="dxa" w:w="2615"/>
            <w:vAlign w:val="top"/>
            <w:shd w:fill="FFFFFF"/>
          </w:tcPr>
          <w:p>
            <w:pPr>
              <w:pStyle w:val="TableText"/>
              <w:keepNext w:val="0"/>
              <w:keepLines/>
            </w:pPr>
            <w:r>
              <w:t>Weeks 2 to 6</w:t>
            </w:r>
          </w:p>
        </w:tc>
        <w:tc>
          <w:tcPr>
            <w:tcW w:type="dxa" w:w="4832"/>
            <w:vAlign w:val="top"/>
            <w:shd w:fill="FFFFFF"/>
          </w:tcPr>
          <w:p>
            <w:pPr>
              <w:pStyle w:val="TableText"/>
              <w:keepNext w:val="0"/>
              <w:keepLines/>
            </w:pPr>
            <w:r>
              <w:t>Measured candidate sites, local market case, partner requirements and comparable quotations.</w:t>
            </w:r>
          </w:p>
        </w:tc>
      </w:tr>
      <w:tr>
        <w:trPr>
          <w:cantSplit/>
        </w:trPr>
        <w:tc>
          <w:tcPr>
            <w:tcW w:type="dxa" w:w="2704"/>
            <w:vAlign w:val="top"/>
            <w:shd w:fill="EDF2EE"/>
          </w:tcPr>
          <w:p>
            <w:pPr>
              <w:pStyle w:val="TableText"/>
              <w:keepNext w:val="0"/>
              <w:keepLines/>
            </w:pPr>
            <w:r>
              <w:t>Room design and production brief</w:t>
            </w:r>
          </w:p>
        </w:tc>
        <w:tc>
          <w:tcPr>
            <w:tcW w:type="dxa" w:w="2615"/>
            <w:vAlign w:val="top"/>
            <w:shd w:fill="EDF2EE"/>
          </w:tcPr>
          <w:p>
            <w:pPr>
              <w:pStyle w:val="TableText"/>
              <w:keepNext w:val="0"/>
              <w:keepLines/>
            </w:pPr>
            <w:r>
              <w:t>Weeks 3 to 8</w:t>
            </w:r>
          </w:p>
        </w:tc>
        <w:tc>
          <w:tcPr>
            <w:tcW w:type="dxa" w:w="4832"/>
            <w:vAlign w:val="top"/>
            <w:shd w:fill="EDF2EE"/>
          </w:tcPr>
          <w:p>
            <w:pPr>
              <w:pStyle w:val="TableText"/>
              <w:keepNext w:val="0"/>
              <w:keepLines/>
            </w:pPr>
            <w:r>
              <w:t>Two complete scenarios, age/access versions, parts lists, audio prototype and independent-play review.</w:t>
            </w:r>
          </w:p>
        </w:tc>
      </w:tr>
      <w:tr>
        <w:trPr>
          <w:cantSplit/>
        </w:trPr>
        <w:tc>
          <w:tcPr>
            <w:tcW w:type="dxa" w:w="2704"/>
            <w:vAlign w:val="top"/>
            <w:shd w:fill="FFFFFF"/>
          </w:tcPr>
          <w:p>
            <w:pPr>
              <w:pStyle w:val="TableText"/>
              <w:keepNext w:val="0"/>
              <w:keepLines/>
            </w:pPr>
            <w:r>
              <w:t>Detailed design and contracting</w:t>
            </w:r>
          </w:p>
        </w:tc>
        <w:tc>
          <w:tcPr>
            <w:tcW w:type="dxa" w:w="2615"/>
            <w:vAlign w:val="top"/>
            <w:shd w:fill="FFFFFF"/>
          </w:tcPr>
          <w:p>
            <w:pPr>
              <w:pStyle w:val="TableText"/>
              <w:keepNext w:val="0"/>
              <w:keepLines/>
            </w:pPr>
            <w:r>
              <w:t>Weeks 6 to 10</w:t>
            </w:r>
          </w:p>
        </w:tc>
        <w:tc>
          <w:tcPr>
            <w:tcW w:type="dxa" w:w="4832"/>
            <w:vAlign w:val="top"/>
            <w:shd w:fill="FFFFFF"/>
          </w:tcPr>
          <w:p>
            <w:pPr>
              <w:pStyle w:val="TableText"/>
              <w:keepNext w:val="0"/>
              <w:keepLines/>
            </w:pPr>
            <w:r>
              <w:t>Accepted premises scope, trades, host terms, purchase schedule, cash plan and commissioning criteria.</w:t>
            </w:r>
          </w:p>
        </w:tc>
      </w:tr>
      <w:tr>
        <w:trPr>
          <w:cantSplit/>
        </w:trPr>
        <w:tc>
          <w:tcPr>
            <w:tcW w:type="dxa" w:w="2704"/>
            <w:vAlign w:val="top"/>
            <w:shd w:fill="EDF2EE"/>
          </w:tcPr>
          <w:p>
            <w:pPr>
              <w:pStyle w:val="TableText"/>
              <w:keepNext w:val="0"/>
              <w:keepLines/>
            </w:pPr>
            <w:r>
              <w:t>Fabrication and procurement</w:t>
            </w:r>
          </w:p>
        </w:tc>
        <w:tc>
          <w:tcPr>
            <w:tcW w:type="dxa" w:w="2615"/>
            <w:vAlign w:val="top"/>
            <w:shd w:fill="EDF2EE"/>
          </w:tcPr>
          <w:p>
            <w:pPr>
              <w:pStyle w:val="TableText"/>
              <w:keepNext w:val="0"/>
              <w:keepLines/>
            </w:pPr>
            <w:r>
              <w:t>Contracted lead time</w:t>
            </w:r>
          </w:p>
        </w:tc>
        <w:tc>
          <w:tcPr>
            <w:tcW w:type="dxa" w:w="4832"/>
            <w:vAlign w:val="top"/>
            <w:shd w:fill="EDF2EE"/>
          </w:tcPr>
          <w:p>
            <w:pPr>
              <w:pStyle w:val="TableText"/>
              <w:keepNext w:val="0"/>
              <w:keepLines/>
            </w:pPr>
            <w:r>
              <w:t>Build modular components; record skilled work; check deliveries and prepare task-specific training.</w:t>
            </w:r>
          </w:p>
        </w:tc>
      </w:tr>
      <w:tr>
        <w:trPr>
          <w:cantSplit/>
        </w:trPr>
        <w:tc>
          <w:tcPr>
            <w:tcW w:type="dxa" w:w="2704"/>
            <w:vAlign w:val="top"/>
            <w:shd w:fill="FFFFFF"/>
          </w:tcPr>
          <w:p>
            <w:pPr>
              <w:pStyle w:val="TableText"/>
              <w:keepNext w:val="0"/>
              <w:keepLines/>
            </w:pPr>
            <w:r>
              <w:t>Installation and commissioning</w:t>
            </w:r>
          </w:p>
        </w:tc>
        <w:tc>
          <w:tcPr>
            <w:tcW w:type="dxa" w:w="2615"/>
            <w:vAlign w:val="top"/>
            <w:shd w:fill="FFFFFF"/>
          </w:tcPr>
          <w:p>
            <w:pPr>
              <w:pStyle w:val="TableText"/>
              <w:keepNext w:val="0"/>
              <w:keepLines/>
            </w:pPr>
            <w:r>
              <w:t>Site-specific programme after delivery</w:t>
            </w:r>
          </w:p>
        </w:tc>
        <w:tc>
          <w:tcPr>
            <w:tcW w:type="dxa" w:w="4832"/>
            <w:vAlign w:val="top"/>
            <w:shd w:fill="FFFFFF"/>
          </w:tcPr>
          <w:p>
            <w:pPr>
              <w:pStyle w:val="TableText"/>
              <w:keepNext w:val="0"/>
              <w:keepLines/>
            </w:pPr>
            <w:r>
              <w:t>Complete works, room tests, reset trials, staff practice, records and accepted handover.</w:t>
            </w:r>
          </w:p>
        </w:tc>
      </w:tr>
      <w:tr>
        <w:trPr>
          <w:cantSplit/>
        </w:trPr>
        <w:tc>
          <w:tcPr>
            <w:tcW w:type="dxa" w:w="2704"/>
            <w:vAlign w:val="top"/>
            <w:shd w:fill="EDF2EE"/>
          </w:tcPr>
          <w:p>
            <w:pPr>
              <w:pStyle w:val="TableText"/>
              <w:keepNext w:val="0"/>
              <w:keepLines/>
            </w:pPr>
            <w:r>
              <w:t>Paid pilot operation</w:t>
            </w:r>
          </w:p>
        </w:tc>
        <w:tc>
          <w:tcPr>
            <w:tcW w:type="dxa" w:w="2615"/>
            <w:vAlign w:val="top"/>
            <w:shd w:fill="EDF2EE"/>
          </w:tcPr>
          <w:p>
            <w:pPr>
              <w:pStyle w:val="TableText"/>
              <w:keepNext w:val="0"/>
              <w:keepLines/>
            </w:pPr>
            <w:r>
              <w:t>First 8 to 12 operating weeks</w:t>
            </w:r>
          </w:p>
        </w:tc>
        <w:tc>
          <w:tcPr>
            <w:tcW w:type="dxa" w:w="4832"/>
            <w:vAlign w:val="top"/>
            <w:shd w:fill="EDF2EE"/>
          </w:tcPr>
          <w:p>
            <w:pPr>
              <w:pStyle w:val="TableText"/>
              <w:keepNext w:val="0"/>
              <w:keepLines/>
            </w:pPr>
            <w:r>
              <w:t>Actual costs, bookings, reset times, facilitation hours, customer response and repeat demand.</w:t>
            </w:r>
          </w:p>
        </w:tc>
      </w:tr>
      <w:tr>
        <w:trPr>
          <w:cantSplit/>
        </w:trPr>
        <w:tc>
          <w:tcPr>
            <w:tcW w:type="dxa" w:w="2704"/>
            <w:vAlign w:val="top"/>
            <w:shd w:fill="FFFFFF"/>
          </w:tcPr>
          <w:p>
            <w:pPr>
              <w:pStyle w:val="TableText"/>
              <w:keepNext w:val="0"/>
              <w:keepLines/>
            </w:pPr>
            <w:r>
              <w:t>First network route and expansion</w:t>
            </w:r>
          </w:p>
        </w:tc>
        <w:tc>
          <w:tcPr>
            <w:tcW w:type="dxa" w:w="2615"/>
            <w:vAlign w:val="top"/>
            <w:shd w:fill="FFFFFF"/>
          </w:tcPr>
          <w:p>
            <w:pPr>
              <w:pStyle w:val="TableText"/>
              <w:keepNext w:val="0"/>
              <w:keepLines/>
            </w:pPr>
            <w:r>
              <w:t>Following accepted pilot review</w:t>
            </w:r>
          </w:p>
        </w:tc>
        <w:tc>
          <w:tcPr>
            <w:tcW w:type="dxa" w:w="4832"/>
            <w:vAlign w:val="top"/>
            <w:shd w:fill="FFFFFF"/>
          </w:tcPr>
          <w:p>
            <w:pPr>
              <w:pStyle w:val="TableText"/>
              <w:keepNext w:val="0"/>
              <w:keepLines/>
            </w:pPr>
            <w:r>
              <w:t>Contracted partners, settlement process, fresh room versions and the next costed deployment.</w:t>
            </w:r>
          </w:p>
        </w:tc>
      </w:tr>
    </w:tbl>
    <w:p>
      <w:pPr>
        <w:spacing w:after="20" w:before="0" w:line="240" w:lineRule="auto"/>
      </w:pPr>
      <w:r>
        <w:rPr>
          <w:sz w:val="6"/>
        </w:rPr>
      </w:r>
    </w:p>
    <w:p>
      <w:pPr/>
      <w:r>
        <w:t>These windows describe work sequencing. The opening date is set after the site, production and delivery path are chosen. The supplier comparison lists 60 working days for standard production or 90 for custom production, with freight additional and most installations taking four to seven days after arrival. Those lead times can govern the critical path. They cannot be compressed into the early design weeks by labelling the entire project a short pilot.</w:t>
      </w:r>
    </w:p>
    <w:p>
      <w:pPr>
        <w:pStyle w:val="SourceNote"/>
      </w:pPr>
      <w:r>
        <w:t xml:space="preserve">Sources: </w:t>
      </w:r>
      <w:hyperlink w:anchor="source_M14">
        <w:r>
          <w:rPr>
            <w:color w:val="275E67"/>
            <w:u w:val="single"/>
          </w:rPr>
          <w:t xml:space="preserve">M14</w:t>
        </w:r>
      </w:hyperlink>
      <w:r>
        <w:t xml:space="preserve">, </w:t>
      </w:r>
      <w:hyperlink w:anchor="source_P14">
        <w:r>
          <w:rPr>
            <w:color w:val="275E67"/>
            <w:u w:val="single"/>
          </w:rPr>
          <w:t xml:space="preserve">P14</w:t>
        </w:r>
      </w:hyperlink>
    </w:p>
    <w:p>
      <w:bookmarkStart w:id="70" w:name="s_roadmap_What_the_pilot_must_d_bff3bb"/>
      <w:pPr>
        <w:pStyle w:val="Heading2"/>
      </w:pPr>
      <w:r>
        <w:t>What the pilot must deliver</w:t>
      </w:r>
      <w:bookmarkEnd w:id="70"/>
    </w:p>
    <w:p>
      <w:pPr/>
      <w:r>
        <w:t>The pilot is a complete small operation. Its accepted record includes the actual room and support-space measurements, published offer, itemised delivered costs, paid roster, session timetable, reset process, no-hint playtesting, audio performance, reflection method, booking and settlement records, maintenance and renewal schedule.</w:t>
      </w:r>
    </w:p>
    <w:p>
      <w:pPr/>
      <w:r>
        <w:t>Run school, public and workshop bookings through their actual formats. Measure time spent fitting equipment, briefing, monitoring, resetting, reviewing exchanges, reflecting, cleaning, maintaining and supporting participants. Include cancellations, technical interruptions and customer service in the workload record.</w:t>
      </w:r>
    </w:p>
    <w:p>
      <w:pPr/>
      <w:r>
        <w:t>Review contribution by product and staffed opening block. Track repeat bookings and which tourism referrals result in actual visits. Replace design quantities and task hours with observed values as they become available. Record why a proposed expansion improves the combined business.</w:t>
      </w:r>
    </w:p>
    <w:p>
      <w:pPr>
        <w:pStyle w:val="SourceNote"/>
      </w:pPr>
      <w:r>
        <w:t xml:space="preserve">Sources: </w:t>
      </w:r>
      <w:hyperlink w:anchor="source_D05">
        <w:r>
          <w:rPr>
            <w:color w:val="275E67"/>
            <w:u w:val="single"/>
          </w:rPr>
          <w:t xml:space="preserve">D05</w:t>
        </w:r>
      </w:hyperlink>
      <w:r>
        <w:t xml:space="preserve">, </w:t>
      </w:r>
      <w:hyperlink w:anchor="source_D07">
        <w:r>
          <w:rPr>
            <w:color w:val="275E67"/>
            <w:u w:val="single"/>
          </w:rPr>
          <w:t xml:space="preserve">D07</w:t>
        </w:r>
      </w:hyperlink>
    </w:p>
    <w:p>
      <w:bookmarkStart w:id="71" w:name="s_roadmap_From_one_deployment_t_1b4cde"/>
      <w:pPr>
        <w:pStyle w:val="Heading2"/>
      </w:pPr>
      <w:r>
        <w:t>From one deployment to a national network</w:t>
      </w:r>
      <w:bookmarkEnd w:id="71"/>
    </w:p>
    <w:p>
      <w:pPr/>
      <w:r>
        <w:t>Expansion follows ready opportunities and crew capacity. Each new location needs a measured site, an accountable operator, a local demand case, an accepted budget, trained people, a room catalogue and an agreed network relationship. The number of sites is an output of those cases.</w:t>
      </w:r>
    </w:p>
    <w:p>
      <w:pPr/>
      <w:r>
        <w:t>The second deployment should use the first crew's documented work and demonstrate that another team can install, reset and operate the room. The first inter-venue route should demonstrate booking, redemption, payment, customer support and transfer into a different experience. Subsequent regions can add their own stories and partners while using the shared records and service standards.</w:t>
      </w:r>
    </w:p>
    <w:p>
      <w:pPr/>
      <w:r>
        <w:t>A rolling three-year programme tracks design releases, deployment work, customer growth, asset age, planned renewal, funding and paid workforce development. Five- and ten-year views examine replacement cycles, ownership transitions, regional coverage and the continuing relevance of the offer. Each view is revised from actual operations.</w:t>
      </w:r>
    </w:p>
    <w:p>
      <w:pPr>
        <w:pStyle w:val="SourceNote"/>
      </w:pPr>
      <w:r>
        <w:t xml:space="preserve">Sources: </w:t>
      </w:r>
      <w:hyperlink w:anchor="source_D05">
        <w:r>
          <w:rPr>
            <w:color w:val="275E67"/>
            <w:u w:val="single"/>
          </w:rPr>
          <w:t xml:space="preserve">D05</w:t>
        </w:r>
      </w:hyperlink>
      <w:r>
        <w:t xml:space="preserve">, </w:t>
      </w:r>
      <w:hyperlink w:anchor="source_D09">
        <w:r>
          <w:rPr>
            <w:color w:val="275E67"/>
            <w:u w:val="single"/>
          </w:rPr>
          <w:t xml:space="preserve">D09</w:t>
        </w:r>
      </w:hyperlink>
      <w:r>
        <w:t xml:space="preserve">, </w:t>
      </w:r>
      <w:hyperlink w:anchor="source_P03">
        <w:r>
          <w:rPr>
            <w:color w:val="275E67"/>
            <w:u w:val="single"/>
          </w:rPr>
          <w:t xml:space="preserve">P03</w:t>
        </w:r>
      </w:hyperlink>
      <w:r>
        <w:t xml:space="preserve">, </w:t>
      </w:r>
      <w:hyperlink w:anchor="source_P05">
        <w:r>
          <w:rPr>
            <w:color w:val="275E67"/>
            <w:u w:val="single"/>
          </w:rPr>
          <w:t xml:space="preserve">P05</w:t>
        </w:r>
      </w:hyperlink>
      <w:r>
        <w:t xml:space="preserve">, </w:t>
      </w:r>
      <w:hyperlink w:anchor="source_P14">
        <w:r>
          <w:rPr>
            <w:color w:val="275E67"/>
            <w:u w:val="single"/>
          </w:rPr>
          <w:t xml:space="preserve">P14</w:t>
        </w:r>
      </w:hyperlink>
    </w:p>
    <w:p>
      <w:bookmarkStart w:id="72" w:name="s_roadmap_The_approval_pack_and_b0c405"/>
      <w:pPr>
        <w:pStyle w:val="Heading2"/>
      </w:pPr>
      <w:r>
        <w:t>The approval pack and next deliverables</w:t>
      </w:r>
      <w:bookmarkEnd w:id="72"/>
    </w:p>
    <w:p>
      <w:pPr/>
      <w:r>
        <w:t>The next review considers the operating role charters, initial account access, communication authority, contractor process and expenditure limits. The first delivery pack then brings together the selected site, two-room specification, measured quantities, new/used procurement comparisons, actual quotes, schedule, cash requirements and acceptance criteria.</w:t>
      </w:r>
    </w:p>
    <w:p>
      <w:pPr/>
      <w:r>
        <w:t>Unresolved inputs have a responsible role and a defined output. Site-dependent costs remain visible until priced. Proposed partner participation remains distinct from an agreement. The business can progress several preparation streams in parallel while preserving those distinctions.</w:t>
      </w:r>
    </w:p>
    <w:p>
      <w:pPr/>
      <w:r>
        <w:t>The deliverables at this stage are the full business plan, matching website and portable editions, source collection, itemised financial basis, role charters and approval register. The operating system awaits Luke's decision.</w:t>
      </w:r>
    </w:p>
    <w:p>
      <w:pPr>
        <w:pStyle w:val="SourceNote"/>
      </w:pPr>
      <w:r>
        <w:t xml:space="preserve">Sources: </w:t>
      </w:r>
      <w:hyperlink w:anchor="source_P14">
        <w:r>
          <w:rPr>
            <w:color w:val="275E67"/>
            <w:u w:val="single"/>
          </w:rPr>
          <w:t xml:space="preserve">P14</w:t>
        </w:r>
      </w:hyperlink>
    </w:p>
    <w:p>
      <w:bookmarkStart w:id="73" w:name="source_register"/>
      <w:pPr>
        <w:pStyle w:val="Heading1"/>
        <w:pageBreakBefore/>
      </w:pPr>
      <w:r>
        <w:t>Sources and project inventory</w:t>
      </w:r>
      <w:bookmarkEnd w:id="73"/>
    </w:p>
    <w:p>
      <w:r>
        <w:t>The original documents and project websites from Installing the Missing Middle inform the business design. Market and operating sources inform current commercial assumptions. Source IDs below match the website and canonical source register.</w:t>
      </w:r>
    </w:p>
    <w:p>
      <w:pPr>
        <w:pStyle w:val="SourceNote"/>
      </w:pPr>
      <w:hyperlink r:id="rId13">
        <w:r>
          <w:rPr>
            <w:color w:val="275E67"/>
            <w:u w:val="single"/>
          </w:rPr>
          <w:t xml:space="preserve">Complete source register</w:t>
        </w:r>
      </w:hyperlink>
      <w:r>
        <w:t xml:space="preserve">  |  </w:t>
      </w:r>
      <w:hyperlink r:id="rId14">
        <w:r>
          <w:rPr>
            <w:color w:val="275E67"/>
            <w:u w:val="single"/>
          </w:rPr>
          <w:t xml:space="preserve">Full inherited embedded-link inventory</w:t>
        </w:r>
      </w:hyperlink>
    </w:p>
    <w:p>
      <w:pPr>
        <w:pStyle w:val="Heading2"/>
      </w:pPr>
      <w:r>
        <w:t>Original documents</w:t>
      </w:r>
    </w:p>
    <w:p>
      <w:bookmarkStart w:id="74" w:name="source_D01"/>
      <w:pPr>
        <w:pStyle w:val="SourceTitle"/>
      </w:pPr>
      <w:r>
        <w:t>D01  A Fair Go for the AI Age: Postcode-Level Sovereign Compute</w:t>
      </w:r>
      <w:bookmarkEnd w:id="74"/>
    </w:p>
    <w:p>
      <w:pPr>
        <w:pStyle w:val="RegisterText"/>
      </w:pPr>
      <w:r>
        <w:t>Shared local capability, council and community connections, personally controlled data and a fair go as AI capabilities grow. Escape-room demand and deployment use room-level business cases; compute ratios and budgets are not transferred.</w:t>
      </w:r>
    </w:p>
    <w:p>
      <w:pPr>
        <w:pStyle w:val="SourceNote"/>
      </w:pPr>
      <w:hyperlink r:id="rId15">
        <w:r>
          <w:rPr>
            <w:color w:val="275E67"/>
            <w:u w:val="single"/>
          </w:rPr>
          <w:t xml:space="preserve">Original DOCX</w:t>
        </w:r>
      </w:hyperlink>
      <w:r>
        <w:t xml:space="preserve">  |  </w:t>
      </w:r>
      <w:hyperlink r:id="rId16">
        <w:r>
          <w:rPr>
            <w:color w:val="275E67"/>
            <w:u w:val="single"/>
          </w:rPr>
          <w:t xml:space="preserve">Online reader</w:t>
        </w:r>
      </w:hyperlink>
      <w:r>
        <w:t xml:space="preserve">  |  </w:t>
      </w:r>
      <w:hyperlink r:id="rId17">
        <w:r>
          <w:rPr>
            <w:color w:val="275E67"/>
            <w:u w:val="single"/>
          </w:rPr>
          <w:t xml:space="preserve">Archived source</w:t>
        </w:r>
      </w:hyperlink>
    </w:p>
    <w:p>
      <w:bookmarkStart w:id="75" w:name="source_D02"/>
      <w:pPr>
        <w:pStyle w:val="SourceTitle"/>
      </w:pPr>
      <w:r>
        <w:t>D02  AUKUS Public Inquiry Submission</w:t>
      </w:r>
      <w:bookmarkEnd w:id="75"/>
    </w:p>
    <w:p>
      <w:pPr>
        <w:pStyle w:val="RegisterText"/>
      </w:pPr>
      <w:r>
        <w:t>Identify a local opportunity, prepare people and facilities, install, document, learn and pass the method to the next cohort. Experienced tradespeople remain paid contributors.</w:t>
      </w:r>
    </w:p>
    <w:p>
      <w:pPr>
        <w:pStyle w:val="SourceNote"/>
      </w:pPr>
      <w:hyperlink r:id="rId18">
        <w:r>
          <w:rPr>
            <w:color w:val="275E67"/>
            <w:u w:val="single"/>
          </w:rPr>
          <w:t xml:space="preserve">Original DOCX</w:t>
        </w:r>
      </w:hyperlink>
      <w:r>
        <w:t xml:space="preserve">  |  </w:t>
      </w:r>
      <w:hyperlink r:id="rId19">
        <w:r>
          <w:rPr>
            <w:color w:val="275E67"/>
            <w:u w:val="single"/>
          </w:rPr>
          <w:t xml:space="preserve">Online reader</w:t>
        </w:r>
      </w:hyperlink>
      <w:r>
        <w:t xml:space="preserve">  |  </w:t>
      </w:r>
      <w:hyperlink r:id="rId20">
        <w:r>
          <w:rPr>
            <w:color w:val="275E67"/>
            <w:u w:val="single"/>
          </w:rPr>
          <w:t xml:space="preserve">Archived source</w:t>
        </w:r>
      </w:hyperlink>
    </w:p>
    <w:p>
      <w:bookmarkStart w:id="76" w:name="source_D03"/>
      <w:pPr>
        <w:pStyle w:val="SourceTitle"/>
      </w:pPr>
      <w:r>
        <w:t>D03  Aura Genesis for Children and Young People in Australian Care</w:t>
      </w:r>
      <w:bookmarkEnd w:id="76"/>
    </w:p>
    <w:p>
      <w:pPr>
        <w:pStyle w:val="RegisterText"/>
      </w:pPr>
      <w:r>
        <w:t>Age-appropriate creative challenges, continuity through transitions, personal agency, supported learning and concrete opportunities as young people enter adulthood.</w:t>
      </w:r>
    </w:p>
    <w:p>
      <w:pPr>
        <w:pStyle w:val="SourceNote"/>
      </w:pPr>
      <w:hyperlink r:id="rId21">
        <w:r>
          <w:rPr>
            <w:color w:val="275E67"/>
            <w:u w:val="single"/>
          </w:rPr>
          <w:t xml:space="preserve">Original DOCX</w:t>
        </w:r>
      </w:hyperlink>
      <w:r>
        <w:t xml:space="preserve">  |  </w:t>
      </w:r>
      <w:hyperlink r:id="rId22">
        <w:r>
          <w:rPr>
            <w:color w:val="275E67"/>
            <w:u w:val="single"/>
          </w:rPr>
          <w:t xml:space="preserve">Online reader</w:t>
        </w:r>
      </w:hyperlink>
      <w:r>
        <w:t xml:space="preserve">  |  </w:t>
      </w:r>
      <w:hyperlink r:id="rId23">
        <w:r>
          <w:rPr>
            <w:color w:val="275E67"/>
            <w:u w:val="single"/>
          </w:rPr>
          <w:t xml:space="preserve">Archived source</w:t>
        </w:r>
      </w:hyperlink>
    </w:p>
    <w:p>
      <w:bookmarkStart w:id="77" w:name="source_D04"/>
      <w:pPr>
        <w:pStyle w:val="SourceTitle"/>
      </w:pPr>
      <w:r>
        <w:t>D04  Aura Genesis Geode Development, Edition 3</w:t>
      </w:r>
      <w:bookmarkEnd w:id="77"/>
    </w:p>
    <w:p>
      <w:pPr>
        <w:pStyle w:val="RegisterText"/>
      </w:pPr>
      <w:r>
        <w:t>Personal-context records, reflection, simulation, selected sensor observations and connected civic/creative applications. Adult clinical/HBOT components stay in their separate programme.</w:t>
      </w:r>
    </w:p>
    <w:p>
      <w:pPr>
        <w:pStyle w:val="SourceNote"/>
      </w:pPr>
      <w:hyperlink r:id="rId24">
        <w:r>
          <w:rPr>
            <w:color w:val="275E67"/>
            <w:u w:val="single"/>
          </w:rPr>
          <w:t xml:space="preserve">Original PDF</w:t>
        </w:r>
      </w:hyperlink>
      <w:r>
        <w:t xml:space="preserve">  |  </w:t>
      </w:r>
      <w:hyperlink r:id="rId25">
        <w:r>
          <w:rPr>
            <w:color w:val="275E67"/>
            <w:u w:val="single"/>
          </w:rPr>
          <w:t xml:space="preserve">Online reader</w:t>
        </w:r>
      </w:hyperlink>
      <w:r>
        <w:t xml:space="preserve">  |  </w:t>
      </w:r>
      <w:hyperlink r:id="rId26">
        <w:r>
          <w:rPr>
            <w:color w:val="275E67"/>
            <w:u w:val="single"/>
          </w:rPr>
          <w:t xml:space="preserve">Archived source</w:t>
        </w:r>
      </w:hyperlink>
    </w:p>
    <w:p>
      <w:bookmarkStart w:id="78" w:name="source_D05"/>
      <w:pPr>
        <w:pStyle w:val="SourceTitle"/>
      </w:pPr>
      <w:r>
        <w:t>D05  Aura Teacher Training: 60 Days</w:t>
      </w:r>
      <w:bookmarkEnd w:id="78"/>
    </w:p>
    <w:p>
      <w:pPr>
        <w:pStyle w:val="RegisterText"/>
      </w:pPr>
      <w:r>
        <w:t>Personal language and cultural meaning; observations separate from interpretations; repair; transfer tasks; Days 41–42 connect physical dependencies, XR installation rehearsal, commissioning and continuity.</w:t>
      </w:r>
    </w:p>
    <w:p>
      <w:pPr>
        <w:pStyle w:val="SourceNote"/>
      </w:pPr>
      <w:hyperlink r:id="rId27">
        <w:r>
          <w:rPr>
            <w:color w:val="275E67"/>
            <w:u w:val="single"/>
          </w:rPr>
          <w:t xml:space="preserve">Original PDF</w:t>
        </w:r>
      </w:hyperlink>
      <w:r>
        <w:t xml:space="preserve">  |  </w:t>
      </w:r>
      <w:hyperlink r:id="rId28">
        <w:r>
          <w:rPr>
            <w:color w:val="275E67"/>
            <w:u w:val="single"/>
          </w:rPr>
          <w:t xml:space="preserve">Online reader</w:t>
        </w:r>
      </w:hyperlink>
      <w:r>
        <w:t xml:space="preserve">  |  </w:t>
      </w:r>
      <w:hyperlink r:id="rId29">
        <w:r>
          <w:rPr>
            <w:color w:val="275E67"/>
            <w:u w:val="single"/>
          </w:rPr>
          <w:t xml:space="preserve">Archived source</w:t>
        </w:r>
      </w:hyperlink>
    </w:p>
    <w:p>
      <w:bookmarkStart w:id="79" w:name="source_D06"/>
      <w:pPr>
        <w:pStyle w:val="SourceTitle"/>
      </w:pPr>
      <w:r>
        <w:t>D06  Aura of Intelligence for Adaptive Whole-of-Life Support</w:t>
      </w:r>
      <w:bookmarkEnd w:id="79"/>
    </w:p>
    <w:p>
      <w:pPr>
        <w:pStyle w:val="RegisterText"/>
      </w:pPr>
      <w:r>
        <w:t>Participant-directed support, communication and access preferences, revisable personal context, transitions between home and services, contribution and learning through later life.</w:t>
      </w:r>
    </w:p>
    <w:p>
      <w:pPr>
        <w:pStyle w:val="SourceNote"/>
      </w:pPr>
      <w:hyperlink r:id="rId30">
        <w:r>
          <w:rPr>
            <w:color w:val="275E67"/>
            <w:u w:val="single"/>
          </w:rPr>
          <w:t xml:space="preserve">Original DOCX</w:t>
        </w:r>
      </w:hyperlink>
      <w:r>
        <w:t xml:space="preserve">  |  </w:t>
      </w:r>
      <w:hyperlink r:id="rId31">
        <w:r>
          <w:rPr>
            <w:color w:val="275E67"/>
            <w:u w:val="single"/>
          </w:rPr>
          <w:t xml:space="preserve">Online reader</w:t>
        </w:r>
      </w:hyperlink>
      <w:r>
        <w:t xml:space="preserve">  |  </w:t>
      </w:r>
      <w:hyperlink r:id="rId32">
        <w:r>
          <w:rPr>
            <w:color w:val="275E67"/>
            <w:u w:val="single"/>
          </w:rPr>
          <w:t xml:space="preserve">Archived source</w:t>
        </w:r>
      </w:hyperlink>
    </w:p>
    <w:p>
      <w:bookmarkStart w:id="80" w:name="source_D07"/>
      <w:pPr>
        <w:pStyle w:val="SourceTitle"/>
      </w:pPr>
      <w:r>
        <w:t>D07  Aura of Intelligence for Tourism and Domestic Travel</w:t>
      </w:r>
      <w:bookmarkEnd w:id="80"/>
    </w:p>
    <w:p>
      <w:pPr>
        <w:pStyle w:val="RegisterText"/>
      </w:pPr>
      <w:r>
        <w:t>Before/during/after travel, operator-defined offers, group negotiation, personal learning, transport information, referral-income visibility and paid host work.</w:t>
      </w:r>
    </w:p>
    <w:p>
      <w:pPr>
        <w:pStyle w:val="SourceNote"/>
      </w:pPr>
      <w:hyperlink r:id="rId33">
        <w:r>
          <w:rPr>
            <w:color w:val="275E67"/>
            <w:u w:val="single"/>
          </w:rPr>
          <w:t xml:space="preserve">Original DOCX</w:t>
        </w:r>
      </w:hyperlink>
      <w:r>
        <w:t xml:space="preserve">  |  </w:t>
      </w:r>
      <w:hyperlink r:id="rId34">
        <w:r>
          <w:rPr>
            <w:color w:val="275E67"/>
            <w:u w:val="single"/>
          </w:rPr>
          <w:t xml:space="preserve">Online reader</w:t>
        </w:r>
      </w:hyperlink>
      <w:r>
        <w:t xml:space="preserve">  |  </w:t>
      </w:r>
      <w:hyperlink r:id="rId35">
        <w:r>
          <w:rPr>
            <w:color w:val="275E67"/>
            <w:u w:val="single"/>
          </w:rPr>
          <w:t xml:space="preserve">Archived source</w:t>
        </w:r>
      </w:hyperlink>
    </w:p>
    <w:p>
      <w:bookmarkStart w:id="81" w:name="source_D08"/>
      <w:pPr>
        <w:pStyle w:val="SourceTitle"/>
      </w:pPr>
      <w:r>
        <w:t>D08  Building an Australian Legal RAG System</w:t>
      </w:r>
      <w:bookmarkEnd w:id="81"/>
    </w:p>
    <w:p>
      <w:pPr>
        <w:pStyle w:val="RegisterText"/>
      </w:pPr>
      <w:r>
        <w:t>Jurisdiction, current source and version, quoted authority, project context and review trails support premises, hiring, recording, package terms and renewal agreements.</w:t>
      </w:r>
    </w:p>
    <w:p>
      <w:pPr>
        <w:pStyle w:val="SourceNote"/>
      </w:pPr>
      <w:hyperlink r:id="rId36">
        <w:r>
          <w:rPr>
            <w:color w:val="275E67"/>
            <w:u w:val="single"/>
          </w:rPr>
          <w:t xml:space="preserve">Original PDF</w:t>
        </w:r>
      </w:hyperlink>
      <w:r>
        <w:t xml:space="preserve">  |  </w:t>
      </w:r>
      <w:hyperlink r:id="rId37">
        <w:r>
          <w:rPr>
            <w:color w:val="275E67"/>
            <w:u w:val="single"/>
          </w:rPr>
          <w:t xml:space="preserve">Online reader</w:t>
        </w:r>
      </w:hyperlink>
      <w:r>
        <w:t xml:space="preserve">  |  </w:t>
      </w:r>
      <w:hyperlink r:id="rId38">
        <w:r>
          <w:rPr>
            <w:color w:val="275E67"/>
            <w:u w:val="single"/>
          </w:rPr>
          <w:t xml:space="preserve">Archived source</w:t>
        </w:r>
      </w:hyperlink>
    </w:p>
    <w:p>
      <w:bookmarkStart w:id="82" w:name="source_D09"/>
      <w:pPr>
        <w:pStyle w:val="SourceTitle"/>
      </w:pPr>
      <w:r>
        <w:t>D09  Do Not Put All Our Eggs in One Basket</w:t>
      </w:r>
      <w:bookmarkEnd w:id="82"/>
    </w:p>
    <w:p>
      <w:pPr>
        <w:pStyle w:val="RegisterText"/>
      </w:pPr>
      <w:r>
        <w:t>Parallel opportunity discovery with staged physical delivery; preserve local purpose, paid skills, maintenance, upgrades and options for local ownership. No compute capital or population ratio is reused.</w:t>
      </w:r>
    </w:p>
    <w:p>
      <w:pPr>
        <w:pStyle w:val="SourceNote"/>
      </w:pPr>
      <w:hyperlink r:id="rId39">
        <w:r>
          <w:rPr>
            <w:color w:val="275E67"/>
            <w:u w:val="single"/>
          </w:rPr>
          <w:t xml:space="preserve">Original DOCX</w:t>
        </w:r>
      </w:hyperlink>
      <w:r>
        <w:t xml:space="preserve">  |  </w:t>
      </w:r>
      <w:hyperlink r:id="rId40">
        <w:r>
          <w:rPr>
            <w:color w:val="275E67"/>
            <w:u w:val="single"/>
          </w:rPr>
          <w:t xml:space="preserve">Online reader</w:t>
        </w:r>
      </w:hyperlink>
      <w:r>
        <w:t xml:space="preserve">  |  </w:t>
      </w:r>
      <w:hyperlink r:id="rId41">
        <w:r>
          <w:rPr>
            <w:color w:val="275E67"/>
            <w:u w:val="single"/>
          </w:rPr>
          <w:t xml:space="preserve">Archived source</w:t>
        </w:r>
      </w:hyperlink>
    </w:p>
    <w:p>
      <w:bookmarkStart w:id="83" w:name="source_D10"/>
      <w:pPr>
        <w:pStyle w:val="SourceTitle"/>
      </w:pPr>
      <w:r>
        <w:t>D10  Fiji–Australia Vuvale Union Submission</w:t>
      </w:r>
      <w:bookmarkEnd w:id="83"/>
    </w:p>
    <w:p>
      <w:pPr>
        <w:pStyle w:val="RegisterText"/>
      </w:pPr>
      <w:r>
        <w:t>Locally appropriate organisations, ownership and duties, paid work separate from voluntary contribution, staged capability development and reciprocal regional connections.</w:t>
      </w:r>
    </w:p>
    <w:p>
      <w:pPr>
        <w:pStyle w:val="SourceNote"/>
      </w:pPr>
      <w:hyperlink r:id="rId42">
        <w:r>
          <w:rPr>
            <w:color w:val="275E67"/>
            <w:u w:val="single"/>
          </w:rPr>
          <w:t xml:space="preserve">Original DOCX</w:t>
        </w:r>
      </w:hyperlink>
      <w:r>
        <w:t xml:space="preserve">  |  </w:t>
      </w:r>
      <w:hyperlink r:id="rId43">
        <w:r>
          <w:rPr>
            <w:color w:val="275E67"/>
            <w:u w:val="single"/>
          </w:rPr>
          <w:t xml:space="preserve">Online reader</w:t>
        </w:r>
      </w:hyperlink>
      <w:r>
        <w:t xml:space="preserve">  |  </w:t>
      </w:r>
      <w:hyperlink r:id="rId44">
        <w:r>
          <w:rPr>
            <w:color w:val="275E67"/>
            <w:u w:val="single"/>
          </w:rPr>
          <w:t xml:space="preserve">Archived source</w:t>
        </w:r>
      </w:hyperlink>
    </w:p>
    <w:p>
      <w:bookmarkStart w:id="84" w:name="source_D11"/>
      <w:pPr>
        <w:pStyle w:val="SourceTitle"/>
      </w:pPr>
      <w:r>
        <w:t>D11  Local Government Funding Inquiry Submission</w:t>
      </w:r>
      <w:bookmarkEnd w:id="84"/>
    </w:p>
    <w:p>
      <w:pPr>
        <w:pStyle w:val="RegisterText"/>
      </w:pPr>
      <w:r>
        <w:t xml:space="preserve">The exact listed edition was unavailable in the inherited archive. The separately identified </w:t>
      </w:r>
      <w:hyperlink w:anchor="source_D15">
        <w:r>
          <w:rPr>
            <w:color w:val="275E67"/>
            <w:u w:val="single"/>
          </w:rPr>
          <w:t xml:space="preserve">D15</w:t>
        </w:r>
      </w:hyperlink>
      <w:r>
        <w:t xml:space="preserve"> public copy supplies the local-government reference for this business plan.</w:t>
      </w:r>
    </w:p>
    <w:p>
      <w:pPr>
        <w:pStyle w:val="SourceNote"/>
      </w:pPr>
      <w:r>
        <w:t>Exact original unavailable in the inherited archive. See the source entry for the available edition.</w:t>
      </w:r>
    </w:p>
    <w:p>
      <w:bookmarkStart w:id="85" w:name="source_D12"/>
      <w:pPr>
        <w:pStyle w:val="SourceTitle"/>
      </w:pPr>
      <w:r>
        <w:t>D12  Ocean of Peace Alliance / Veitacini Treaty Submission</w:t>
      </w:r>
      <w:bookmarkEnd w:id="85"/>
    </w:p>
    <w:p>
      <w:pPr>
        <w:pStyle w:val="RegisterText"/>
      </w:pPr>
      <w:r>
        <w:t>Regional cooperation, shared capability and locally meaningful participation can inform eventual cross-border collaborations. Australian venues remain the immediate business scope.</w:t>
      </w:r>
    </w:p>
    <w:p>
      <w:pPr>
        <w:pStyle w:val="SourceNote"/>
      </w:pPr>
      <w:hyperlink r:id="rId45">
        <w:r>
          <w:rPr>
            <w:color w:val="275E67"/>
            <w:u w:val="single"/>
          </w:rPr>
          <w:t xml:space="preserve">Original DOCX</w:t>
        </w:r>
      </w:hyperlink>
      <w:r>
        <w:t xml:space="preserve">  |  </w:t>
      </w:r>
      <w:hyperlink r:id="rId46">
        <w:r>
          <w:rPr>
            <w:color w:val="275E67"/>
            <w:u w:val="single"/>
          </w:rPr>
          <w:t xml:space="preserve">Online reader</w:t>
        </w:r>
      </w:hyperlink>
      <w:r>
        <w:t xml:space="preserve">  |  </w:t>
      </w:r>
      <w:hyperlink r:id="rId47">
        <w:r>
          <w:rPr>
            <w:color w:val="275E67"/>
            <w:u w:val="single"/>
          </w:rPr>
          <w:t xml:space="preserve">Archived source</w:t>
        </w:r>
      </w:hyperlink>
    </w:p>
    <w:p>
      <w:bookmarkStart w:id="86" w:name="source_D13"/>
      <w:pPr>
        <w:pStyle w:val="SourceTitle"/>
      </w:pPr>
      <w:r>
        <w:t>D13  Ready SET Co-op: 2026 Strategy Archive</w:t>
      </w:r>
      <w:bookmarkEnd w:id="86"/>
    </w:p>
    <w:p>
      <w:pPr>
        <w:pStyle w:val="RegisterText"/>
      </w:pPr>
      <w:r>
        <w:t>Employment and training pathways, shared equipment, operational procedures and paid learning. Current ready SET Co-op naming and non-monetary C-Hour direction govern new prose.</w:t>
      </w:r>
    </w:p>
    <w:p>
      <w:pPr>
        <w:pStyle w:val="SourceNote"/>
      </w:pPr>
      <w:hyperlink r:id="rId48">
        <w:r>
          <w:rPr>
            <w:color w:val="275E67"/>
            <w:u w:val="single"/>
          </w:rPr>
          <w:t xml:space="preserve">Original PDF</w:t>
        </w:r>
      </w:hyperlink>
      <w:r>
        <w:t xml:space="preserve">  |  </w:t>
      </w:r>
      <w:hyperlink r:id="rId49">
        <w:r>
          <w:rPr>
            <w:color w:val="275E67"/>
            <w:u w:val="single"/>
          </w:rPr>
          <w:t xml:space="preserve">Online reader</w:t>
        </w:r>
      </w:hyperlink>
      <w:r>
        <w:t xml:space="preserve">  |  </w:t>
      </w:r>
      <w:hyperlink r:id="rId50">
        <w:r>
          <w:rPr>
            <w:color w:val="275E67"/>
            <w:u w:val="single"/>
          </w:rPr>
          <w:t xml:space="preserve">Archived source</w:t>
        </w:r>
      </w:hyperlink>
    </w:p>
    <w:p>
      <w:bookmarkStart w:id="87" w:name="source_D14"/>
      <w:pPr>
        <w:pStyle w:val="SourceTitle"/>
      </w:pPr>
      <w:r>
        <w:t>D14  Global Sensorium: Scientific Models and Debate</w:t>
      </w:r>
      <w:bookmarkEnd w:id="87"/>
    </w:p>
    <w:p>
      <w:pPr>
        <w:pStyle w:val="RegisterText"/>
      </w:pPr>
      <w:r>
        <w:t>Compare models and assumptions, trace observations, invite debate, run experiments and preserve explanations. It supplies scenario-design methods, not automatic validation of every scientific claim.</w:t>
      </w:r>
    </w:p>
    <w:p>
      <w:pPr>
        <w:pStyle w:val="SourceNote"/>
      </w:pPr>
      <w:hyperlink r:id="rId51">
        <w:r>
          <w:rPr>
            <w:color w:val="275E67"/>
            <w:u w:val="single"/>
          </w:rPr>
          <w:t xml:space="preserve">Original PDF</w:t>
        </w:r>
      </w:hyperlink>
      <w:r>
        <w:t xml:space="preserve">  |  </w:t>
      </w:r>
      <w:hyperlink r:id="rId52">
        <w:r>
          <w:rPr>
            <w:color w:val="275E67"/>
            <w:u w:val="single"/>
          </w:rPr>
          <w:t xml:space="preserve">Online reader</w:t>
        </w:r>
      </w:hyperlink>
      <w:r>
        <w:t xml:space="preserve">  |  </w:t>
      </w:r>
      <w:hyperlink r:id="rId53">
        <w:r>
          <w:rPr>
            <w:color w:val="275E67"/>
            <w:u w:val="single"/>
          </w:rPr>
          <w:t xml:space="preserve">Archived source</w:t>
        </w:r>
      </w:hyperlink>
    </w:p>
    <w:p>
      <w:bookmarkStart w:id="88" w:name="source_D15"/>
      <w:pPr>
        <w:pStyle w:val="SourceTitle"/>
      </w:pPr>
      <w:r>
        <w:t>D15  Local Government Funding Inquiry Submission 2, public reference copy</w:t>
      </w:r>
      <w:bookmarkEnd w:id="88"/>
    </w:p>
    <w:p>
      <w:pPr>
        <w:pStyle w:val="RegisterText"/>
      </w:pPr>
      <w:r>
        <w:t xml:space="preserve">Council relationships, shared community assets, locally useful digital twins and public-purpose funding. The exact original-upload edition </w:t>
      </w:r>
      <w:hyperlink w:anchor="source_D11">
        <w:r>
          <w:rPr>
            <w:color w:val="275E67"/>
            <w:u w:val="single"/>
          </w:rPr>
          <w:t xml:space="preserve">D11</w:t>
        </w:r>
      </w:hyperlink>
      <w:r>
        <w:t xml:space="preserve"> remains separately identified.</w:t>
      </w:r>
    </w:p>
    <w:p>
      <w:pPr>
        <w:pStyle w:val="SourceNote"/>
      </w:pPr>
      <w:hyperlink r:id="rId54">
        <w:r>
          <w:rPr>
            <w:color w:val="275E67"/>
            <w:u w:val="single"/>
          </w:rPr>
          <w:t xml:space="preserve">Original PDF</w:t>
        </w:r>
      </w:hyperlink>
      <w:r>
        <w:t xml:space="preserve">  |  </w:t>
      </w:r>
      <w:hyperlink r:id="rId55">
        <w:r>
          <w:rPr>
            <w:color w:val="275E67"/>
            <w:u w:val="single"/>
          </w:rPr>
          <w:t xml:space="preserve">Online reader</w:t>
        </w:r>
      </w:hyperlink>
      <w:r>
        <w:t xml:space="preserve">  |  </w:t>
      </w:r>
      <w:hyperlink r:id="rId56">
        <w:r>
          <w:rPr>
            <w:color w:val="275E67"/>
            <w:u w:val="single"/>
          </w:rPr>
          <w:t xml:space="preserve">Archived source</w:t>
        </w:r>
      </w:hyperlink>
    </w:p>
    <w:p>
      <w:pPr>
        <w:pStyle w:val="Heading2"/>
      </w:pPr>
      <w:r>
        <w:t>Connected projects and websites</w:t>
      </w:r>
    </w:p>
    <w:p>
      <w:bookmarkStart w:id="89" w:name="source_P01"/>
      <w:pPr>
        <w:pStyle w:val="SourceTitle"/>
      </w:pPr>
      <w:r>
        <w:t>P01  UNGA81: A fair go in the age of intelligence</w:t>
      </w:r>
      <w:bookmarkEnd w:id="89"/>
    </w:p>
    <w:p>
      <w:pPr>
        <w:pStyle w:val="RegisterText"/>
      </w:pPr>
      <w:r>
        <w:t>The public purpose and guiding questions for Joyful Responsible Abundance, shared capability, livelihoods and time.</w:t>
      </w:r>
    </w:p>
    <w:p>
      <w:pPr>
        <w:pStyle w:val="SourceNote"/>
      </w:pPr>
      <w:hyperlink r:id="rId57">
        <w:r>
          <w:rPr>
            <w:color w:val="275E67"/>
            <w:u w:val="single"/>
          </w:rPr>
          <w:t xml:space="preserve">https://auraofintelligence.github.io/UNGA81-Luke-Hayes/</w:t>
        </w:r>
      </w:hyperlink>
    </w:p>
    <w:p>
      <w:bookmarkStart w:id="90" w:name="source_P02"/>
      <w:pPr>
        <w:pStyle w:val="SourceTitle"/>
      </w:pPr>
      <w:r>
        <w:t>P02  Ready SET Co-op Cultural Intelligence Node</w:t>
      </w:r>
      <w:bookmarkEnd w:id="90"/>
    </w:p>
    <w:p>
      <w:pPr>
        <w:pStyle w:val="RegisterText"/>
      </w:pPr>
      <w:r>
        <w:t>A locally chosen cultural and technical hub can support media capture, room design, digital twins and shared processing. Cultural relationships and material custody remain locally agreed.</w:t>
      </w:r>
    </w:p>
    <w:p>
      <w:pPr>
        <w:pStyle w:val="SourceNote"/>
      </w:pPr>
      <w:hyperlink r:id="rId58">
        <w:r>
          <w:rPr>
            <w:color w:val="275E67"/>
            <w:u w:val="single"/>
          </w:rPr>
          <w:t xml:space="preserve">https://auraofintelligence.github.io/ready-set-co-op-cultural-intelligence-node/index.html</w:t>
        </w:r>
      </w:hyperlink>
    </w:p>
    <w:p>
      <w:bookmarkStart w:id="91" w:name="source_P03"/>
      <w:pPr>
        <w:pStyle w:val="SourceTitle"/>
      </w:pPr>
      <w:r>
        <w:t>P03  Ready SET Co-op Trust Hub</w:t>
      </w:r>
      <w:bookmarkEnd w:id="91"/>
    </w:p>
    <w:p>
      <w:pPr>
        <w:pStyle w:val="RegisterText"/>
      </w:pPr>
      <w:r>
        <w:t>Turn a useful service into documented learning and the next paid local role; relationships and shared equipment can support venue operations and contractor development.</w:t>
      </w:r>
    </w:p>
    <w:p>
      <w:pPr>
        <w:pStyle w:val="SourceNote"/>
      </w:pPr>
      <w:hyperlink r:id="rId59">
        <w:r>
          <w:rPr>
            <w:color w:val="275E67"/>
            <w:u w:val="single"/>
          </w:rPr>
          <w:t xml:space="preserve">https://auraofintelligence.github.io/ready-set-co-op-trust-hub/</w:t>
        </w:r>
      </w:hyperlink>
    </w:p>
    <w:p>
      <w:bookmarkStart w:id="92" w:name="source_P04"/>
      <w:pPr>
        <w:pStyle w:val="SourceTitle"/>
      </w:pPr>
      <w:r>
        <w:t>P04  500 Queens Venture Capital</w:t>
      </w:r>
      <w:bookmarkEnd w:id="92"/>
    </w:p>
    <w:p>
      <w:pPr>
        <w:pStyle w:val="RegisterText"/>
      </w:pPr>
      <w:r>
        <w:t>A potential connection for women-led venue businesses, leadership, mentoring and investment development, without claiming finance or appointments.</w:t>
      </w:r>
    </w:p>
    <w:p>
      <w:pPr>
        <w:pStyle w:val="SourceNote"/>
      </w:pPr>
      <w:hyperlink r:id="rId60">
        <w:r>
          <w:rPr>
            <w:color w:val="275E67"/>
            <w:u w:val="single"/>
          </w:rPr>
          <w:t xml:space="preserve">https://auraofintelligence.github.io/500-Queens-VC-2026/</w:t>
        </w:r>
      </w:hyperlink>
    </w:p>
    <w:p>
      <w:bookmarkStart w:id="93" w:name="source_P05"/>
      <w:pPr>
        <w:pStyle w:val="SourceTitle"/>
      </w:pPr>
      <w:r>
        <w:t>P05  Mutual Futures</w:t>
      </w:r>
      <w:bookmarkEnd w:id="93"/>
    </w:p>
    <w:p>
      <w:pPr>
        <w:pStyle w:val="RegisterText"/>
      </w:pPr>
      <w:r>
        <w:t>Business succession, paid mentoring, local ownership and periods of work, learning and travel across life.</w:t>
      </w:r>
    </w:p>
    <w:p>
      <w:pPr>
        <w:pStyle w:val="SourceNote"/>
      </w:pPr>
      <w:hyperlink r:id="rId61">
        <w:r>
          <w:rPr>
            <w:color w:val="275E67"/>
            <w:u w:val="single"/>
          </w:rPr>
          <w:t xml:space="preserve">https://auraofintelligence.github.io/mutual-futures/</w:t>
        </w:r>
      </w:hyperlink>
    </w:p>
    <w:p>
      <w:bookmarkStart w:id="94" w:name="source_P06"/>
      <w:pPr>
        <w:pStyle w:val="SourceTitle"/>
      </w:pPr>
      <w:r>
        <w:t>P06  Australian Law 2012 and Your Relevance</w:t>
      </w:r>
      <w:bookmarkEnd w:id="94"/>
    </w:p>
    <w:p>
      <w:pPr>
        <w:pStyle w:val="RegisterText"/>
      </w:pPr>
      <w:r>
        <w:t>Understand the laws and terms relevant to an actual person or project through readable sources and context.</w:t>
      </w:r>
    </w:p>
    <w:p>
      <w:pPr>
        <w:pStyle w:val="SourceNote"/>
      </w:pPr>
      <w:hyperlink r:id="rId62">
        <w:r>
          <w:rPr>
            <w:color w:val="275E67"/>
            <w:u w:val="single"/>
          </w:rPr>
          <w:t xml:space="preserve">https://auraofintelligence.github.io/australian-law-2012-lukes-relevance/</w:t>
        </w:r>
      </w:hyperlink>
    </w:p>
    <w:p>
      <w:bookmarkStart w:id="95" w:name="source_P07"/>
      <w:pPr>
        <w:pStyle w:val="SourceTitle"/>
      </w:pPr>
      <w:r>
        <w:t>P07  Australian Legal Engine</w:t>
      </w:r>
      <w:bookmarkEnd w:id="95"/>
    </w:p>
    <w:p>
      <w:pPr>
        <w:pStyle w:val="RegisterText"/>
      </w:pPr>
      <w:r>
        <w:t>Future source-linked legal research integration for contract preparation and current obligations; preserve qualified human decision-making.</w:t>
      </w:r>
    </w:p>
    <w:p>
      <w:pPr>
        <w:pStyle w:val="SourceNote"/>
      </w:pPr>
      <w:hyperlink r:id="rId63">
        <w:r>
          <w:rPr>
            <w:color w:val="275E67"/>
            <w:u w:val="single"/>
          </w:rPr>
          <w:t xml:space="preserve">https://github.com/auraofintelligence/australian-legal-engine</w:t>
        </w:r>
      </w:hyperlink>
    </w:p>
    <w:p>
      <w:bookmarkStart w:id="96" w:name="source_P08"/>
      <w:pPr>
        <w:pStyle w:val="SourceTitle"/>
      </w:pPr>
      <w:r>
        <w:t>P08  Legal Memory Workbench</w:t>
      </w:r>
      <w:bookmarkEnd w:id="96"/>
    </w:p>
    <w:p>
      <w:pPr>
        <w:pStyle w:val="RegisterText"/>
      </w:pPr>
      <w:r>
        <w:t>Organise the actual premises, employment and partnership questions and source trails into a usable project record.</w:t>
      </w:r>
    </w:p>
    <w:p>
      <w:pPr>
        <w:pStyle w:val="SourceNote"/>
      </w:pPr>
      <w:hyperlink r:id="rId64">
        <w:r>
          <w:rPr>
            <w:color w:val="275E67"/>
            <w:u w:val="single"/>
          </w:rPr>
          <w:t xml:space="preserve">https://auraofintelligence.github.io/legal-memory-workbench/</w:t>
        </w:r>
      </w:hyperlink>
    </w:p>
    <w:p>
      <w:bookmarkStart w:id="97" w:name="source_P09"/>
      <w:pPr>
        <w:pStyle w:val="SourceTitle"/>
      </w:pPr>
      <w:r>
        <w:t>P09  C-Hour Introduction</w:t>
      </w:r>
      <w:bookmarkEnd w:id="97"/>
    </w:p>
    <w:p>
      <w:pPr>
        <w:pStyle w:val="RegisterText"/>
      </w:pPr>
      <w:r>
        <w:t>Voluntary contribution and recognition alongside funded access; no cash conversion or replacement of wages.</w:t>
      </w:r>
    </w:p>
    <w:p>
      <w:pPr>
        <w:pStyle w:val="SourceNote"/>
      </w:pPr>
      <w:hyperlink r:id="rId65">
        <w:r>
          <w:rPr>
            <w:color w:val="275E67"/>
            <w:u w:val="single"/>
          </w:rPr>
          <w:t xml:space="preserve">https://auraofintelligence.github.io/C-Hour-introduction/</w:t>
        </w:r>
      </w:hyperlink>
    </w:p>
    <w:p>
      <w:bookmarkStart w:id="98" w:name="source_P10"/>
      <w:pPr>
        <w:pStyle w:val="SourceTitle"/>
      </w:pPr>
      <w:r>
        <w:t>P10  P4A</w:t>
      </w:r>
      <w:bookmarkEnd w:id="98"/>
    </w:p>
    <w:p>
      <w:pPr>
        <w:pStyle w:val="RegisterText"/>
      </w:pPr>
      <w:r>
        <w:t>Civic maps, local economic development, councils and public discussion scenarios. Participation in the business does not require political agreement.</w:t>
      </w:r>
    </w:p>
    <w:p>
      <w:pPr>
        <w:pStyle w:val="SourceNote"/>
      </w:pPr>
      <w:hyperlink r:id="rId66">
        <w:r>
          <w:rPr>
            <w:color w:val="275E67"/>
            <w:u w:val="single"/>
          </w:rPr>
          <w:t xml:space="preserve">https://p4a.xyz/</w:t>
        </w:r>
      </w:hyperlink>
    </w:p>
    <w:p>
      <w:bookmarkStart w:id="99" w:name="source_P11"/>
      <w:pPr>
        <w:pStyle w:val="SourceTitle"/>
      </w:pPr>
      <w:r>
        <w:t>P11  Aura Genesis Geode Atlas</w:t>
      </w:r>
      <w:bookmarkEnd w:id="99"/>
    </w:p>
    <w:p>
      <w:pPr>
        <w:pStyle w:val="RegisterText"/>
      </w:pPr>
      <w:r>
        <w:t>Personal Aura continuity and rehearsal, selected teacher development and public/private/secret permissions. Escape rooms remain a distinct product from the intensive adult programme.</w:t>
      </w:r>
    </w:p>
    <w:p>
      <w:pPr>
        <w:pStyle w:val="SourceNote"/>
      </w:pPr>
      <w:hyperlink r:id="rId67">
        <w:r>
          <w:rPr>
            <w:color w:val="275E67"/>
            <w:u w:val="single"/>
          </w:rPr>
          <w:t xml:space="preserve">https://auraofintelligence.github.io/aura-genesis-geode-atlas/</w:t>
        </w:r>
      </w:hyperlink>
    </w:p>
    <w:p>
      <w:bookmarkStart w:id="100" w:name="source_P12"/>
      <w:pPr>
        <w:pStyle w:val="SourceTitle"/>
      </w:pPr>
      <w:r>
        <w:t>P12  Oceania Healthy De-Slop Co-ops</w:t>
      </w:r>
      <w:bookmarkEnd w:id="100"/>
    </w:p>
    <w:p>
      <w:pPr>
        <w:pStyle w:val="RegisterText"/>
      </w:pPr>
      <w:r>
        <w:t>Locally shaped shared spaces and services, with opportunities to connect wellbeing, food, social participation and travel under separate offers.</w:t>
      </w:r>
    </w:p>
    <w:p>
      <w:pPr>
        <w:pStyle w:val="SourceNote"/>
      </w:pPr>
      <w:hyperlink r:id="rId68">
        <w:r>
          <w:rPr>
            <w:color w:val="275E67"/>
            <w:u w:val="single"/>
          </w:rPr>
          <w:t xml:space="preserve">https://auraofintelligence.github.io/Oceania-healthy-de-slop-co-ops/</w:t>
        </w:r>
      </w:hyperlink>
    </w:p>
    <w:p>
      <w:bookmarkStart w:id="101" w:name="source_P13"/>
      <w:pPr>
        <w:pStyle w:val="SourceTitle"/>
      </w:pPr>
      <w:r>
        <w:t>P13  82 Claytons Road Anglican partnership proposal</w:t>
      </w:r>
      <w:bookmarkEnd w:id="101"/>
    </w:p>
    <w:p>
      <w:pPr>
        <w:pStyle w:val="RegisterText"/>
      </w:pPr>
      <w:r>
        <w:t>An example of a proposed community and care partnership on Minjerribah, useful for thinking about intergenerational access and place-based enterprise. No land or institutional commitment is assumed.</w:t>
      </w:r>
    </w:p>
    <w:p>
      <w:pPr>
        <w:pStyle w:val="SourceNote"/>
      </w:pPr>
      <w:hyperlink r:id="rId69">
        <w:r>
          <w:rPr>
            <w:color w:val="275E67"/>
            <w:u w:val="single"/>
          </w:rPr>
          <w:t xml:space="preserve">https://github.com/auraofintelligence/Anglican-Diocese-82-Claytons-Amity</w:t>
        </w:r>
      </w:hyperlink>
    </w:p>
    <w:p>
      <w:bookmarkStart w:id="102" w:name="source_P14"/>
      <w:pPr>
        <w:pStyle w:val="SourceTitle"/>
      </w:pPr>
      <w:r>
        <w:t>P14  Installing the Missing Middle source repository</w:t>
      </w:r>
      <w:bookmarkEnd w:id="102"/>
    </w:p>
    <w:p>
      <w:pPr>
        <w:pStyle w:val="RegisterText"/>
      </w:pPr>
      <w:r>
        <w:t>The deployment, documentation, licensing and navigation reference. This business adapts that method to Luke's proposed agent suite, with operating authority subject to his approval.</w:t>
      </w:r>
    </w:p>
    <w:p>
      <w:pPr>
        <w:pStyle w:val="SourceNote"/>
      </w:pPr>
      <w:hyperlink r:id="rId70">
        <w:r>
          <w:rPr>
            <w:color w:val="275E67"/>
            <w:u w:val="single"/>
          </w:rPr>
          <w:t xml:space="preserve">https://github.com/auraofintelligence/installing-the-missing-middle</w:t>
        </w:r>
      </w:hyperlink>
    </w:p>
    <w:p>
      <w:pPr>
        <w:pStyle w:val="Heading2"/>
      </w:pPr>
      <w:r>
        <w:t>Market and operating sources</w:t>
      </w:r>
    </w:p>
    <w:p>
      <w:bookmarkStart w:id="103" w:name="source_M01"/>
      <w:pPr>
        <w:pStyle w:val="SourceTitle"/>
      </w:pPr>
      <w:r>
        <w:t>M01  Tourism Research Australia national fast facts</w:t>
      </w:r>
      <w:bookmarkEnd w:id="103"/>
    </w:p>
    <w:p>
      <w:pPr>
        <w:pStyle w:val="RegisterText"/>
      </w:pPr>
      <w:r>
        <w:t>Year ending June 2026: 112.5 million domestic overnight trips and AUD 108.1 billion spend; 288.4 million domestic day trips and AUD 52.0 billion spend; 9.1 million international trips and AUD 40.5 billion spend. Trips are not unique customers.</w:t>
      </w:r>
    </w:p>
    <w:p>
      <w:pPr>
        <w:pStyle w:val="SourceNote"/>
        <w:keepNext/>
      </w:pPr>
      <w:r>
        <w:t>Checked 2026-10-29</w:t>
      </w:r>
    </w:p>
    <w:p>
      <w:pPr>
        <w:pStyle w:val="SourceNote"/>
      </w:pPr>
      <w:hyperlink r:id="rId71">
        <w:r>
          <w:rPr>
            <w:color w:val="275E67"/>
            <w:u w:val="single"/>
          </w:rPr>
          <w:t xml:space="preserve">https://www.tra.gov.au/</w:t>
        </w:r>
      </w:hyperlink>
    </w:p>
    <w:p>
      <w:bookmarkStart w:id="104" w:name="source_M02"/>
      <w:pPr>
        <w:pStyle w:val="SourceTitle"/>
      </w:pPr>
      <w:r>
        <w:t>M02  Domestic Tourism Statistics June quarter 2026</w:t>
      </w:r>
      <w:bookmarkEnd w:id="104"/>
    </w:p>
    <w:p>
      <w:pPr>
        <w:pStyle w:val="RegisterText"/>
      </w:pPr>
      <w:r>
        <w:t>June quarter 2026: 27.1 million overnight trips and AUD 25.7 billion spend; 74.2 million day trips and AUD 13.8 billion spend. DoTS replaced NVS in January 2025, with backcasting notes for earlier periods.</w:t>
      </w:r>
    </w:p>
    <w:p>
      <w:pPr>
        <w:pStyle w:val="SourceNote"/>
        <w:keepNext/>
      </w:pPr>
      <w:r>
        <w:t>Checked 2026-10-29</w:t>
      </w:r>
    </w:p>
    <w:p>
      <w:pPr>
        <w:pStyle w:val="SourceNote"/>
      </w:pPr>
      <w:hyperlink r:id="rId72">
        <w:r>
          <w:rPr>
            <w:color w:val="275E67"/>
            <w:u w:val="single"/>
          </w:rPr>
          <w:t xml:space="preserve">https://www.tra.gov.au/en/tourism-statistics/domestic-tourism-statistics-results</w:t>
        </w:r>
      </w:hyperlink>
    </w:p>
    <w:p>
      <w:bookmarkStart w:id="105" w:name="source_M03"/>
      <w:pPr>
        <w:pStyle w:val="SourceTitle"/>
      </w:pPr>
      <w:r>
        <w:t>M03  ABS Schools 2025</w:t>
      </w:r>
      <w:bookmarkEnd w:id="105"/>
    </w:p>
    <w:p>
      <w:pPr>
        <w:pStyle w:val="RegisterText"/>
      </w:pPr>
      <w:r>
        <w:t>Australia had 4,160,918 students and 9,673 schools in 2025. Queensland had 1,803 schools. Released 5 March 2026.</w:t>
      </w:r>
    </w:p>
    <w:p>
      <w:pPr>
        <w:pStyle w:val="SourceNote"/>
        <w:keepNext/>
      </w:pPr>
      <w:r>
        <w:t>Checked 2026-10-29</w:t>
      </w:r>
    </w:p>
    <w:p>
      <w:pPr>
        <w:pStyle w:val="SourceNote"/>
      </w:pPr>
      <w:hyperlink r:id="rId73">
        <w:r>
          <w:rPr>
            <w:color w:val="275E67"/>
            <w:u w:val="single"/>
          </w:rPr>
          <w:t xml:space="preserve">https://www.abs.gov.au/statistics/people/education/schools/latest-release</w:t>
        </w:r>
      </w:hyperlink>
    </w:p>
    <w:p>
      <w:bookmarkStart w:id="106" w:name="source_M04"/>
      <w:pPr>
        <w:pStyle w:val="SourceTitle"/>
      </w:pPr>
      <w:r>
        <w:t>M04  TRA Business events data</w:t>
      </w:r>
      <w:bookmarkEnd w:id="106"/>
    </w:p>
    <w:p>
      <w:pPr>
        <w:pStyle w:val="RegisterText"/>
      </w:pPr>
      <w:r>
        <w:t>Calendar 2025 business-event visitors spent AUD 17.2 billion in Australia: AUD 2.3 billion international, AUD 12.0 billion domestic overnight, AUD 2.9 billion domestic day trips. These are trip expenditures, not a team-building market size.</w:t>
      </w:r>
    </w:p>
    <w:p>
      <w:pPr>
        <w:pStyle w:val="SourceNote"/>
        <w:keepNext/>
      </w:pPr>
      <w:r>
        <w:t>Checked 2026-10-29</w:t>
      </w:r>
    </w:p>
    <w:p>
      <w:pPr>
        <w:pStyle w:val="SourceNote"/>
      </w:pPr>
      <w:hyperlink r:id="rId74">
        <w:r>
          <w:rPr>
            <w:color w:val="275E67"/>
            <w:u w:val="single"/>
          </w:rPr>
          <w:t xml:space="preserve">https://www.tra.gov.au/en/tourism-statistics/business-events-data</w:t>
        </w:r>
      </w:hyperlink>
    </w:p>
    <w:p>
      <w:bookmarkStart w:id="107" w:name="source_M05"/>
      <w:pPr>
        <w:pStyle w:val="SourceTitle"/>
      </w:pPr>
      <w:r>
        <w:t>M05  Tourism Australia travel distribution system</w:t>
      </w:r>
      <w:bookmarkEnd w:id="107"/>
    </w:p>
    <w:p>
      <w:pPr>
        <w:pStyle w:val="RegisterText"/>
      </w:pPr>
      <w:r>
        <w:t>Indicative commissions: retail agents 10%, OTAs 10–15%, wholesalers 20%, inbound tour operators 30%. Guidance only, with gross and net rates distinguished.</w:t>
      </w:r>
    </w:p>
    <w:p>
      <w:pPr>
        <w:pStyle w:val="SourceNote"/>
        <w:keepNext/>
      </w:pPr>
      <w:r>
        <w:t>Checked 2026-10-29</w:t>
      </w:r>
    </w:p>
    <w:p>
      <w:pPr>
        <w:pStyle w:val="SourceNote"/>
      </w:pPr>
      <w:hyperlink r:id="rId75">
        <w:r>
          <w:rPr>
            <w:color w:val="275E67"/>
            <w:u w:val="single"/>
          </w:rPr>
          <w:t xml:space="preserve">https://www.tourism.australia.com/en/resources/industry-resources/trade-show-tips/the-travel-distribution-system.html</w:t>
        </w:r>
      </w:hyperlink>
    </w:p>
    <w:p>
      <w:bookmarkStart w:id="108" w:name="source_M06"/>
      <w:pPr>
        <w:pStyle w:val="SourceTitle"/>
      </w:pPr>
      <w:r>
        <w:t>M06  Tourism Australia ATDW distribution</w:t>
      </w:r>
      <w:bookmarkEnd w:id="108"/>
    </w:p>
    <w:p>
      <w:pPr>
        <w:pStyle w:val="RegisterText"/>
      </w:pPr>
      <w:r>
        <w:t>ATDW listings can distribute through state/territory websites, Australia.com and distributor network. Registration/approval through relevant state or territory organisation.</w:t>
      </w:r>
    </w:p>
    <w:p>
      <w:pPr>
        <w:pStyle w:val="SourceNote"/>
        <w:keepNext/>
      </w:pPr>
      <w:r>
        <w:t>Checked 2026-10-29</w:t>
      </w:r>
    </w:p>
    <w:p>
      <w:pPr>
        <w:pStyle w:val="SourceNote"/>
      </w:pPr>
      <w:hyperlink r:id="rId76">
        <w:r>
          <w:rPr>
            <w:color w:val="275E67"/>
            <w:u w:val="single"/>
          </w:rPr>
          <w:t xml:space="preserve">https://www.tourism.australia.com/en/resources/industry-resources/building-your-tourism-business/getting-your-product-on-australia-com.html</w:t>
        </w:r>
      </w:hyperlink>
    </w:p>
    <w:p>
      <w:bookmarkStart w:id="109" w:name="source_M07"/>
      <w:pPr>
        <w:pStyle w:val="SourceTitle"/>
      </w:pPr>
      <w:r>
        <w:t>M07  Fox in a Box Brisbane corporate events</w:t>
      </w:r>
      <w:bookmarkEnd w:id="109"/>
    </w:p>
    <w:p>
      <w:pPr>
        <w:pStyle w:val="RegisterText"/>
      </w:pPr>
      <w:r>
        <w:t>Ten rooms and up to 60 players simultaneously. One game AUD 45 per person, minimum 13. Two games AUD 80 per person, minimum 13, approximately 2.5–3 hours including a break. Groups 40+ receive exclusive use.</w:t>
      </w:r>
    </w:p>
    <w:p>
      <w:pPr>
        <w:pStyle w:val="SourceNote"/>
        <w:keepNext/>
      </w:pPr>
      <w:r>
        <w:t>Checked 2026-10-29</w:t>
      </w:r>
    </w:p>
    <w:p>
      <w:pPr>
        <w:pStyle w:val="SourceNote"/>
      </w:pPr>
      <w:hyperlink r:id="rId77">
        <w:r>
          <w:rPr>
            <w:color w:val="275E67"/>
            <w:u w:val="single"/>
          </w:rPr>
          <w:t xml:space="preserve">https://foxinaboxbrisbane.com/corporate-events/</w:t>
        </w:r>
      </w:hyperlink>
    </w:p>
    <w:p>
      <w:bookmarkStart w:id="110" w:name="source_M08"/>
      <w:pPr>
        <w:pStyle w:val="SourceTitle"/>
      </w:pPr>
      <w:r>
        <w:t>M08  Fox in a Box Brisbane FAQs</w:t>
      </w:r>
      <w:bookmarkEnd w:id="110"/>
    </w:p>
    <w:p>
      <w:pPr>
        <w:pStyle w:val="RegisterText"/>
      </w:pPr>
      <w:r>
        <w:t>Two to six players per room, selected rooms accept seven by request; two identical prison rooms support 12 head-to-head players. Up to 60 minutes gameplay and 90 minutes for the whole visit; arrive 15 minutes early.</w:t>
      </w:r>
    </w:p>
    <w:p>
      <w:pPr>
        <w:pStyle w:val="SourceNote"/>
        <w:keepNext/>
      </w:pPr>
      <w:r>
        <w:t>Checked 2026-10-29</w:t>
      </w:r>
    </w:p>
    <w:p>
      <w:pPr>
        <w:pStyle w:val="SourceNote"/>
      </w:pPr>
      <w:hyperlink r:id="rId78">
        <w:r>
          <w:rPr>
            <w:color w:val="275E67"/>
            <w:u w:val="single"/>
          </w:rPr>
          <w:t xml:space="preserve">https://foxinaboxbrisbane.com/</w:t>
        </w:r>
      </w:hyperlink>
    </w:p>
    <w:p>
      <w:bookmarkStart w:id="111" w:name="source_M09"/>
      <w:pPr>
        <w:pStyle w:val="SourceTitle"/>
      </w:pPr>
      <w:r>
        <w:t>M09  Red Lock pricing</w:t>
      </w:r>
      <w:bookmarkEnd w:id="111"/>
    </w:p>
    <w:p>
      <w:pPr>
        <w:pStyle w:val="RegisterText"/>
      </w:pPr>
      <w:r>
        <w:t>60-minute games: AUD 55 per person for two players, 47 for three, 45 for four, 42 for five and 40 for six or more. Weekday three-room package AUD 99 per person; extra rooms AUD 33. Minimum two players; Queensland school holidays excluded.</w:t>
      </w:r>
    </w:p>
    <w:p>
      <w:pPr>
        <w:pStyle w:val="SourceNote"/>
        <w:keepNext/>
      </w:pPr>
      <w:r>
        <w:t>Checked 2026-10-29</w:t>
      </w:r>
    </w:p>
    <w:p>
      <w:pPr>
        <w:pStyle w:val="SourceNote"/>
      </w:pPr>
      <w:hyperlink r:id="rId79">
        <w:r>
          <w:rPr>
            <w:color w:val="275E67"/>
            <w:u w:val="single"/>
          </w:rPr>
          <w:t xml:space="preserve">https://www.redlockescaperooms.com.au/pricing/</w:t>
        </w:r>
      </w:hyperlink>
    </w:p>
    <w:p>
      <w:bookmarkStart w:id="112" w:name="source_M10"/>
      <w:pPr>
        <w:pStyle w:val="SourceTitle"/>
      </w:pPr>
      <w:r>
        <w:t>M10  Team Escapes by Escape This capacity</w:t>
      </w:r>
      <w:bookmarkEnd w:id="112"/>
    </w:p>
    <w:p>
      <w:pPr>
        <w:pStyle w:val="RegisterText"/>
      </w:pPr>
      <w:r>
        <w:t>48 rooms across five venues: Perth CBD 14 rooms/108 players; Northbridge 9/62; Sydney CBD 10/66; Manly 3/18; Melbourne CBD 12/82. Total 336 at each maximum team size simultaneously. Operator data dated 29 October 2026.</w:t>
      </w:r>
    </w:p>
    <w:p>
      <w:pPr>
        <w:pStyle w:val="SourceNote"/>
        <w:keepNext/>
      </w:pPr>
      <w:r>
        <w:t>Checked 2026-10-29</w:t>
      </w:r>
    </w:p>
    <w:p>
      <w:pPr>
        <w:pStyle w:val="SourceNote"/>
      </w:pPr>
      <w:hyperlink r:id="rId80">
        <w:r>
          <w:rPr>
            <w:color w:val="275E67"/>
            <w:u w:val="single"/>
          </w:rPr>
          <w:t xml:space="preserve">https://www.teamescape.com.au/capacity/</w:t>
        </w:r>
      </w:hyperlink>
    </w:p>
    <w:p>
      <w:bookmarkStart w:id="113" w:name="source_M11"/>
      <w:pPr>
        <w:pStyle w:val="SourceTitle"/>
      </w:pPr>
      <w:r>
        <w:t>M11  The Great Escape Melbourne fitout case study</w:t>
      </w:r>
      <w:bookmarkEnd w:id="113"/>
    </w:p>
    <w:p>
      <w:pPr>
        <w:pStyle w:val="RegisterText"/>
      </w:pPr>
      <w:r>
        <w:t>1,240 m² entire floor with a nine-escape-room design, two nine-hole mini-golf courses, arcade, bar, kitchen and lounges. No individual game-room area or opening-capacity inference.</w:t>
      </w:r>
    </w:p>
    <w:p>
      <w:pPr>
        <w:pStyle w:val="SourceNote"/>
        <w:keepNext/>
      </w:pPr>
      <w:r>
        <w:t>Checked 2026-10-29</w:t>
      </w:r>
    </w:p>
    <w:p>
      <w:pPr>
        <w:pStyle w:val="SourceNote"/>
      </w:pPr>
      <w:hyperlink r:id="rId81">
        <w:r>
          <w:rPr>
            <w:color w:val="275E67"/>
            <w:u w:val="single"/>
          </w:rPr>
          <w:t xml:space="preserve">https://www.amicus.com.au/projects/the-great-escape-melbourne</w:t>
        </w:r>
      </w:hyperlink>
    </w:p>
    <w:p>
      <w:bookmarkStart w:id="114" w:name="source_M12"/>
      <w:pPr>
        <w:pStyle w:val="SourceTitle"/>
      </w:pPr>
      <w:r>
        <w:t>M12  The Great Escape current game overview</w:t>
      </w:r>
      <w:bookmarkEnd w:id="114"/>
    </w:p>
    <w:p>
      <w:pPr>
        <w:pStyle w:val="RegisterText"/>
      </w:pPr>
      <w:r>
        <w:t>Current banner states five of nine Melbourne CBD rooms open. Individual listed games generally 60 minutes and up to eight players. Catalogue also contains Carlton and coming-soon rooms.</w:t>
      </w:r>
    </w:p>
    <w:p>
      <w:pPr>
        <w:pStyle w:val="SourceNote"/>
        <w:keepNext/>
      </w:pPr>
      <w:r>
        <w:t>Checked 2026-10-29</w:t>
      </w:r>
    </w:p>
    <w:p>
      <w:pPr>
        <w:pStyle w:val="SourceNote"/>
      </w:pPr>
      <w:hyperlink r:id="rId82">
        <w:r>
          <w:rPr>
            <w:color w:val="275E67"/>
            <w:u w:val="single"/>
          </w:rPr>
          <w:t xml:space="preserve">https://greatescapeau.com/melbourne/game-overview/?venue=melbourne</w:t>
        </w:r>
      </w:hyperlink>
    </w:p>
    <w:p>
      <w:bookmarkStart w:id="115" w:name="source_M13"/>
      <w:pPr>
        <w:pStyle w:val="SourceTitle"/>
      </w:pPr>
      <w:r>
        <w:t>M13  Mission Sydney Trapped</w:t>
      </w:r>
      <w:bookmarkEnd w:id="115"/>
    </w:p>
    <w:p>
      <w:pPr>
        <w:pStyle w:val="RegisterText"/>
      </w:pPr>
      <w:r>
        <w:t>Trapped takes two to four players for 70 minutes. Its smallest lift chamber is about 6 m², a part of the set rather than the full adventure or venue area.</w:t>
      </w:r>
    </w:p>
    <w:p>
      <w:pPr>
        <w:pStyle w:val="SourceNote"/>
        <w:keepNext/>
      </w:pPr>
      <w:r>
        <w:t>Checked 2026-10-29</w:t>
      </w:r>
    </w:p>
    <w:p>
      <w:pPr>
        <w:pStyle w:val="SourceNote"/>
      </w:pPr>
      <w:hyperlink r:id="rId83">
        <w:r>
          <w:rPr>
            <w:color w:val="275E67"/>
            <w:u w:val="single"/>
          </w:rPr>
          <w:t xml:space="preserve">https://www.missionsydney.com/trapped/</w:t>
        </w:r>
      </w:hyperlink>
    </w:p>
    <w:p>
      <w:bookmarkStart w:id="116" w:name="source_M14"/>
      <w:pPr>
        <w:pStyle w:val="SourceTitle"/>
      </w:pPr>
      <w:r>
        <w:t>M14  Indestroom Australia supplier catalogue</w:t>
      </w:r>
      <w:bookmarkEnd w:id="116"/>
    </w:p>
    <w:p>
      <w:pPr>
        <w:pStyle w:val="RegisterText"/>
      </w:pPr>
      <w:r>
        <w:t>Published standard configurations: Jungle, 30–50 m², 2–8 players, AUD 42,500; Magic School, 30–50 m², 2–6 players, AUD 89,900; Pharaoh's Tomb, 30–70 m², 2–6 players, AUD 63,300; Vault-32, 40–80 m², 2–10 players, AUD 101,600; Enchanted Forest, 40–80 m², 2–8 players, AUD 63,100. Prices are converted from EUR. Standard production is 60 working days; custom production is 90. Installation usually takes 4–7 days. Freight, taxes and site works require an explicit offer. The default package includes hints, which this project excludes.</w:t>
      </w:r>
    </w:p>
    <w:p>
      <w:pPr>
        <w:pStyle w:val="SourceNote"/>
        <w:keepNext/>
      </w:pPr>
      <w:r>
        <w:t>Checked 2026-10-29</w:t>
      </w:r>
    </w:p>
    <w:p>
      <w:pPr>
        <w:pStyle w:val="SourceNote"/>
      </w:pPr>
      <w:hyperlink r:id="rId84">
        <w:r>
          <w:rPr>
            <w:color w:val="275E67"/>
            <w:u w:val="single"/>
          </w:rPr>
          <w:t xml:space="preserve">https://erworkshop.com/escape-room-supplier-australia/</w:t>
        </w:r>
      </w:hyperlink>
    </w:p>
    <w:p>
      <w:bookmarkStart w:id="117" w:name="source_M15"/>
      <w:pPr>
        <w:pStyle w:val="SourceTitle"/>
      </w:pPr>
      <w:r>
        <w:t>M15  Lost Locks founder interview</w:t>
      </w:r>
      <w:bookmarkEnd w:id="117"/>
    </w:p>
    <w:p>
      <w:pPr>
        <w:pStyle w:val="RegisterText"/>
      </w:pPr>
      <w:r>
        <w:t>Founder interview published 8 May 2023: they sought about 500 m² for up to ten rooms; six were open at interview with space for four more. Whole-premises search target, not a verified current area or count.</w:t>
      </w:r>
    </w:p>
    <w:p>
      <w:pPr>
        <w:pStyle w:val="SourceNote"/>
        <w:keepNext/>
      </w:pPr>
      <w:r>
        <w:t>Checked 2026-10-29</w:t>
      </w:r>
    </w:p>
    <w:p>
      <w:pPr>
        <w:pStyle w:val="SourceNote"/>
      </w:pPr>
      <w:hyperlink r:id="rId85">
        <w:r>
          <w:rPr>
            <w:color w:val="275E67"/>
            <w:u w:val="single"/>
          </w:rPr>
          <w:t xml:space="preserve">https://www.commercialrealestate.com.au/news/how-this-duo-built-an-escape-room-business-from-scratch-1211242/</w:t>
        </w:r>
      </w:hyperlink>
    </w:p>
    <w:p>
      <w:bookmarkStart w:id="118" w:name="source_M16"/>
      <w:pPr>
        <w:pStyle w:val="SourceTitle"/>
      </w:pPr>
      <w:r>
        <w:t>M16  Mystery Rooms Geelong consolidation and touring games</w:t>
      </w:r>
      <w:bookmarkEnd w:id="118"/>
    </w:p>
    <w:p>
      <w:pPr>
        <w:pStyle w:val="RegisterText"/>
      </w:pPr>
      <w:r>
        <w:t>Page updated 8 May 2026: Geelong physical games consolidated at Fitzroy; Dragon Magic on long-term residency at Beechworth Escape Rooms and Galaxy Rebellion at Worlds Beyond Albury. Vouchers are not valid at the partners.</w:t>
      </w:r>
    </w:p>
    <w:p>
      <w:pPr>
        <w:pStyle w:val="SourceNote"/>
        <w:keepNext/>
      </w:pPr>
      <w:r>
        <w:t>Checked 2026-10-29</w:t>
      </w:r>
    </w:p>
    <w:p>
      <w:pPr>
        <w:pStyle w:val="SourceNote"/>
      </w:pPr>
      <w:hyperlink r:id="rId86">
        <w:r>
          <w:rPr>
            <w:color w:val="275E67"/>
            <w:u w:val="single"/>
          </w:rPr>
          <w:t xml:space="preserve">https://themysteryrooms.com.au/escape-room-geelong/</w:t>
        </w:r>
      </w:hyperlink>
    </w:p>
    <w:p>
      <w:bookmarkStart w:id="119" w:name="source_M17"/>
      <w:pPr>
        <w:pStyle w:val="SourceTitle"/>
      </w:pPr>
      <w:r>
        <w:t>M17  Padlockd room catalogue</w:t>
      </w:r>
      <w:bookmarkEnd w:id="119"/>
    </w:p>
    <w:p>
      <w:pPr>
        <w:pStyle w:val="RegisterText"/>
      </w:pPr>
      <w:r>
        <w:t>Sixteen experiences advertised across several Gold Coast locations. This is not one building. Includes 30- and 60-minute formats.</w:t>
      </w:r>
    </w:p>
    <w:p>
      <w:pPr>
        <w:pStyle w:val="SourceNote"/>
        <w:keepNext/>
      </w:pPr>
      <w:r>
        <w:t>Checked 2026-10-29</w:t>
      </w:r>
    </w:p>
    <w:p>
      <w:pPr>
        <w:pStyle w:val="SourceNote"/>
      </w:pPr>
      <w:hyperlink r:id="rId87">
        <w:r>
          <w:rPr>
            <w:color w:val="275E67"/>
            <w:u w:val="single"/>
          </w:rPr>
          <w:t xml:space="preserve">https://padlockd.com.au/rooms/</w:t>
        </w:r>
      </w:hyperlink>
    </w:p>
    <w:p>
      <w:bookmarkStart w:id="120" w:name="source_M18"/>
      <w:pPr>
        <w:pStyle w:val="SourceTitle"/>
      </w:pPr>
      <w:r>
        <w:t>M18  Puzzled pricing</w:t>
      </w:r>
      <w:bookmarkEnd w:id="120"/>
    </w:p>
    <w:p>
      <w:pPr>
        <w:pStyle w:val="RegisterText"/>
      </w:pPr>
      <w:r>
        <w:t>Public price AUD 42 per person for groups of four to six, AUD 48 for two and AUD 45 for three.</w:t>
      </w:r>
    </w:p>
    <w:p>
      <w:pPr>
        <w:pStyle w:val="SourceNote"/>
        <w:keepNext/>
      </w:pPr>
      <w:r>
        <w:t>Checked 2026-10-29</w:t>
      </w:r>
    </w:p>
    <w:p>
      <w:pPr>
        <w:pStyle w:val="SourceNote"/>
      </w:pPr>
      <w:hyperlink r:id="rId88">
        <w:r>
          <w:rPr>
            <w:color w:val="275E67"/>
            <w:u w:val="single"/>
          </w:rPr>
          <w:t xml:space="preserve">https://puzzledroomescape.com.au/pricing/</w:t>
        </w:r>
      </w:hyperlink>
    </w:p>
    <w:p>
      <w:bookmarkStart w:id="121" w:name="source_M19"/>
      <w:pPr>
        <w:pStyle w:val="SourceTitle"/>
      </w:pPr>
      <w:r>
        <w:t>M19  Puzzled schools</w:t>
      </w:r>
      <w:bookmarkEnd w:id="121"/>
    </w:p>
    <w:p>
      <w:pPr>
        <w:pStyle w:val="RegisterText"/>
      </w:pPr>
      <w:r>
        <w:t>AUD 35 per person for the weekday student programme, minimum 20 participants; 60-minute play, maximum six per game.</w:t>
      </w:r>
    </w:p>
    <w:p>
      <w:pPr>
        <w:pStyle w:val="SourceNote"/>
        <w:keepNext/>
      </w:pPr>
      <w:r>
        <w:t>Checked 2026-10-29</w:t>
      </w:r>
    </w:p>
    <w:p>
      <w:pPr>
        <w:pStyle w:val="SourceNote"/>
      </w:pPr>
      <w:hyperlink r:id="rId89">
        <w:r>
          <w:rPr>
            <w:color w:val="275E67"/>
            <w:u w:val="single"/>
          </w:rPr>
          <w:t xml:space="preserve">https://puzzledroomescape.com.au/student-programs/</w:t>
        </w:r>
      </w:hyperlink>
    </w:p>
    <w:p>
      <w:bookmarkStart w:id="122" w:name="source_M20"/>
      <w:pPr>
        <w:pStyle w:val="SourceTitle"/>
      </w:pPr>
      <w:r>
        <w:t>M20  Project Immersive events</w:t>
      </w:r>
      <w:bookmarkEnd w:id="122"/>
    </w:p>
    <w:p>
      <w:pPr>
        <w:pStyle w:val="RegisterText"/>
      </w:pPr>
      <w:r>
        <w:t>AUD 44 per person for groups of 7–20, minimum three per game, up to a 50-minute game and a 90-minute whole event.</w:t>
      </w:r>
    </w:p>
    <w:p>
      <w:pPr>
        <w:pStyle w:val="SourceNote"/>
        <w:keepNext/>
      </w:pPr>
      <w:r>
        <w:t>Checked 2026-10-29</w:t>
      </w:r>
    </w:p>
    <w:p>
      <w:pPr>
        <w:pStyle w:val="SourceNote"/>
      </w:pPr>
      <w:hyperlink r:id="rId90">
        <w:r>
          <w:rPr>
            <w:color w:val="275E67"/>
            <w:u w:val="single"/>
          </w:rPr>
          <w:t xml:space="preserve">https://www.projectimmersive.com/events</w:t>
        </w:r>
      </w:hyperlink>
    </w:p>
    <w:p>
      <w:bookmarkStart w:id="123" w:name="source_M21"/>
      <w:pPr>
        <w:pStyle w:val="SourceTitle"/>
      </w:pPr>
      <w:r>
        <w:t>M21  TRA State and Regional Tourism Satellite Accounts</w:t>
      </w:r>
      <w:bookmarkEnd w:id="123"/>
    </w:p>
    <w:p>
      <w:pPr>
        <w:pStyle w:val="RegisterText"/>
      </w:pPr>
      <w:r>
        <w:t>2024–25 Queensland tourism consumption AUD 49.0 billion, including regional Queensland AUD 19.8643 billion with 4.8% growth. Consumption differs from trip spending and must not be added to the other TRA headline measures.</w:t>
      </w:r>
    </w:p>
    <w:p>
      <w:pPr>
        <w:pStyle w:val="SourceNote"/>
        <w:keepNext/>
      </w:pPr>
      <w:r>
        <w:t>Checked 2026-10-29</w:t>
      </w:r>
    </w:p>
    <w:p>
      <w:pPr>
        <w:pStyle w:val="SourceNote"/>
      </w:pPr>
      <w:hyperlink r:id="rId91">
        <w:r>
          <w:rPr>
            <w:color w:val="275E67"/>
            <w:u w:val="single"/>
          </w:rPr>
          <w:t xml:space="preserve">https://www.tra.gov.au/en/tourism-industry-analysis/state-and-regional-sta</w:t>
        </w:r>
      </w:hyperlink>
    </w:p>
    <w:p>
      <w:bookmarkStart w:id="124" w:name="source_M22"/>
      <w:pPr>
        <w:pStyle w:val="SourceTitle"/>
      </w:pPr>
      <w:r>
        <w:t>M22  Destination NSW tourism distribution</w:t>
      </w:r>
      <w:bookmarkEnd w:id="124"/>
    </w:p>
    <w:p>
      <w:pPr>
        <w:pStyle w:val="RegisterText"/>
      </w:pPr>
      <w:r>
        <w:t>Guidance recommends bookable products with commission included in pricing and connections with local government agencies and tourism associations for distribution.</w:t>
      </w:r>
    </w:p>
    <w:p>
      <w:pPr>
        <w:pStyle w:val="SourceNote"/>
        <w:keepNext/>
      </w:pPr>
      <w:r>
        <w:t>Checked 2026-10-29</w:t>
      </w:r>
    </w:p>
    <w:p>
      <w:pPr>
        <w:pStyle w:val="SourceNote"/>
      </w:pPr>
      <w:hyperlink r:id="rId92">
        <w:r>
          <w:rPr>
            <w:color w:val="275E67"/>
            <w:u w:val="single"/>
          </w:rPr>
          <w:t xml:space="preserve">https://www.destinationnsw.com.au/destination-nsw-business-support/nsw-first-program/how-to-sell-online-via-distribution-partners</w:t>
        </w:r>
      </w:hyperlink>
    </w:p>
    <w:p>
      <w:bookmarkStart w:id="125" w:name="source_M23"/>
      <w:pPr>
        <w:pStyle w:val="SourceTitle"/>
      </w:pPr>
      <w:r>
        <w:t>M23  Local Government Funding submission register</w:t>
      </w:r>
      <w:bookmarkEnd w:id="125"/>
    </w:p>
    <w:p>
      <w:pPr>
        <w:pStyle w:val="RegisterText"/>
      </w:pPr>
      <w:r>
        <w:t>The official register identifies Submission 2 by Mr Luke Nathan Hayes, a 263 KB PDF. The exact uploaded Missing Middle edition has not been recovered.</w:t>
      </w:r>
    </w:p>
    <w:p>
      <w:pPr>
        <w:pStyle w:val="SourceNote"/>
        <w:keepNext/>
      </w:pPr>
      <w:r>
        <w:t>Checked 2026-10-29</w:t>
      </w:r>
    </w:p>
    <w:p>
      <w:pPr>
        <w:pStyle w:val="SourceNote"/>
      </w:pPr>
      <w:hyperlink r:id="rId93">
        <w:r>
          <w:rPr>
            <w:color w:val="275E67"/>
            <w:u w:val="single"/>
          </w:rPr>
          <w:t xml:space="preserve">https://www.aph.gov.au/Parliamentary_Business/Committees/House/Regional_Development_Infrastructure_and_Transport/LocalGovernmentFunding/Submissions</w:t>
        </w:r>
      </w:hyperlink>
    </w:p>
    <w:p>
      <w:bookmarkStart w:id="126" w:name="source_M24"/>
      <w:pPr>
        <w:pStyle w:val="SourceTitle"/>
      </w:pPr>
      <w:r>
        <w:t>M24  Australian Curriculum, Personal and Social capability</w:t>
      </w:r>
      <w:bookmarkEnd w:id="126"/>
    </w:p>
    <w:p>
      <w:pPr>
        <w:pStyle w:val="RegisterText"/>
      </w:pPr>
      <w:r>
        <w:t>Curriculum mapping for communication, collaboration, reflective practice and conflict resolution.</w:t>
      </w:r>
    </w:p>
    <w:p>
      <w:pPr>
        <w:pStyle w:val="SourceNote"/>
        <w:keepNext/>
      </w:pPr>
      <w:r>
        <w:t>Checked 2026-10-29</w:t>
      </w:r>
    </w:p>
    <w:p>
      <w:pPr>
        <w:pStyle w:val="SourceNote"/>
      </w:pPr>
      <w:hyperlink r:id="rId94">
        <w:r>
          <w:rPr>
            <w:color w:val="275E67"/>
            <w:u w:val="single"/>
          </w:rPr>
          <w:t xml:space="preserve">https://www.australiancurriculum.edu.au/curriculum-information/understand-this-general-capability/personal-and-social-capability/</w:t>
        </w:r>
      </w:hyperlink>
    </w:p>
    <w:p>
      <w:bookmarkStart w:id="127" w:name="source_M25"/>
      <w:pPr>
        <w:pStyle w:val="SourceTitle"/>
      </w:pPr>
      <w:r>
        <w:t>M25  QCAA Personal and Social capability learning continuum</w:t>
      </w:r>
      <w:bookmarkEnd w:id="127"/>
    </w:p>
    <w:p>
      <w:pPr>
        <w:pStyle w:val="RegisterText"/>
      </w:pPr>
      <w:r>
        <w:t>Developmental continuum for selecting school-stage outcomes and planning suitable activities.</w:t>
      </w:r>
    </w:p>
    <w:p>
      <w:pPr>
        <w:pStyle w:val="SourceNote"/>
        <w:keepNext/>
      </w:pPr>
      <w:r>
        <w:t>Checked 2026-10-29</w:t>
      </w:r>
    </w:p>
    <w:p>
      <w:pPr>
        <w:pStyle w:val="SourceNote"/>
      </w:pPr>
      <w:hyperlink r:id="rId95">
        <w:r>
          <w:rPr>
            <w:color w:val="275E67"/>
            <w:u w:val="single"/>
          </w:rPr>
          <w:t xml:space="preserve">https://www.qcaa.qld.edu.au/downloads/aciqv9/general-resources/ac9_gc_personal_social_capability_learning_continuum.pdf</w:t>
        </w:r>
      </w:hyperlink>
    </w:p>
    <w:p>
      <w:bookmarkStart w:id="128" w:name="source_R101"/>
      <w:pPr>
        <w:pStyle w:val="SourceTitle"/>
      </w:pPr>
      <w:r>
        <w:t>R101  Fair Work, Amusement Events and Recreation Award, effective 1 July 2026</w:t>
      </w:r>
      <w:bookmarkEnd w:id="128"/>
    </w:p>
    <w:p>
      <w:pPr>
        <w:pStyle w:val="RegisterText"/>
      </w:pPr>
      <w:r>
        <w:t>Published example adult casual Grade 4 rates $36.81 ordinary and $51.54 Sunday; Grade 6 $39.11 and $54.76. Coverage and classifications require confirmation against actual duties.</w:t>
      </w:r>
    </w:p>
    <w:p>
      <w:pPr>
        <w:pStyle w:val="SourceNote"/>
        <w:keepNext/>
      </w:pPr>
      <w:r>
        <w:t>Checked 2026-10-29</w:t>
      </w:r>
    </w:p>
    <w:p>
      <w:pPr>
        <w:pStyle w:val="SourceNote"/>
      </w:pPr>
      <w:hyperlink r:id="rId96">
        <w:r>
          <w:rPr>
            <w:color w:val="275E67"/>
            <w:u w:val="single"/>
          </w:rPr>
          <w:t xml:space="preserve">https://awards.fairwork.gov.au/MA000080.html</w:t>
        </w:r>
      </w:hyperlink>
    </w:p>
    <w:p>
      <w:bookmarkStart w:id="129" w:name="source_R102"/>
      <w:pPr>
        <w:pStyle w:val="SourceTitle"/>
      </w:pPr>
      <w:r>
        <w:t>R102  ATO, calculating super guarantee</w:t>
      </w:r>
      <w:bookmarkEnd w:id="129"/>
    </w:p>
    <w:p>
      <w:pPr>
        <w:pStyle w:val="RegisterText"/>
      </w:pPr>
      <w:r>
        <w:t>Current super guarantee percentage 12%; apply to eligible earnings. This is separate from insurance, payroll tax and other employment costs.</w:t>
      </w:r>
    </w:p>
    <w:p>
      <w:pPr>
        <w:pStyle w:val="SourceNote"/>
        <w:keepNext/>
      </w:pPr>
      <w:r>
        <w:t>Checked 2026-10-29</w:t>
      </w:r>
    </w:p>
    <w:p>
      <w:pPr>
        <w:pStyle w:val="SourceNote"/>
      </w:pPr>
      <w:hyperlink r:id="rId97">
        <w:r>
          <w:rPr>
            <w:color w:val="275E67"/>
            <w:u w:val="single"/>
          </w:rPr>
          <w:t xml:space="preserve">https://smallbusiness.taxsuperandyou.gov.au/super-guarantee-employer-obligations/how-to-calculate-super-guarantee</w:t>
        </w:r>
      </w:hyperlink>
    </w:p>
    <w:p>
      <w:bookmarkStart w:id="130" w:name="source_R103"/>
      <w:pPr>
        <w:pStyle w:val="SourceTitle"/>
      </w:pPr>
      <w:r>
        <w:t>R103  Stripe Australia, current pricing</w:t>
      </w:r>
      <w:bookmarkEnd w:id="130"/>
    </w:p>
    <w:p>
      <w:pPr>
        <w:pStyle w:val="RegisterText"/>
      </w:pPr>
      <w:r>
        <w:t>Domestic online card fees listed on 29 October 2026 are 1.65% plus A$0.30, including GST. International cards are 3.5% plus A$0.30.</w:t>
      </w:r>
    </w:p>
    <w:p>
      <w:pPr>
        <w:pStyle w:val="SourceNote"/>
        <w:keepNext/>
      </w:pPr>
      <w:r>
        <w:t>Checked 2026-10-29</w:t>
      </w:r>
    </w:p>
    <w:p>
      <w:pPr>
        <w:pStyle w:val="SourceNote"/>
      </w:pPr>
      <w:hyperlink r:id="rId98">
        <w:r>
          <w:rPr>
            <w:color w:val="275E67"/>
            <w:u w:val="single"/>
          </w:rPr>
          <w:t xml:space="preserve">https://stripe.com/au/pricing</w:t>
        </w:r>
      </w:hyperlink>
    </w:p>
    <w:p>
      <w:bookmarkStart w:id="131" w:name="source_R104"/>
      <w:pPr>
        <w:pStyle w:val="SourceTitle"/>
      </w:pPr>
      <w:r>
        <w:t>R104  Dash Group, Brisbane labour hire charge rates</w:t>
      </w:r>
      <w:bookmarkEnd w:id="131"/>
    </w:p>
    <w:p>
      <w:pPr>
        <w:pStyle w:val="RegisterText"/>
      </w:pPr>
      <w:r>
        <w:t>Provider indicative charge rates excluding GST: general labour $55–60 per hour; carpenter $75–85; shopfitting and joinery $65–85. The final project, duration and location require a quotation.</w:t>
      </w:r>
    </w:p>
    <w:p>
      <w:pPr>
        <w:pStyle w:val="SourceNote"/>
        <w:keepNext/>
      </w:pPr>
      <w:r>
        <w:t>Checked 2026-10-29</w:t>
      </w:r>
    </w:p>
    <w:p>
      <w:pPr>
        <w:pStyle w:val="SourceNote"/>
      </w:pPr>
      <w:hyperlink r:id="rId99">
        <w:r>
          <w:rPr>
            <w:color w:val="275E67"/>
            <w:u w:val="single"/>
          </w:rPr>
          <w:t xml:space="preserve">https://dashgroup.net.au/labour-hire-brisbane</w:t>
        </w:r>
      </w:hyperlink>
    </w:p>
    <w:p>
      <w:bookmarkStart w:id="132" w:name="source_R105"/>
      <w:pPr>
        <w:pStyle w:val="SourceTitle"/>
      </w:pPr>
      <w:r>
        <w:t>R105  Voltora, Brisbane electrical attendance prices</w:t>
      </w:r>
      <w:bookmarkEnd w:id="132"/>
    </w:p>
    <w:p>
      <w:pPr>
        <w:pStyle w:val="RegisterText"/>
      </w:pPr>
      <w:r>
        <w:t>Business hours callout and first hour $258.50 including GST; additional hour $148.50 including GST, materials extra. These convert to $235 and $135 excluding GST.</w:t>
      </w:r>
    </w:p>
    <w:p>
      <w:pPr>
        <w:pStyle w:val="SourceNote"/>
        <w:keepNext/>
      </w:pPr>
      <w:r>
        <w:t>Checked 2026-10-29</w:t>
      </w:r>
    </w:p>
    <w:p>
      <w:pPr>
        <w:pStyle w:val="SourceNote"/>
      </w:pPr>
      <w:hyperlink r:id="rId100">
        <w:r>
          <w:rPr>
            <w:color w:val="275E67"/>
            <w:u w:val="single"/>
          </w:rPr>
          <w:t xml:space="preserve">https://www.voltoraindustries.com.au/</w:t>
        </w:r>
      </w:hyperlink>
    </w:p>
    <w:p>
      <w:bookmarkStart w:id="133" w:name="source_R106"/>
      <w:pPr>
        <w:pStyle w:val="SourceTitle"/>
      </w:pPr>
      <w:r>
        <w:t>R106  Store DJ, Rode Wireless PRO dual kit</w:t>
      </w:r>
      <w:bookmarkEnd w:id="133"/>
    </w:p>
    <w:p>
      <w:pPr>
        <w:pStyle w:val="RegisterText"/>
      </w:pPr>
      <w:r>
        <w:t>Listed $385; online stock available, Brisbane branch zero in page snapshot. Shipping offer subject to conditions. Promotional price dated 29 October.</w:t>
      </w:r>
    </w:p>
    <w:p>
      <w:pPr>
        <w:pStyle w:val="SourceNote"/>
        <w:keepNext/>
      </w:pPr>
      <w:r>
        <w:t>Checked 2026-10-29</w:t>
      </w:r>
    </w:p>
    <w:p>
      <w:pPr>
        <w:pStyle w:val="SourceNote"/>
      </w:pPr>
      <w:hyperlink r:id="rId101">
        <w:r>
          <w:rPr>
            <w:color w:val="275E67"/>
            <w:u w:val="single"/>
          </w:rPr>
          <w:t xml:space="preserve">https://www.storedj.com.au/products/rode-wireless-pro-dual-compact-wireless-mic-system-w-accessories-black</w:t>
        </w:r>
      </w:hyperlink>
    </w:p>
    <w:p>
      <w:bookmarkStart w:id="134" w:name="source_R107"/>
      <w:pPr>
        <w:pStyle w:val="SourceTitle"/>
      </w:pPr>
      <w:r>
        <w:t>R107  Rode, simultaneous Wireless PRO systems</w:t>
      </w:r>
      <w:bookmarkEnd w:id="134"/>
    </w:p>
    <w:p>
      <w:pPr>
        <w:pStyle w:val="RegisterText"/>
      </w:pPr>
      <w:r>
        <w:t>Manufacturer says up to four kits, eight transmitters, in one place. Consumer-kit prototype is not multiplied into an unengineered multi-room 24-channel system.</w:t>
      </w:r>
    </w:p>
    <w:p>
      <w:pPr>
        <w:pStyle w:val="SourceNote"/>
        <w:keepNext/>
      </w:pPr>
      <w:r>
        <w:t>Checked 2026-10-29</w:t>
      </w:r>
    </w:p>
    <w:p>
      <w:pPr>
        <w:pStyle w:val="SourceNote"/>
      </w:pPr>
      <w:hyperlink r:id="rId102">
        <w:r>
          <w:rPr>
            <w:color w:val="275E67"/>
            <w:u w:val="single"/>
          </w:rPr>
          <w:t xml:space="preserve">https://help.rode.com/hc/en-us/articles/9220351205135-Can-I-use-multiple-Wireless-PRO-kits-at-a-single-location</w:t>
        </w:r>
      </w:hyperlink>
    </w:p>
    <w:p>
      <w:bookmarkStart w:id="135" w:name="source_R108"/>
      <w:pPr>
        <w:pStyle w:val="SourceTitle"/>
      </w:pPr>
      <w:r>
        <w:t>R108  Better Music, Zoom LiveTrak L-8</w:t>
      </w:r>
      <w:bookmarkEnd w:id="135"/>
    </w:p>
    <w:p>
      <w:pPr>
        <w:pStyle w:val="RegisterText"/>
      </w:pPr>
      <w:r>
        <w:t>Listed $715, online backorder when inspected, shipping calculated separately; six independent preamps and SD multitrack recording.</w:t>
      </w:r>
    </w:p>
    <w:p>
      <w:pPr>
        <w:pStyle w:val="SourceNote"/>
        <w:keepNext/>
      </w:pPr>
      <w:r>
        <w:t>Checked 2026-10-29</w:t>
      </w:r>
    </w:p>
    <w:p>
      <w:pPr>
        <w:pStyle w:val="SourceNote"/>
      </w:pPr>
      <w:hyperlink r:id="rId103">
        <w:r>
          <w:rPr>
            <w:color w:val="275E67"/>
            <w:u w:val="single"/>
          </w:rPr>
          <w:t xml:space="preserve">https://www.bettermusic.com.au/products/zoom-l8-livetrak</w:t>
        </w:r>
      </w:hyperlink>
    </w:p>
    <w:p>
      <w:bookmarkStart w:id="136" w:name="source_R109"/>
      <w:pPr>
        <w:pStyle w:val="SourceTitle"/>
      </w:pPr>
      <w:r>
        <w:t>R109  Store DJ, Hosa CMP-159 breakout cable</w:t>
      </w:r>
      <w:bookmarkEnd w:id="136"/>
    </w:p>
    <w:p>
      <w:pPr>
        <w:pStyle w:val="RegisterText"/>
      </w:pPr>
      <w:r>
        <w:t>Listed $22, 3.5 mm stereo TRS to dual 6.35 mm mono TS, online in stock; single item shipping $10, qualifying order shipping conditions apply.</w:t>
      </w:r>
    </w:p>
    <w:p>
      <w:pPr>
        <w:pStyle w:val="SourceNote"/>
        <w:keepNext/>
      </w:pPr>
      <w:r>
        <w:t>Checked 2026-10-29</w:t>
      </w:r>
    </w:p>
    <w:p>
      <w:pPr>
        <w:pStyle w:val="SourceNote"/>
      </w:pPr>
      <w:hyperlink r:id="rId104">
        <w:r>
          <w:rPr>
            <w:color w:val="275E67"/>
            <w:u w:val="single"/>
          </w:rPr>
          <w:t xml:space="preserve">https://www.storedj.com.au/products/hosa-cmp-159-3-5mm-trs-to-dual-1-4-ts-stereo-breakout-cable-10ft</w:t>
        </w:r>
      </w:hyperlink>
    </w:p>
    <w:p>
      <w:bookmarkStart w:id="137" w:name="source_R110"/>
      <w:pPr>
        <w:pStyle w:val="SourceTitle"/>
      </w:pPr>
      <w:r>
        <w:t>R110  Officeworks, Matrix visitor chair</w:t>
      </w:r>
      <w:bookmarkEnd w:id="137"/>
    </w:p>
    <w:p>
      <w:pPr>
        <w:pStyle w:val="RegisterText"/>
      </w:pPr>
      <w:r>
        <w:t>Listed new price $179. Commercial seating comparison, not the same model as the used chair.</w:t>
      </w:r>
    </w:p>
    <w:p>
      <w:pPr>
        <w:pStyle w:val="SourceNote"/>
        <w:keepNext/>
      </w:pPr>
      <w:r>
        <w:t>Checked 2026-10-29</w:t>
      </w:r>
    </w:p>
    <w:p>
      <w:pPr>
        <w:pStyle w:val="SourceNote"/>
      </w:pPr>
      <w:hyperlink r:id="rId105">
        <w:r>
          <w:rPr>
            <w:color w:val="275E67"/>
            <w:u w:val="single"/>
          </w:rPr>
          <w:t xml:space="preserve">https://www.officeworks.com.au/shop/officeworks/p/matrix-visitor-chair-jbmatvmbk</w:t>
        </w:r>
      </w:hyperlink>
    </w:p>
    <w:p>
      <w:bookmarkStart w:id="138" w:name="source_R111"/>
      <w:pPr>
        <w:pStyle w:val="SourceTitle"/>
      </w:pPr>
      <w:r>
        <w:t>R111  Officeworks, Matrix visitor armchair</w:t>
      </w:r>
      <w:bookmarkEnd w:id="138"/>
    </w:p>
    <w:p>
      <w:pPr>
        <w:pStyle w:val="RegisterText"/>
      </w:pPr>
      <w:r>
        <w:t xml:space="preserve">New armchair listed in the associated Officeworks range at $199; product specifies 160 kg capacity and delivery surcharge. See range </w:t>
      </w:r>
      <w:hyperlink r:id="rId106">
        <w:r>
          <w:rPr>
            <w:color w:val="275E67"/>
            <w:u w:val="single"/>
          </w:rPr>
          <w:t xml:space="preserve">https://www.officeworks.com.au/shop/officeworks/c/furniture/chairs-seating/lounge-chairs</w:t>
        </w:r>
      </w:hyperlink>
      <w:r>
        <w:t>.</w:t>
      </w:r>
    </w:p>
    <w:p>
      <w:pPr>
        <w:pStyle w:val="SourceNote"/>
        <w:keepNext/>
      </w:pPr>
      <w:r>
        <w:t>Checked 2026-10-29</w:t>
      </w:r>
    </w:p>
    <w:p>
      <w:pPr>
        <w:pStyle w:val="SourceNote"/>
      </w:pPr>
      <w:hyperlink r:id="rId107">
        <w:r>
          <w:rPr>
            <w:color w:val="275E67"/>
            <w:u w:val="single"/>
          </w:rPr>
          <w:t xml:space="preserve">https://www.officeworks.com.au/shop/officeworks/p/matrix-mesh-visitor-armchair-black-jbmatvmabk</w:t>
        </w:r>
      </w:hyperlink>
    </w:p>
    <w:p>
      <w:bookmarkStart w:id="139" w:name="source_R112"/>
      <w:pPr>
        <w:pStyle w:val="SourceTitle"/>
      </w:pPr>
      <w:r>
        <w:t>R112  Danny's Desks, Chibel ex-hire chair</w:t>
      </w:r>
      <w:bookmarkEnd w:id="139"/>
    </w:p>
    <w:p>
      <w:pPr>
        <w:pStyle w:val="RegisterText"/>
      </w:pPr>
      <w:r>
        <w:t xml:space="preserve">Category lists $39. Product describes light scuffs, as-is clearance, no commercial/manufacturer warranty, 110 kg rating, Eagle Farm collection by appointment. Stock quantity and GST invoice to confirm. Category </w:t>
      </w:r>
      <w:hyperlink r:id="rId108">
        <w:r>
          <w:rPr>
            <w:color w:val="275E67"/>
            <w:u w:val="single"/>
          </w:rPr>
          <w:t xml:space="preserve">https://dannysdesks.com.au/product-category/clearance/clearance-visitor-chairs/</w:t>
        </w:r>
      </w:hyperlink>
      <w:r>
        <w:t>.</w:t>
      </w:r>
    </w:p>
    <w:p>
      <w:pPr>
        <w:pStyle w:val="SourceNote"/>
        <w:keepNext/>
      </w:pPr>
      <w:r>
        <w:t>Checked 2026-10-29</w:t>
      </w:r>
    </w:p>
    <w:p>
      <w:pPr>
        <w:pStyle w:val="SourceNote"/>
      </w:pPr>
      <w:hyperlink r:id="rId109">
        <w:r>
          <w:rPr>
            <w:color w:val="275E67"/>
            <w:u w:val="single"/>
          </w:rPr>
          <w:t xml:space="preserve">https://dannysdesks.com.au/product/chibel-office-chair-ex-hire-stock/</w:t>
        </w:r>
      </w:hyperlink>
    </w:p>
    <w:p>
      <w:bookmarkStart w:id="140" w:name="source_R113"/>
      <w:pPr>
        <w:pStyle w:val="SourceTitle"/>
      </w:pPr>
      <w:r>
        <w:t>R113  Officeworks, folding table range</w:t>
      </w:r>
      <w:bookmarkEnd w:id="140"/>
    </w:p>
    <w:p>
      <w:pPr>
        <w:pStyle w:val="RegisterText"/>
      </w:pPr>
      <w:r>
        <w:t>Rapidline folding table 1800 × 900 white listed at $292. Delivery-only fee to confirm for the site.</w:t>
      </w:r>
    </w:p>
    <w:p>
      <w:pPr>
        <w:pStyle w:val="SourceNote"/>
        <w:keepNext/>
      </w:pPr>
      <w:r>
        <w:t>Checked 2026-10-29</w:t>
      </w:r>
    </w:p>
    <w:p>
      <w:pPr>
        <w:pStyle w:val="SourceNote"/>
      </w:pPr>
      <w:hyperlink r:id="rId110">
        <w:r>
          <w:rPr>
            <w:color w:val="275E67"/>
            <w:u w:val="single"/>
          </w:rPr>
          <w:t xml:space="preserve">https://www.officeworks.com.au/shop/officeworks/c/furniture/desks-tables/folding-trestle-tables</w:t>
        </w:r>
      </w:hyperlink>
    </w:p>
    <w:p>
      <w:bookmarkStart w:id="141" w:name="source_R114"/>
      <w:pPr>
        <w:pStyle w:val="SourceTitle"/>
      </w:pPr>
      <w:r>
        <w:t>R114  Mack's Office Furniture, current second-hand catalogue</w:t>
      </w:r>
      <w:bookmarkEnd w:id="141"/>
    </w:p>
    <w:p>
      <w:pPr>
        <w:pStyle w:val="RegisterText"/>
      </w:pPr>
      <w:r>
        <w:t xml:space="preserve">Direct product pages list a used metal-frame desk, 1600 x 800 mm, at $150 including GST, listed 19 October 2026 and described as in good condition; and a used cupboard, 1600h x 900w x 430d mm, at $129 including GST, listed 23 October 2026. Both pages display availability, but required quantities and delivered cost remain unconfirmed. Central Victoria dealer. Direct product links: </w:t>
      </w:r>
      <w:hyperlink r:id="rId111">
        <w:r>
          <w:rPr>
            <w:color w:val="275E67"/>
            <w:u w:val="single"/>
          </w:rPr>
          <w:t xml:space="preserve">used metal-frame desk</w:t>
        </w:r>
      </w:hyperlink>
      <w:r>
        <w:t xml:space="preserve"> and </w:t>
      </w:r>
      <w:hyperlink r:id="rId112">
        <w:r>
          <w:rPr>
            <w:color w:val="275E67"/>
            <w:u w:val="single"/>
          </w:rPr>
          <w:t xml:space="preserve">used cupboard</w:t>
        </w:r>
      </w:hyperlink>
      <w:r>
        <w:t>.</w:t>
      </w:r>
    </w:p>
    <w:p>
      <w:pPr>
        <w:pStyle w:val="SourceNote"/>
        <w:keepNext/>
      </w:pPr>
      <w:r>
        <w:t>Checked 2026-10-29</w:t>
      </w:r>
    </w:p>
    <w:p>
      <w:pPr>
        <w:pStyle w:val="SourceNote"/>
      </w:pPr>
      <w:hyperlink r:id="rId113">
        <w:r>
          <w:rPr>
            <w:color w:val="275E67"/>
            <w:u w:val="single"/>
          </w:rPr>
          <w:t xml:space="preserve">https://www.macks.com.au/collections/second-hand-furniture</w:t>
        </w:r>
      </w:hyperlink>
    </w:p>
    <w:p>
      <w:bookmarkStart w:id="142" w:name="source_R115"/>
      <w:pPr>
        <w:pStyle w:val="SourceTitle"/>
      </w:pPr>
      <w:r>
        <w:t>R115  Australian Computer Traders, refurbished desktop range</w:t>
      </w:r>
      <w:bookmarkEnd w:id="142"/>
    </w:p>
    <w:p>
      <w:pPr>
        <w:pStyle w:val="RegisterText"/>
      </w:pPr>
      <w:r>
        <w:t>Grade A HP EliteDesk 800 G6 Mini, i5 tenth generation, 16 GB RAM, 256 GB SSD, Windows 11 listed $399. Intended as prototype capture/control computer, not a guaranteed multi-room AI inference server.</w:t>
      </w:r>
    </w:p>
    <w:p>
      <w:pPr>
        <w:pStyle w:val="SourceNote"/>
        <w:keepNext/>
      </w:pPr>
      <w:r>
        <w:t>Checked 2026-10-29</w:t>
      </w:r>
    </w:p>
    <w:p>
      <w:pPr>
        <w:pStyle w:val="SourceNote"/>
      </w:pPr>
      <w:hyperlink r:id="rId114">
        <w:r>
          <w:rPr>
            <w:color w:val="275E67"/>
            <w:u w:val="single"/>
          </w:rPr>
          <w:t xml:space="preserve">https://www.australiancomputertraders.com.au/</w:t>
        </w:r>
      </w:hyperlink>
    </w:p>
    <w:p>
      <w:bookmarkStart w:id="143" w:name="source_R116"/>
      <w:pPr>
        <w:pStyle w:val="SourceTitle"/>
      </w:pPr>
      <w:r>
        <w:t>R116  Scorptec, CyberPower UPS published range</w:t>
      </w:r>
      <w:bookmarkEnd w:id="143"/>
    </w:p>
    <w:p>
      <w:pPr>
        <w:pStyle w:val="RegisterText"/>
      </w:pPr>
      <w:r>
        <w:t>CP900EPFCLCDa 900 VA/540 W UPS listed $299 and in stock. Load and runtime must be verified for the chosen equipment; this does not supply emergency building systems.</w:t>
      </w:r>
    </w:p>
    <w:p>
      <w:pPr>
        <w:pStyle w:val="SourceNote"/>
        <w:keepNext/>
      </w:pPr>
      <w:r>
        <w:t>Checked 2026-10-29</w:t>
      </w:r>
    </w:p>
    <w:p>
      <w:pPr>
        <w:pStyle w:val="SourceNote"/>
      </w:pPr>
      <w:hyperlink r:id="rId115">
        <w:r>
          <w:rPr>
            <w:color w:val="275E67"/>
            <w:u w:val="single"/>
          </w:rPr>
          <w:t xml:space="preserve">https://www.scorptec.com.au/cyberpowerupsfreedel</w:t>
        </w:r>
      </w:hyperlink>
    </w:p>
    <w:p>
      <w:bookmarkStart w:id="144" w:name="source_R117"/>
      <w:pPr>
        <w:pStyle w:val="SourceTitle"/>
      </w:pPr>
      <w:r>
        <w:t>R117  Indestroom, Australian turnkey room catalogue</w:t>
      </w:r>
      <w:bookmarkEnd w:id="144"/>
    </w:p>
    <w:p>
      <w:pPr>
        <w:pStyle w:val="RegisterText"/>
      </w:pPr>
      <w:r>
        <w:t>Published AUD package benchmarks: Jungle $42,500; Magic School $89,900; Pharaoh $63,300; Vault32 $101,600. Standard configurations converted from EUR; request a fixed scope and terms. Freight, tax, site works and required design changes are not established by the headline.</w:t>
      </w:r>
    </w:p>
    <w:p>
      <w:pPr>
        <w:pStyle w:val="SourceNote"/>
        <w:keepNext/>
      </w:pPr>
      <w:r>
        <w:t>Checked 2026-10-29</w:t>
      </w:r>
    </w:p>
    <w:p>
      <w:pPr>
        <w:pStyle w:val="SourceNote"/>
      </w:pPr>
      <w:hyperlink r:id="rId84">
        <w:r>
          <w:rPr>
            <w:color w:val="275E67"/>
            <w:u w:val="single"/>
          </w:rPr>
          <w:t xml:space="preserve">https://erworkshop.com/escape-room-supplier-australia/</w:t>
        </w:r>
      </w:hyperlink>
    </w:p>
    <w:p>
      <w:bookmarkStart w:id="145" w:name="source_R118"/>
      <w:pPr>
        <w:pStyle w:val="SourceTitle"/>
      </w:pPr>
      <w:r>
        <w:t>R118  Property Now, 338 Lytton Road listing</w:t>
      </w:r>
      <w:bookmarkEnd w:id="145"/>
    </w:p>
    <w:p>
      <w:pPr>
        <w:pStyle w:val="RegisterText"/>
      </w:pPr>
      <w:r>
        <w:t>300 m² listing $6,750 per month plus GST and outgoings, last updated 22 September 2026. A comparable asking rent, not a selected or approved 400 m² venue.</w:t>
      </w:r>
    </w:p>
    <w:p>
      <w:pPr>
        <w:pStyle w:val="SourceNote"/>
        <w:keepNext/>
      </w:pPr>
      <w:r>
        <w:t>Checked 2026-10-29</w:t>
      </w:r>
    </w:p>
    <w:p>
      <w:pPr>
        <w:pStyle w:val="SourceNote"/>
      </w:pPr>
      <w:hyperlink r:id="rId116">
        <w:r>
          <w:rPr>
            <w:color w:val="275E67"/>
            <w:u w:val="single"/>
          </w:rPr>
          <w:t xml:space="preserve">https://www.commercialrealestate.com.au/property/338-lytton-road-morningside-qld-4170-18288980</w:t>
        </w:r>
      </w:hyperlink>
    </w:p>
    <w:p>
      <w:bookmarkStart w:id="146" w:name="source_R119"/>
      <w:pPr>
        <w:pStyle w:val="SourceTitle"/>
      </w:pPr>
      <w:r>
        <w:t>R119  Chase Commercial, 4/65 Riverside Place listing</w:t>
      </w:r>
      <w:bookmarkEnd w:id="146"/>
    </w:p>
    <w:p>
      <w:pPr>
        <w:pStyle w:val="RegisterText"/>
      </w:pPr>
      <w:r>
        <w:t>300 m² two-level office/storage listing $72,000 per year plus outgoings and GST, last updated 29 September 2026. Different layout from a single-level escape venue.</w:t>
      </w:r>
    </w:p>
    <w:p>
      <w:pPr>
        <w:pStyle w:val="SourceNote"/>
        <w:keepNext/>
      </w:pPr>
      <w:r>
        <w:t>Checked 2026-10-29</w:t>
      </w:r>
    </w:p>
    <w:p>
      <w:pPr>
        <w:pStyle w:val="SourceNote"/>
      </w:pPr>
      <w:hyperlink r:id="rId117">
        <w:r>
          <w:rPr>
            <w:color w:val="275E67"/>
            <w:u w:val="single"/>
          </w:rPr>
          <w:t xml:space="preserve">https://www.commercialrealestate.com.au/property/4-65-riverside-place-morningside-qld-4170-18314217</w:t>
        </w:r>
      </w:hyperlink>
    </w:p>
    <w:p>
      <w:bookmarkStart w:id="147" w:name="source_R120"/>
      <w:pPr>
        <w:pStyle w:val="SourceTitle"/>
      </w:pPr>
      <w:r>
        <w:t>R120  Alliance Electrical, Northern Rivers rates</w:t>
      </w:r>
      <w:bookmarkEnd w:id="147"/>
    </w:p>
    <w:p>
      <w:pPr>
        <w:pStyle w:val="RegisterText"/>
      </w:pPr>
      <w:r>
        <w:t>Northern Rivers NSW regional comparison only: first hour $190 excluding GST, later $110; effective 30 July 2026, materials and specified travel additional. Not used as a Brisbane quote.</w:t>
      </w:r>
    </w:p>
    <w:p>
      <w:pPr>
        <w:pStyle w:val="SourceNote"/>
        <w:keepNext/>
      </w:pPr>
      <w:r>
        <w:t>Checked 2026-10-29</w:t>
      </w:r>
    </w:p>
    <w:p>
      <w:pPr>
        <w:pStyle w:val="SourceNote"/>
      </w:pPr>
      <w:hyperlink r:id="rId118">
        <w:r>
          <w:rPr>
            <w:color w:val="275E67"/>
            <w:u w:val="single"/>
          </w:rPr>
          <w:t xml:space="preserve">https://allianceelectrical.com.au/rates</w:t>
        </w:r>
      </w:hyperlink>
    </w:p>
    <w:p>
      <w:bookmarkStart w:id="148" w:name="source_R121"/>
      <w:pPr>
        <w:pStyle w:val="SourceTitle"/>
      </w:pPr>
      <w:r>
        <w:t>R121  OpenAI, current API prices</w:t>
      </w:r>
      <w:bookmarkEnd w:id="148"/>
    </w:p>
    <w:p>
      <w:pPr>
        <w:pStyle w:val="RegisterText"/>
      </w:pPr>
      <w:r>
        <w:t>Current file transcription gpt-transcribe estimated US$0.0045/minute; live transcription US$0.017/minute. Standard gpt-6.1-sol US$2/million input and US$10/million output tokens; web search US$10/1000 calls plus content tokens; file search US$2.50/1000 calls. These are current unit-price benchmarks, not model selections or subscriptions.</w:t>
      </w:r>
    </w:p>
    <w:p>
      <w:pPr>
        <w:pStyle w:val="SourceNote"/>
        <w:keepNext/>
      </w:pPr>
      <w:r>
        <w:t>Checked 2026-10-29</w:t>
      </w:r>
    </w:p>
    <w:p>
      <w:pPr>
        <w:pStyle w:val="SourceNote"/>
      </w:pPr>
      <w:hyperlink r:id="rId119">
        <w:r>
          <w:rPr>
            <w:color w:val="275E67"/>
            <w:u w:val="single"/>
          </w:rPr>
          <w:t xml:space="preserve">https://developers.openai.com/api/docs/pricing</w:t>
        </w:r>
      </w:hyperlink>
    </w:p>
    <w:p>
      <w:bookmarkStart w:id="149" w:name="source_R122"/>
      <w:pPr>
        <w:pStyle w:val="SourceTitle"/>
      </w:pPr>
      <w:r>
        <w:t>R122  OpenAI, current transcription workflows</w:t>
      </w:r>
      <w:bookmarkEnd w:id="149"/>
    </w:p>
    <w:p>
      <w:pPr>
        <w:pStyle w:val="RegisterText"/>
      </w:pPr>
      <w:r>
        <w:t>Recommends gpt-transcribe for recorded files and gpt-live-transcribe for live incoming audio. Older whisper/4o transcription models are deprecated; this budget uses the current file benchmark.</w:t>
      </w:r>
    </w:p>
    <w:p>
      <w:pPr>
        <w:pStyle w:val="SourceNote"/>
        <w:keepNext/>
      </w:pPr>
      <w:r>
        <w:t>Checked 2026-10-29</w:t>
      </w:r>
    </w:p>
    <w:p>
      <w:pPr>
        <w:pStyle w:val="SourceNote"/>
      </w:pPr>
      <w:hyperlink r:id="rId120">
        <w:r>
          <w:rPr>
            <w:color w:val="275E67"/>
            <w:u w:val="single"/>
          </w:rPr>
          <w:t xml:space="preserve">https://developers.openai.com/api/docs/guides/transcription</w:t>
        </w:r>
      </w:hyperlink>
    </w:p>
    <w:p>
      <w:bookmarkStart w:id="150" w:name="source_R123"/>
      <w:pPr>
        <w:pStyle w:val="SourceTitle"/>
      </w:pPr>
      <w:r>
        <w:t>R123  OpenAI, API credit currency</w:t>
      </w:r>
      <w:bookmarkEnd w:id="150"/>
    </w:p>
    <w:p>
      <w:pPr>
        <w:pStyle w:val="RegisterText"/>
      </w:pPr>
      <w:r>
        <w:t>API credit purchases are currently limited to USD. Translate actual invoice amounts using the actual AUD conversion and separately record taxes and payment charges.</w:t>
      </w:r>
    </w:p>
    <w:p>
      <w:pPr>
        <w:pStyle w:val="SourceNote"/>
        <w:keepNext/>
      </w:pPr>
      <w:r>
        <w:t>Checked 2026-10-29</w:t>
      </w:r>
    </w:p>
    <w:p>
      <w:pPr>
        <w:pStyle w:val="SourceNote"/>
      </w:pPr>
      <w:hyperlink r:id="rId121">
        <w:r>
          <w:rPr>
            <w:color w:val="275E67"/>
            <w:u w:val="single"/>
          </w:rPr>
          <w:t xml:space="preserve">https://help.openai.com/en/articles/10421635-multicurrency-billing</w:t>
        </w:r>
      </w:hyperlink>
    </w:p>
    <w:p>
      <w:bookmarkStart w:id="151" w:name="source_R124"/>
      <w:pPr>
        <w:pStyle w:val="SourceTitle"/>
      </w:pPr>
      <w:r>
        <w:t>R124  Deepgram, processed multichannel duration pricing rule</w:t>
      </w:r>
      <w:bookmarkEnd w:id="151"/>
    </w:p>
    <w:p>
      <w:pPr>
        <w:pStyle w:val="RegisterText"/>
      </w:pPr>
      <w:r>
        <w:t>The official pricing page says multichannel processing is billed by total processed duration across channels. This supports the conservative separate-channel volume method; the selected unit-price example is a separate OpenAI file transcription benchmark.</w:t>
      </w:r>
    </w:p>
    <w:p>
      <w:pPr>
        <w:pStyle w:val="SourceNote"/>
        <w:keepNext/>
      </w:pPr>
      <w:r>
        <w:t>Checked 2026-10-29</w:t>
      </w:r>
    </w:p>
    <w:p>
      <w:pPr>
        <w:pStyle w:val="SourceNote"/>
      </w:pPr>
      <w:hyperlink r:id="rId122">
        <w:r>
          <w:rPr>
            <w:color w:val="275E67"/>
            <w:u w:val="single"/>
          </w:rPr>
          <w:t xml:space="preserve">https://deepgram.com/pricing</w:t>
        </w:r>
      </w:hyperlink>
    </w:p>
    <w:p>
      <w:bookmarkStart w:id="152" w:name="rights"/>
      <w:pPr>
        <w:pStyle w:val="Heading1"/>
        <w:spacing w:before="360"/>
      </w:pPr>
      <w:r>
        <w:t>Rights and provenance</w:t>
      </w:r>
      <w:bookmarkEnd w:id="152"/>
    </w:p>
    <w:p>
      <w:pPr/>
      <w:r>
        <w:t>Original business direction and manuscript: Luke Nathan Hayes / Strange But True / Aura of Intelligence.</w:t>
      </w:r>
    </w:p>
    <w:p>
      <w:pPr/>
      <w:r>
        <w:t>The Strange But True Public Source Licence is copied from Installing the Missing Middle, changing only the project identifier to escape-room-team-building. The substantive terms are unchanged. No Creative Commons or blanket open-source licence has been substituted.</w:t>
      </w:r>
    </w:p>
    <w:p>
      <w:pPr/>
      <w:r>
        <w:t>The presentation follows the established Installing the Missing Middle styling and navigation. Original source documents are preserved byte-for-byte, with their own dates, wording and rights. The source register identifies the material available in the reference archive and how it informs this plan.</w:t>
      </w:r>
    </w:p>
    <w:p>
      <w:pPr/>
      <w:r>
        <w:t>New page heroes are generated concept artwork commissioned for this business plan. Their prompts, local asset paths and generation provenance are retained in content/artwork.json. They illustrate the proposed experience, places and work, and do not establish a completed venue or institutional endorsement.</w:t>
      </w:r>
    </w:p>
    <w:p>
      <w:pPr/>
      <w:r>
        <w:t>Third-party libraries, source documents, services and externally linked material retain their own rights. No font files are bundled.</w:t>
      </w:r>
    </w:p>
    <w:p>
      <w:bookmarkStart w:id="153" w:name="licence"/>
      <w:pPr>
        <w:pStyle w:val="Heading1"/>
        <w:spacing w:before="360"/>
      </w:pPr>
      <w:r>
        <w:t>Strange But True Public Source Licence</w:t>
      </w:r>
      <w:bookmarkEnd w:id="153"/>
    </w:p>
    <w:p>
      <w:pPr>
        <w:spacing w:after="100"/>
      </w:pPr>
      <w:r>
        <w:t>Copyright (c) 2026 Luke Nathan Hayes / Strange But True / Aura of Intelligence. All rights reserved except as allowed below.</w:t>
      </w:r>
    </w:p>
    <w:p>
      <w:pPr>
        <w:spacing w:after="100"/>
      </w:pPr>
      <w:r>
        <w:t>This is a plain-language licence for escape-room-team-building.</w:t>
      </w:r>
    </w:p>
    <w:p>
      <w:pPr>
        <w:spacing w:after="100"/>
      </w:pPr>
      <w:r>
        <w:t>This is not an open-source licence. It is a public source licence: people can read, learn from and use the work personally, but commercial and corporate rights stay with Luke Nathan Hayes.</w:t>
      </w:r>
    </w:p>
    <w:p>
      <w:pPr>
        <w:pStyle w:val="Heading2"/>
        <w:spacing w:before="240"/>
      </w:pPr>
      <w:r>
        <w:t>1. What You Can Do</w:t>
      </w:r>
    </w:p>
    <w:p>
      <w:pPr>
        <w:spacing w:after="100"/>
      </w:pPr>
      <w:r>
        <w:t>You may view, share, clone, study, reference and adapt this repo for personal, educational, artistic, research, community or other non-commercial use.</w:t>
      </w:r>
    </w:p>
    <w:p>
      <w:pPr>
        <w:spacing w:after="100"/>
      </w:pPr>
      <w:r>
        <w:t>You may use a personal AI assistant to help read, explain or adapt the repo for those allowed non-commercial uses.</w:t>
      </w:r>
    </w:p>
    <w:p>
      <w:pPr>
        <w:spacing w:after="100"/>
      </w:pPr>
      <w:r>
        <w:t>If you use or adapt the work, give clear credit:</w:t>
      </w:r>
    </w:p>
    <w:p>
      <w:pPr>
        <w:spacing w:after="100"/>
      </w:pPr>
      <w:r>
        <w:t xml:space="preserve">Based on escape-room-team-building by Luke Nathan Hayes / Strange But True / Aura of Intelligence. Original project: </w:t>
      </w:r>
      <w:hyperlink r:id="rId123">
        <w:r>
          <w:rPr>
            <w:color w:val="275E67"/>
            <w:u w:val="single"/>
          </w:rPr>
          <w:t xml:space="preserve">https://github.com/auraofintelligence/escape-room-team-building</w:t>
        </w:r>
      </w:hyperlink>
      <w:r/>
      <w:r>
        <w:t xml:space="preserve"> Used under the Strange But True Public Source Licence.</w:t>
      </w:r>
    </w:p>
    <w:p>
      <w:pPr>
        <w:pStyle w:val="Heading2"/>
        <w:spacing w:before="240"/>
      </w:pPr>
      <w:r>
        <w:t>2. What You Cannot Do Without Permission</w:t>
      </w:r>
    </w:p>
    <w:p>
      <w:pPr>
        <w:spacing w:after="100"/>
      </w:pPr>
      <w:r>
        <w:t>You may not use this repo, its code, ideas, text, designs, workflows, data structures, assets, names or close derivatives for commercial, corporate, institutional, government, startup, agency, client or employer purposes without written permission from Luke Nathan Hayes.</w:t>
      </w:r>
    </w:p>
    <w:p>
      <w:pPr>
        <w:spacing w:after="100"/>
      </w:pPr>
      <w:r>
        <w:t>That means you may not:</w:t>
      </w:r>
    </w:p>
    <w:p>
      <w:pPr>
        <w:pStyle w:val="ListBullet"/>
        <w:spacing w:after="100"/>
      </w:pPr>
      <w:r>
        <w:t>sell, monetise, repackage, licence, sponsor, advertise with or commercially distribute the work;</w:t>
      </w:r>
    </w:p>
    <w:p>
      <w:pPr>
        <w:pStyle w:val="ListBullet"/>
        <w:spacing w:after="100"/>
      </w:pPr>
      <w:r>
        <w:t>use it in paid products, SaaS tools, client work, consulting, courses, workshops, dashboards, templates or commercial infrastructure;</w:t>
      </w:r>
    </w:p>
    <w:p>
      <w:pPr>
        <w:pStyle w:val="ListBullet"/>
        <w:spacing w:after="100"/>
      </w:pPr>
      <w:r>
        <w:t>use it inside a company, agency, startup, institution, government body or funded commercial project;</w:t>
      </w:r>
    </w:p>
    <w:p>
      <w:pPr>
        <w:pStyle w:val="ListBullet"/>
        <w:spacing w:after="100"/>
      </w:pPr>
      <w:r>
        <w:t>use it for commercial AI training, datasets, embeddings, knowledge bases, agents, model products or evaluation systems;</w:t>
      </w:r>
    </w:p>
    <w:p>
      <w:pPr>
        <w:pStyle w:val="ListBullet"/>
        <w:spacing w:after="100"/>
      </w:pPr>
      <w:r>
        <w:t>remove attribution or present the work as your own;</w:t>
      </w:r>
    </w:p>
    <w:p>
      <w:pPr>
        <w:pStyle w:val="ListBullet"/>
        <w:spacing w:after="100"/>
      </w:pPr>
      <w:r>
        <w:t>use Strange But True, Aura of Intelligence, Luke Nathan Hayes, project names, screenshots, music, writing, images or brand material to imply endorsement, partnership or approval.</w:t>
      </w:r>
    </w:p>
    <w:p>
      <w:pPr>
        <w:pStyle w:val="Heading2"/>
        <w:spacing w:before="240"/>
      </w:pPr>
      <w:r>
        <w:t>3. Commercial Rights</w:t>
      </w:r>
    </w:p>
    <w:p>
      <w:pPr>
        <w:spacing w:after="100"/>
      </w:pPr>
      <w:r>
        <w:t>All commercial rights are reserved to Luke Nathan Hayes.</w:t>
      </w:r>
    </w:p>
    <w:p>
      <w:pPr>
        <w:spacing w:after="100"/>
      </w:pPr>
      <w:r>
        <w:t>Commercial use requires written permission from Luke Nathan Hayes. Permission can be granted, denied, limited, priced or handled under a separate agreement.</w:t>
      </w:r>
    </w:p>
    <w:p>
      <w:pPr>
        <w:pStyle w:val="Heading2"/>
        <w:spacing w:before="240"/>
      </w:pPr>
      <w:r>
        <w:t>4. Your Own Outputs</w:t>
      </w:r>
    </w:p>
    <w:p>
      <w:pPr>
        <w:spacing w:after="100"/>
      </w:pPr>
      <w:r>
        <w:t>If this repo lets you create your own notes, Markdown files, exports, maps, profiles, plans or other personal outputs, those outputs belong to you.</w:t>
      </w:r>
    </w:p>
    <w:p>
      <w:pPr>
        <w:spacing w:after="100"/>
      </w:pPr>
      <w:r>
        <w:t>You are responsible for what you put into the tool, what you export, and where you share it.</w:t>
      </w:r>
    </w:p>
    <w:p>
      <w:pPr>
        <w:pStyle w:val="Heading2"/>
        <w:spacing w:before="240"/>
      </w:pPr>
      <w:r>
        <w:t>5. Third-Party Material</w:t>
      </w:r>
    </w:p>
    <w:p>
      <w:pPr>
        <w:spacing w:after="100"/>
      </w:pPr>
      <w:r>
        <w:t>This licence only covers original material created by Luke Nathan Hayes / Strange But True / Aura of Intelligence.</w:t>
      </w:r>
    </w:p>
    <w:p>
      <w:pPr>
        <w:spacing w:after="100"/>
      </w:pPr>
      <w:r>
        <w:t>Third-party libraries, fonts, APIs, platforms, services or embedded material keep their own licences.</w:t>
      </w:r>
    </w:p>
    <w:p>
      <w:pPr>
        <w:pStyle w:val="Heading2"/>
        <w:spacing w:before="240"/>
      </w:pPr>
      <w:r>
        <w:t>6. No Harmful Or Misleading Use</w:t>
      </w:r>
    </w:p>
    <w:p>
      <w:pPr>
        <w:spacing w:after="100"/>
      </w:pPr>
      <w:r>
        <w:t>You may not use this repo or its material for deceptive, exploitative, aggressive, hateful, harassing, unsafe or harmful purposes.</w:t>
      </w:r>
    </w:p>
    <w:p>
      <w:pPr>
        <w:spacing w:after="100"/>
      </w:pPr>
      <w:r>
        <w:t>You may not use it to mislead people about privacy, security, law, finance, health, public safety, governance, crypto, AI capability or current events.</w:t>
      </w:r>
    </w:p>
    <w:p>
      <w:pPr>
        <w:pStyle w:val="Heading2"/>
        <w:spacing w:before="240"/>
      </w:pPr>
      <w:r>
        <w:t>7. No Warranty</w:t>
      </w:r>
    </w:p>
    <w:p>
      <w:pPr>
        <w:spacing w:after="100"/>
      </w:pPr>
      <w:r>
        <w:t>This repo is provided as-is.</w:t>
      </w:r>
    </w:p>
    <w:p>
      <w:pPr>
        <w:spacing w:after="100"/>
      </w:pPr>
      <w:r>
        <w:t>Luke Nathan Hayes / Strange But True / Aura of Intelligence make no warranties and accept no liability for how you use, adapt, interpret, deploy or rely on this material.</w:t>
      </w:r>
    </w:p>
    <w:p>
      <w:pPr>
        <w:spacing w:after="100"/>
      </w:pPr>
      <w:r>
        <w:t>Public prototypes are not finished legal, medical, financial, privacy, security, public-safety, governance, crypto, AI-governance or production infrastructure unless Luke Nathan Hayes explicitly says so in writing.</w:t>
      </w:r>
    </w:p>
    <w:sectPr w:rsidR="00FC693F" w:rsidRPr="0006063C" w:rsidSect="00034616">
      <w:footerReference w:type="default" r:id="rId9"/>
      <w:pgSz w:w="12240" w:h="15840"/>
      <w:pgMar w:top="936" w:right="1044" w:bottom="936" w:left="1044" w:header="317"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Metadata"/>
      <w:tabs>
        <w:tab w:pos="10152" w:val="right"/>
      </w:tabs>
      <w:spacing w:after="0"/>
    </w:pPr>
    <w:r>
      <w:t>Escape Room Team Building  |  Luke Nathan Hayes</w:t>
      <w:tab/>
    </w:r>
    <w:r>
      <w:fldChar w:fldCharType="begin"/>
    </w:r>
    <w:r>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40"/>
    </w:pPr>
    <w:rPr>
      <w:rFonts w:ascii="Arial" w:hAnsi="Arial" w:eastAsia="Arial" w:cs="Arial"/>
      <w:b w:val="0"/>
      <w:color w:val="000000"/>
      <w:sz w:val="22"/>
      <w:lang w:val="en-AU"/>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54" w:lineRule="auto"/>
      <w:outlineLvl w:val="0"/>
    </w:pPr>
    <w:rPr>
      <w:rFonts w:asciiTheme="majorHAnsi" w:eastAsiaTheme="majorEastAsia" w:hAnsiTheme="majorHAnsi" w:cstheme="majorBidi" w:ascii="Arial" w:hAnsi="Arial" w:eastAsia="Arial" w:cs="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40" w:line="254" w:lineRule="auto"/>
      <w:outlineLvl w:val="1"/>
    </w:pPr>
    <w:rPr>
      <w:rFonts w:asciiTheme="majorHAnsi" w:eastAsiaTheme="majorEastAsia" w:hAnsiTheme="majorHAnsi" w:cstheme="majorBidi" w:ascii="Arial" w:hAnsi="Arial" w:eastAsia="Arial" w:cs="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254" w:lineRule="auto"/>
      <w:outlineLvl w:val="2"/>
    </w:pPr>
    <w:rPr>
      <w:rFonts w:asciiTheme="majorHAnsi" w:eastAsiaTheme="majorEastAsia" w:hAnsiTheme="majorHAnsi" w:cstheme="majorBidi" w:ascii="Arial" w:hAnsi="Arial" w:eastAsia="Arial" w:cs="Arial"/>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00" w:line="254" w:lineRule="auto" w:before="0"/>
      <w:contextualSpacing/>
    </w:pPr>
    <w:rPr>
      <w:rFonts w:asciiTheme="majorHAnsi" w:eastAsiaTheme="majorEastAsia" w:hAnsiTheme="majorHAnsi" w:cstheme="majorBidi" w:ascii="Arial" w:hAnsi="Arial" w:eastAsia="Arial" w:cs="Arial"/>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keepLines/>
      <w:numPr>
        <w:ilvl w:val="1"/>
      </w:numPr>
      <w:spacing w:before="0" w:after="100" w:line="254" w:lineRule="auto"/>
    </w:pPr>
    <w:rPr>
      <w:rFonts w:asciiTheme="majorHAnsi" w:eastAsiaTheme="majorEastAsia" w:hAnsiTheme="majorHAnsi" w:cstheme="majorBidi" w:ascii="Arial" w:hAnsi="Arial" w:eastAsia="Arial" w:cs="Arial"/>
      <w:b w:val="0"/>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264" w:lineRule="auto" w:after="100"/>
      <w:contextualSpacing/>
    </w:pPr>
    <w:rPr>
      <w:rFonts w:ascii="Arial" w:hAnsi="Arial" w:eastAsia="Arial" w:cs="Arial"/>
      <w:b w:val="0"/>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264" w:lineRule="auto" w:after="100"/>
      <w:contextualSpacing/>
    </w:pPr>
    <w:rPr>
      <w:rFonts w:ascii="Arial" w:hAnsi="Arial" w:eastAsia="Arial" w:cs="Arial"/>
      <w:b w:val="0"/>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ad">
    <w:name w:val="Lead"/>
    <w:basedOn w:val="Normal"/>
    <w:pPr>
      <w:spacing w:line="264" w:lineRule="auto" w:after="120"/>
    </w:pPr>
    <w:rPr>
      <w:rFonts w:ascii="Arial" w:hAnsi="Arial" w:eastAsia="Arial" w:cs="Arial"/>
      <w:b w:val="0"/>
      <w:color w:val="000000"/>
      <w:sz w:val="26"/>
    </w:rPr>
  </w:style>
  <w:style w:type="paragraph" w:customStyle="1" w:styleId="Metadata">
    <w:name w:val="Metadata"/>
    <w:basedOn w:val="Normal"/>
    <w:pPr>
      <w:spacing w:line="264" w:lineRule="auto" w:after="120"/>
    </w:pPr>
    <w:rPr>
      <w:rFonts w:ascii="Arial" w:hAnsi="Arial" w:eastAsia="Arial" w:cs="Arial"/>
      <w:b w:val="0"/>
      <w:color w:val="526568"/>
      <w:sz w:val="19"/>
    </w:rPr>
  </w:style>
  <w:style w:type="paragraph" w:customStyle="1" w:styleId="SourceNote">
    <w:name w:val="SourceNote"/>
    <w:basedOn w:val="Normal"/>
    <w:pPr>
      <w:spacing w:line="264" w:lineRule="auto" w:after="120"/>
    </w:pPr>
    <w:rPr>
      <w:rFonts w:ascii="Arial" w:hAnsi="Arial" w:eastAsia="Arial" w:cs="Arial"/>
      <w:b w:val="0"/>
      <w:color w:val="526568"/>
      <w:sz w:val="18"/>
    </w:rPr>
  </w:style>
  <w:style w:type="paragraph" w:customStyle="1" w:styleId="TableText">
    <w:name w:val="TableText"/>
    <w:basedOn w:val="Normal"/>
    <w:pPr>
      <w:spacing w:line="254" w:lineRule="auto" w:after="0"/>
    </w:pPr>
    <w:rPr>
      <w:rFonts w:ascii="Arial" w:hAnsi="Arial" w:eastAsia="Arial" w:cs="Arial"/>
      <w:b w:val="0"/>
      <w:color w:val="000000"/>
      <w:sz w:val="20"/>
    </w:rPr>
  </w:style>
  <w:style w:type="paragraph" w:customStyle="1" w:styleId="TableHead">
    <w:name w:val="TableHead"/>
    <w:basedOn w:val="Normal"/>
    <w:pPr>
      <w:keepNext/>
      <w:spacing w:line="254" w:lineRule="auto" w:after="0"/>
    </w:pPr>
    <w:rPr>
      <w:rFonts w:ascii="Arial" w:hAnsi="Arial" w:eastAsia="Arial" w:cs="Arial"/>
      <w:b/>
      <w:color w:val="FFFFFF"/>
      <w:sz w:val="20"/>
    </w:rPr>
  </w:style>
  <w:style w:type="paragraph" w:customStyle="1" w:styleId="Contents">
    <w:name w:val="Contents"/>
    <w:basedOn w:val="Normal"/>
    <w:pPr>
      <w:tabs>
        <w:tab w:pos="10152" w:val="right" w:leader="dot"/>
      </w:tabs>
      <w:spacing w:line="264" w:lineRule="auto" w:after="220"/>
    </w:pPr>
    <w:rPr>
      <w:rFonts w:ascii="Arial" w:hAnsi="Arial" w:eastAsia="Arial" w:cs="Arial"/>
      <w:b w:val="0"/>
      <w:color w:val="000000"/>
      <w:sz w:val="22"/>
    </w:rPr>
  </w:style>
  <w:style w:type="paragraph" w:customStyle="1" w:styleId="SourceTitle">
    <w:name w:val="SourceTitle"/>
    <w:basedOn w:val="Normal"/>
    <w:pPr>
      <w:keepNext/>
      <w:spacing w:line="264" w:lineRule="auto" w:after="120" w:before="200"/>
    </w:pPr>
    <w:rPr>
      <w:rFonts w:ascii="Arial" w:hAnsi="Arial" w:eastAsia="Arial" w:cs="Arial"/>
      <w:b/>
      <w:color w:val="000000"/>
      <w:sz w:val="22"/>
    </w:rPr>
  </w:style>
  <w:style w:type="paragraph" w:customStyle="1" w:styleId="RegisterText">
    <w:name w:val="RegisterText"/>
    <w:basedOn w:val="Normal"/>
    <w:pPr>
      <w:spacing w:line="264" w:lineRule="auto" w:after="120"/>
    </w:pPr>
    <w:rPr>
      <w:rFonts w:ascii="Arial" w:hAnsi="Arial" w:eastAsia="Arial" w:cs="Arial"/>
      <w:b w:val="0"/>
      <w:color w:val="000000"/>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hyperlink" Target="https://auraofintelligence.github.io/escape-room-team-building/" TargetMode="External"/><Relationship Id="rId12" Type="http://schemas.openxmlformats.org/officeDocument/2006/relationships/hyperlink" Target="https://auraofintelligence.github.io/escape-room-team-building/sources.html" TargetMode="External"/><Relationship Id="rId13" Type="http://schemas.openxmlformats.org/officeDocument/2006/relationships/hyperlink" Target="https://auraofintelligence.github.io/escape-room-team-building/content/sources.json" TargetMode="External"/><Relationship Id="rId14" Type="http://schemas.openxmlformats.org/officeDocument/2006/relationships/hyperlink" Target="https://auraofintelligence.github.io/escape-room-team-building/content/embedded-links.json" TargetMode="External"/><Relationship Id="rId15" Type="http://schemas.openxmlformats.org/officeDocument/2006/relationships/hyperlink" Target="https://auraofintelligence.github.io/escape-room-team-building/documents/originals/A%20Fair%20Go%20for%20the%20AI%20Age_%20Postcode-Level%20Sovereign%20Compute%20as%20Shared%20National%20Infrastructure%2820261029-080505%29.docx" TargetMode="External"/><Relationship Id="rId16" Type="http://schemas.openxmlformats.org/officeDocument/2006/relationships/hyperlink" Target="https://auraofintelligence.github.io/escape-room-team-building/documents/readers/D01.html" TargetMode="External"/><Relationship Id="rId17" Type="http://schemas.openxmlformats.org/officeDocument/2006/relationships/hyperlink" Target="https://raw.githubusercontent.com/auraofintelligence/Redlands_discovers_Luke_Hayes/2a8990819b78fda139f9948068f9bdfdd9fa58d9/references/files/hayes-fair-go-ai-age-postcode-sovereign-compute-2026-08-18.docx" TargetMode="External"/><Relationship Id="rId18" Type="http://schemas.openxmlformats.org/officeDocument/2006/relationships/hyperlink" Target="https://auraofintelligence.github.io/escape-room-team-building/documents/originals/AUKUS_Public_Inquiry_Submission_Luke_Nathan_Hayes_2026%2820261029-080505%29.docx" TargetMode="External"/><Relationship Id="rId19" Type="http://schemas.openxmlformats.org/officeDocument/2006/relationships/hyperlink" Target="https://auraofintelligence.github.io/escape-room-team-building/documents/readers/D02.html" TargetMode="External"/><Relationship Id="rId20" Type="http://schemas.openxmlformats.org/officeDocument/2006/relationships/hyperlink" Target="https://raw.githubusercontent.com/auraofintelligence/UNGA81-Luke-Hayes/12afc71ba7375a2096ab4c307934198568e58bed/documents/AUKUS_Public_Inquiry_Submission_Luke_Nathan_Hayes_2026.docx" TargetMode="External"/><Relationship Id="rId21" Type="http://schemas.openxmlformats.org/officeDocument/2006/relationships/hyperlink" Target="https://auraofintelligence.github.io/escape-room-team-building/documents/originals/Aura_Genesis_Children_and_Teens_Australian_Care%282%29.docx" TargetMode="External"/><Relationship Id="rId22" Type="http://schemas.openxmlformats.org/officeDocument/2006/relationships/hyperlink" Target="https://auraofintelligence.github.io/escape-room-team-building/documents/readers/D03.html" TargetMode="External"/><Relationship Id="rId23" Type="http://schemas.openxmlformats.org/officeDocument/2006/relationships/hyperlink" Target="https://raw.githubusercontent.com/auraofintelligence/aura-child-services/4d879d2eb14c46fd7ea4292760ac9e9fc5ada96f/documents/Aura_Genesis_Children_and_Teens_Australian_Care.docx" TargetMode="External"/><Relationship Id="rId24" Type="http://schemas.openxmlformats.org/officeDocument/2006/relationships/hyperlink" Target="https://auraofintelligence.github.io/escape-room-team-building/documents/originals/Aura_Genesis_Geode_Development_Edition_3%284%29.pdf" TargetMode="External"/><Relationship Id="rId25" Type="http://schemas.openxmlformats.org/officeDocument/2006/relationships/hyperlink" Target="https://auraofintelligence.github.io/escape-room-team-building/documents/readers/D04.html" TargetMode="External"/><Relationship Id="rId26" Type="http://schemas.openxmlformats.org/officeDocument/2006/relationships/hyperlink" Target="https://raw.githubusercontent.com/auraofintelligence/open-record-luke-nathan-hayes/e4ffea29e5ba99ec4a3caa256277658bb87d3fb0/documents/supplementary/Aura_Genesis_Geode_Development_Edition_3.pdf" TargetMode="External"/><Relationship Id="rId27" Type="http://schemas.openxmlformats.org/officeDocument/2006/relationships/hyperlink" Target="https://auraofintelligence.github.io/escape-room-team-building/documents/originals/Aura_Teacher_Training_60_Days%287%29.pdf" TargetMode="External"/><Relationship Id="rId28" Type="http://schemas.openxmlformats.org/officeDocument/2006/relationships/hyperlink" Target="https://auraofintelligence.github.io/escape-room-team-building/documents/readers/D05.html" TargetMode="External"/><Relationship Id="rId29" Type="http://schemas.openxmlformats.org/officeDocument/2006/relationships/hyperlink" Target="https://raw.githubusercontent.com/auraofintelligence/Redlands_discovers_Luke_Hayes/2a8990819b78fda139f9948068f9bdfdd9fa58d9/references/files/hayes-aura-teacher-training-sixty-days-2026-10-14.pdf" TargetMode="External"/><Relationship Id="rId30" Type="http://schemas.openxmlformats.org/officeDocument/2006/relationships/hyperlink" Target="https://auraofintelligence.github.io/escape-room-team-building/documents/originals/Aura_of_Intelligence_Adaptive_Whole_of_Life_Support%282%29.docx" TargetMode="External"/><Relationship Id="rId31" Type="http://schemas.openxmlformats.org/officeDocument/2006/relationships/hyperlink" Target="https://auraofintelligence.github.io/escape-room-team-building/documents/readers/D06.html" TargetMode="External"/><Relationship Id="rId32" Type="http://schemas.openxmlformats.org/officeDocument/2006/relationships/hyperlink" Target="https://raw.githubusercontent.com/auraofintelligence/aura-whole-of-life/9197431e5064a8c9ebdea8d36f9ef79561e8a2aa/documents/Aura_of_Intelligence_Adaptive_Whole_of_Life_Support.docx" TargetMode="External"/><Relationship Id="rId33" Type="http://schemas.openxmlformats.org/officeDocument/2006/relationships/hyperlink" Target="https://auraofintelligence.github.io/escape-room-team-building/documents/originals/Aura_of_Intelligence_Tourism_and_Domestic_Travel%282%29.docx" TargetMode="External"/><Relationship Id="rId34" Type="http://schemas.openxmlformats.org/officeDocument/2006/relationships/hyperlink" Target="https://auraofintelligence.github.io/escape-room-team-building/documents/readers/D07.html" TargetMode="External"/><Relationship Id="rId35" Type="http://schemas.openxmlformats.org/officeDocument/2006/relationships/hyperlink" Target="https://raw.githubusercontent.com/auraofintelligence/aura-tourism/7c2b6af8cf109475444597d8a9b3760aa593b081/sources/originals/Aura_of_Intelligence_Tourism_and_Domestic_Travel.docx" TargetMode="External"/><Relationship Id="rId36" Type="http://schemas.openxmlformats.org/officeDocument/2006/relationships/hyperlink" Target="https://auraofintelligence.github.io/escape-room-team-building/documents/originals/Building%20an%20Australian%20Legal%20RAG%20System%2820261029-080516%29.pdf" TargetMode="External"/><Relationship Id="rId37" Type="http://schemas.openxmlformats.org/officeDocument/2006/relationships/hyperlink" Target="https://auraofintelligence.github.io/escape-room-team-building/documents/readers/D08.html" TargetMode="External"/><Relationship Id="rId38" Type="http://schemas.openxmlformats.org/officeDocument/2006/relationships/hyperlink" Target="https://raw.githubusercontent.com/auraofintelligence/aura-disaster-resilience/e781e7c2f24c2cf38f6ab422790247cde86b889f/sources/documents/Building%20an%20Australian%20Legal%20RAG%20System.pdf" TargetMode="External"/><Relationship Id="rId39" Type="http://schemas.openxmlformats.org/officeDocument/2006/relationships/hyperlink" Target="https://auraofintelligence.github.io/escape-room-team-building/documents/originals/Do%20Not%20Put%20All%20Our%20Eggs%20in%20One%20Basket%289%29.docx" TargetMode="External"/><Relationship Id="rId40" Type="http://schemas.openxmlformats.org/officeDocument/2006/relationships/hyperlink" Target="https://auraofintelligence.github.io/escape-room-team-building/documents/readers/D09.html" TargetMode="External"/><Relationship Id="rId41" Type="http://schemas.openxmlformats.org/officeDocument/2006/relationships/hyperlink" Target="https://raw.githubusercontent.com/auraofintelligence/aura-disaster-resilience/e781e7c2f24c2cf38f6ab422790247cde86b889f/sources/documents/Do%20Not%20Put%20All%20Our%20Eggs%20in%20One%20Basket.docx" TargetMode="External"/><Relationship Id="rId42" Type="http://schemas.openxmlformats.org/officeDocument/2006/relationships/hyperlink" Target="https://auraofintelligence.github.io/escape-room-team-building/documents/originals/Fiji_Australia_Vuvale_Union_Submission_Luke_Nathan_Hayes_2026%2820261029-080505%29.docx" TargetMode="External"/><Relationship Id="rId43" Type="http://schemas.openxmlformats.org/officeDocument/2006/relationships/hyperlink" Target="https://auraofintelligence.github.io/escape-room-team-building/documents/readers/D10.html" TargetMode="External"/><Relationship Id="rId44" Type="http://schemas.openxmlformats.org/officeDocument/2006/relationships/hyperlink" Target="https://raw.githubusercontent.com/auraofintelligence/UNGA81-Luke-Hayes/12afc71ba7375a2096ab4c307934198568e58bed/documents/fiji-australia-vuvale-union-submission.docx" TargetMode="External"/><Relationship Id="rId45" Type="http://schemas.openxmlformats.org/officeDocument/2006/relationships/hyperlink" Target="https://auraofintelligence.github.io/escape-room-team-building/documents/originals/Ocean_of_Peace_Alliance_Veitacini_Treaty_Submission_Luke_Nathan_Hayes_2026%2820261029-080506%29.docx" TargetMode="External"/><Relationship Id="rId46" Type="http://schemas.openxmlformats.org/officeDocument/2006/relationships/hyperlink" Target="https://auraofintelligence.github.io/escape-room-team-building/documents/readers/D12.html" TargetMode="External"/><Relationship Id="rId47" Type="http://schemas.openxmlformats.org/officeDocument/2006/relationships/hyperlink" Target="https://raw.githubusercontent.com/auraofintelligence/UNGA81-Luke-Hayes/12afc71ba7375a2096ab4c307934198568e58bed/documents/Ocean_of_Peace_Alliance_Veitacini_Treaty_Submission_Luke_Nathan_Hayes_2026.docx" TargetMode="External"/><Relationship Id="rId48" Type="http://schemas.openxmlformats.org/officeDocument/2006/relationships/hyperlink" Target="https://auraofintelligence.github.io/escape-room-team-building/documents/originals/SETCo%202026%20Pitch%20Plan%20Revision%2820261029-080533%29.pdf" TargetMode="External"/><Relationship Id="rId49" Type="http://schemas.openxmlformats.org/officeDocument/2006/relationships/hyperlink" Target="https://auraofintelligence.github.io/escape-room-team-building/documents/readers/D13.html" TargetMode="External"/><Relationship Id="rId50" Type="http://schemas.openxmlformats.org/officeDocument/2006/relationships/hyperlink" Target="https://raw.githubusercontent.com/auraofintelligence/Redlands_discovers_Luke_Hayes/2a8990819b78fda139f9948068f9bdfdd9fa58d9/references/files/hayes-ready-set-co-2026-strategy-undated.pdf" TargetMode="External"/><Relationship Id="rId51" Type="http://schemas.openxmlformats.org/officeDocument/2006/relationships/hyperlink" Target="https://auraofintelligence.github.io/escape-room-team-building/documents/originals/Web3%20Sensorium%20for%20Science%20Debate%2820261029-083308%29.pdf" TargetMode="External"/><Relationship Id="rId52" Type="http://schemas.openxmlformats.org/officeDocument/2006/relationships/hyperlink" Target="https://auraofintelligence.github.io/escape-room-team-building/documents/readers/D14.html" TargetMode="External"/><Relationship Id="rId53" Type="http://schemas.openxmlformats.org/officeDocument/2006/relationships/hyperlink" Target="https://raw.githubusercontent.com/auraofintelligence/Redlands_discovers_Luke_Hayes/2a8990819b78fda139f9948068f9bdfdd9fa58d9/references/files/hayes-decentralized-global-sensorium-strategic-plan-undated.pdf" TargetMode="External"/><Relationship Id="rId54" Type="http://schemas.openxmlformats.org/officeDocument/2006/relationships/hyperlink" Target="https://auraofintelligence.github.io/escape-room-team-building/documents/originals/Local-Government-Funding-Submission-Public-Copy.pdf" TargetMode="External"/><Relationship Id="rId55" Type="http://schemas.openxmlformats.org/officeDocument/2006/relationships/hyperlink" Target="https://auraofintelligence.github.io/escape-room-team-building/documents/readers/D15.html" TargetMode="External"/><Relationship Id="rId56" Type="http://schemas.openxmlformats.org/officeDocument/2006/relationships/hyperlink" Target="https://raw.githubusercontent.com/auraofintelligence/Redlands_discovers_Luke_Hayes/main/references/files/hayes-local-government-funding-submission-2-undated.pdf" TargetMode="External"/><Relationship Id="rId57" Type="http://schemas.openxmlformats.org/officeDocument/2006/relationships/hyperlink" Target="https://auraofintelligence.github.io/UNGA81-Luke-Hayes/" TargetMode="External"/><Relationship Id="rId58" Type="http://schemas.openxmlformats.org/officeDocument/2006/relationships/hyperlink" Target="https://auraofintelligence.github.io/ready-set-co-op-cultural-intelligence-node/index.html" TargetMode="External"/><Relationship Id="rId59" Type="http://schemas.openxmlformats.org/officeDocument/2006/relationships/hyperlink" Target="https://auraofintelligence.github.io/ready-set-co-op-trust-hub/" TargetMode="External"/><Relationship Id="rId60" Type="http://schemas.openxmlformats.org/officeDocument/2006/relationships/hyperlink" Target="https://auraofintelligence.github.io/500-Queens-VC-2026/" TargetMode="External"/><Relationship Id="rId61" Type="http://schemas.openxmlformats.org/officeDocument/2006/relationships/hyperlink" Target="https://auraofintelligence.github.io/mutual-futures/" TargetMode="External"/><Relationship Id="rId62" Type="http://schemas.openxmlformats.org/officeDocument/2006/relationships/hyperlink" Target="https://auraofintelligence.github.io/australian-law-2012-lukes-relevance/" TargetMode="External"/><Relationship Id="rId63" Type="http://schemas.openxmlformats.org/officeDocument/2006/relationships/hyperlink" Target="https://github.com/auraofintelligence/australian-legal-engine" TargetMode="External"/><Relationship Id="rId64" Type="http://schemas.openxmlformats.org/officeDocument/2006/relationships/hyperlink" Target="https://auraofintelligence.github.io/legal-memory-workbench/" TargetMode="External"/><Relationship Id="rId65" Type="http://schemas.openxmlformats.org/officeDocument/2006/relationships/hyperlink" Target="https://auraofintelligence.github.io/C-Hour-introduction/" TargetMode="External"/><Relationship Id="rId66" Type="http://schemas.openxmlformats.org/officeDocument/2006/relationships/hyperlink" Target="https://p4a.xyz/" TargetMode="External"/><Relationship Id="rId67" Type="http://schemas.openxmlformats.org/officeDocument/2006/relationships/hyperlink" Target="https://auraofintelligence.github.io/aura-genesis-geode-atlas/" TargetMode="External"/><Relationship Id="rId68" Type="http://schemas.openxmlformats.org/officeDocument/2006/relationships/hyperlink" Target="https://auraofintelligence.github.io/Oceania-healthy-de-slop-co-ops/" TargetMode="External"/><Relationship Id="rId69" Type="http://schemas.openxmlformats.org/officeDocument/2006/relationships/hyperlink" Target="https://github.com/auraofintelligence/Anglican-Diocese-82-Claytons-Amity" TargetMode="External"/><Relationship Id="rId70" Type="http://schemas.openxmlformats.org/officeDocument/2006/relationships/hyperlink" Target="https://github.com/auraofintelligence/installing-the-missing-middle" TargetMode="External"/><Relationship Id="rId71" Type="http://schemas.openxmlformats.org/officeDocument/2006/relationships/hyperlink" Target="https://www.tra.gov.au/" TargetMode="External"/><Relationship Id="rId72" Type="http://schemas.openxmlformats.org/officeDocument/2006/relationships/hyperlink" Target="https://www.tra.gov.au/en/tourism-statistics/domestic-tourism-statistics-results" TargetMode="External"/><Relationship Id="rId73" Type="http://schemas.openxmlformats.org/officeDocument/2006/relationships/hyperlink" Target="https://www.abs.gov.au/statistics/people/education/schools/latest-release" TargetMode="External"/><Relationship Id="rId74" Type="http://schemas.openxmlformats.org/officeDocument/2006/relationships/hyperlink" Target="https://www.tra.gov.au/en/tourism-statistics/business-events-data" TargetMode="External"/><Relationship Id="rId75" Type="http://schemas.openxmlformats.org/officeDocument/2006/relationships/hyperlink" Target="https://www.tourism.australia.com/en/resources/industry-resources/trade-show-tips/the-travel-distribution-system.html" TargetMode="External"/><Relationship Id="rId76" Type="http://schemas.openxmlformats.org/officeDocument/2006/relationships/hyperlink" Target="https://www.tourism.australia.com/en/resources/industry-resources/building-your-tourism-business/getting-your-product-on-australia-com.html" TargetMode="External"/><Relationship Id="rId77" Type="http://schemas.openxmlformats.org/officeDocument/2006/relationships/hyperlink" Target="https://foxinaboxbrisbane.com/corporate-events/" TargetMode="External"/><Relationship Id="rId78" Type="http://schemas.openxmlformats.org/officeDocument/2006/relationships/hyperlink" Target="https://foxinaboxbrisbane.com/" TargetMode="External"/><Relationship Id="rId79" Type="http://schemas.openxmlformats.org/officeDocument/2006/relationships/hyperlink" Target="https://www.redlockescaperooms.com.au/pricing/" TargetMode="External"/><Relationship Id="rId80" Type="http://schemas.openxmlformats.org/officeDocument/2006/relationships/hyperlink" Target="https://www.teamescape.com.au/capacity/" TargetMode="External"/><Relationship Id="rId81" Type="http://schemas.openxmlformats.org/officeDocument/2006/relationships/hyperlink" Target="https://www.amicus.com.au/projects/the-great-escape-melbourne" TargetMode="External"/><Relationship Id="rId82" Type="http://schemas.openxmlformats.org/officeDocument/2006/relationships/hyperlink" Target="https://greatescapeau.com/melbourne/game-overview/?venue=melbourne" TargetMode="External"/><Relationship Id="rId83" Type="http://schemas.openxmlformats.org/officeDocument/2006/relationships/hyperlink" Target="https://www.missionsydney.com/trapped/" TargetMode="External"/><Relationship Id="rId84" Type="http://schemas.openxmlformats.org/officeDocument/2006/relationships/hyperlink" Target="https://erworkshop.com/escape-room-supplier-australia/" TargetMode="External"/><Relationship Id="rId85" Type="http://schemas.openxmlformats.org/officeDocument/2006/relationships/hyperlink" Target="https://www.commercialrealestate.com.au/news/how-this-duo-built-an-escape-room-business-from-scratch-1211242/" TargetMode="External"/><Relationship Id="rId86" Type="http://schemas.openxmlformats.org/officeDocument/2006/relationships/hyperlink" Target="https://themysteryrooms.com.au/escape-room-geelong/" TargetMode="External"/><Relationship Id="rId87" Type="http://schemas.openxmlformats.org/officeDocument/2006/relationships/hyperlink" Target="https://padlockd.com.au/rooms/" TargetMode="External"/><Relationship Id="rId88" Type="http://schemas.openxmlformats.org/officeDocument/2006/relationships/hyperlink" Target="https://puzzledroomescape.com.au/pricing/" TargetMode="External"/><Relationship Id="rId89" Type="http://schemas.openxmlformats.org/officeDocument/2006/relationships/hyperlink" Target="https://puzzledroomescape.com.au/student-programs/" TargetMode="External"/><Relationship Id="rId90" Type="http://schemas.openxmlformats.org/officeDocument/2006/relationships/hyperlink" Target="https://www.projectimmersive.com/events" TargetMode="External"/><Relationship Id="rId91" Type="http://schemas.openxmlformats.org/officeDocument/2006/relationships/hyperlink" Target="https://www.tra.gov.au/en/tourism-industry-analysis/state-and-regional-sta" TargetMode="External"/><Relationship Id="rId92" Type="http://schemas.openxmlformats.org/officeDocument/2006/relationships/hyperlink" Target="https://www.destinationnsw.com.au/destination-nsw-business-support/nsw-first-program/how-to-sell-online-via-distribution-partners" TargetMode="External"/><Relationship Id="rId93" Type="http://schemas.openxmlformats.org/officeDocument/2006/relationships/hyperlink" Target="https://www.aph.gov.au/Parliamentary_Business/Committees/House/Regional_Development_Infrastructure_and_Transport/LocalGovernmentFunding/Submissions" TargetMode="External"/><Relationship Id="rId94" Type="http://schemas.openxmlformats.org/officeDocument/2006/relationships/hyperlink" Target="https://www.australiancurriculum.edu.au/curriculum-information/understand-this-general-capability/personal-and-social-capability/" TargetMode="External"/><Relationship Id="rId95" Type="http://schemas.openxmlformats.org/officeDocument/2006/relationships/hyperlink" Target="https://www.qcaa.qld.edu.au/downloads/aciqv9/general-resources/ac9_gc_personal_social_capability_learning_continuum.pdf" TargetMode="External"/><Relationship Id="rId96" Type="http://schemas.openxmlformats.org/officeDocument/2006/relationships/hyperlink" Target="https://awards.fairwork.gov.au/MA000080.html" TargetMode="External"/><Relationship Id="rId97" Type="http://schemas.openxmlformats.org/officeDocument/2006/relationships/hyperlink" Target="https://smallbusiness.taxsuperandyou.gov.au/super-guarantee-employer-obligations/how-to-calculate-super-guarantee" TargetMode="External"/><Relationship Id="rId98" Type="http://schemas.openxmlformats.org/officeDocument/2006/relationships/hyperlink" Target="https://stripe.com/au/pricing" TargetMode="External"/><Relationship Id="rId99" Type="http://schemas.openxmlformats.org/officeDocument/2006/relationships/hyperlink" Target="https://dashgroup.net.au/labour-hire-brisbane" TargetMode="External"/><Relationship Id="rId100" Type="http://schemas.openxmlformats.org/officeDocument/2006/relationships/hyperlink" Target="https://www.voltoraindustries.com.au/" TargetMode="External"/><Relationship Id="rId101" Type="http://schemas.openxmlformats.org/officeDocument/2006/relationships/hyperlink" Target="https://www.storedj.com.au/products/rode-wireless-pro-dual-compact-wireless-mic-system-w-accessories-black" TargetMode="External"/><Relationship Id="rId102" Type="http://schemas.openxmlformats.org/officeDocument/2006/relationships/hyperlink" Target="https://help.rode.com/hc/en-us/articles/9220351205135-Can-I-use-multiple-Wireless-PRO-kits-at-a-single-location" TargetMode="External"/><Relationship Id="rId103" Type="http://schemas.openxmlformats.org/officeDocument/2006/relationships/hyperlink" Target="https://www.bettermusic.com.au/products/zoom-l8-livetrak" TargetMode="External"/><Relationship Id="rId104" Type="http://schemas.openxmlformats.org/officeDocument/2006/relationships/hyperlink" Target="https://www.storedj.com.au/products/hosa-cmp-159-3-5mm-trs-to-dual-1-4-ts-stereo-breakout-cable-10ft" TargetMode="External"/><Relationship Id="rId105" Type="http://schemas.openxmlformats.org/officeDocument/2006/relationships/hyperlink" Target="https://www.officeworks.com.au/shop/officeworks/p/matrix-visitor-chair-jbmatvmbk" TargetMode="External"/><Relationship Id="rId106" Type="http://schemas.openxmlformats.org/officeDocument/2006/relationships/hyperlink" Target="https://www.officeworks.com.au/shop/officeworks/c/furniture/chairs-seating/lounge-chairs" TargetMode="External"/><Relationship Id="rId107" Type="http://schemas.openxmlformats.org/officeDocument/2006/relationships/hyperlink" Target="https://www.officeworks.com.au/shop/officeworks/p/matrix-mesh-visitor-armchair-black-jbmatvmabk" TargetMode="External"/><Relationship Id="rId108" Type="http://schemas.openxmlformats.org/officeDocument/2006/relationships/hyperlink" Target="https://dannysdesks.com.au/product-category/clearance/clearance-visitor-chairs/" TargetMode="External"/><Relationship Id="rId109" Type="http://schemas.openxmlformats.org/officeDocument/2006/relationships/hyperlink" Target="https://dannysdesks.com.au/product/chibel-office-chair-ex-hire-stock/" TargetMode="External"/><Relationship Id="rId110" Type="http://schemas.openxmlformats.org/officeDocument/2006/relationships/hyperlink" Target="https://www.officeworks.com.au/shop/officeworks/c/furniture/desks-tables/folding-trestle-tables" TargetMode="External"/><Relationship Id="rId111" Type="http://schemas.openxmlformats.org/officeDocument/2006/relationships/hyperlink" Target="https://www.macks.com.au/collections/second-hand-furniture/products/secondhand-metal-frame-desk-1600-x-800" TargetMode="External"/><Relationship Id="rId112" Type="http://schemas.openxmlformats.org/officeDocument/2006/relationships/hyperlink" Target="https://www.macks.com.au/collections/second-hand-furniture/products/second-hand-cupboard-1600h-x-900w-x-430d" TargetMode="External"/><Relationship Id="rId113" Type="http://schemas.openxmlformats.org/officeDocument/2006/relationships/hyperlink" Target="https://www.macks.com.au/collections/second-hand-furniture" TargetMode="External"/><Relationship Id="rId114" Type="http://schemas.openxmlformats.org/officeDocument/2006/relationships/hyperlink" Target="https://www.australiancomputertraders.com.au/" TargetMode="External"/><Relationship Id="rId115" Type="http://schemas.openxmlformats.org/officeDocument/2006/relationships/hyperlink" Target="https://www.scorptec.com.au/cyberpowerupsfreedel" TargetMode="External"/><Relationship Id="rId116" Type="http://schemas.openxmlformats.org/officeDocument/2006/relationships/hyperlink" Target="https://www.commercialrealestate.com.au/property/338-lytton-road-morningside-qld-4170-18288980" TargetMode="External"/><Relationship Id="rId117" Type="http://schemas.openxmlformats.org/officeDocument/2006/relationships/hyperlink" Target="https://www.commercialrealestate.com.au/property/4-65-riverside-place-morningside-qld-4170-18314217" TargetMode="External"/><Relationship Id="rId118" Type="http://schemas.openxmlformats.org/officeDocument/2006/relationships/hyperlink" Target="https://allianceelectrical.com.au/rates" TargetMode="External"/><Relationship Id="rId119" Type="http://schemas.openxmlformats.org/officeDocument/2006/relationships/hyperlink" Target="https://developers.openai.com/api/docs/pricing" TargetMode="External"/><Relationship Id="rId120" Type="http://schemas.openxmlformats.org/officeDocument/2006/relationships/hyperlink" Target="https://developers.openai.com/api/docs/guides/transcription" TargetMode="External"/><Relationship Id="rId121" Type="http://schemas.openxmlformats.org/officeDocument/2006/relationships/hyperlink" Target="https://help.openai.com/en/articles/10421635-multicurrency-billing" TargetMode="External"/><Relationship Id="rId122" Type="http://schemas.openxmlformats.org/officeDocument/2006/relationships/hyperlink" Target="https://deepgram.com/pricing" TargetMode="External"/><Relationship Id="rId123" Type="http://schemas.openxmlformats.org/officeDocument/2006/relationships/hyperlink" Target="https://github.com/auraofintelligence/escape-room-team-build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Escape Room Team Building</dc:title>
  <dc:subject>Australian escape-room network business plan</dc:subject>
  <dc:creator>Luke Nathan Hayes</dc:creator>
  <cp:keywords>escape rooms, team building, tourism, whole-of-life learning, Australia</cp:keywords>
  <dc:description/>
  <cp:lastModifiedBy/>
  <cp:revision>1</cp:revision>
  <dcterms:created xsi:type="dcterms:W3CDTF">2013-12-23T23:15:00Z</dcterms:created>
  <dcterms:modified xsi:type="dcterms:W3CDTF">2013-12-23T23:15:00Z</dcterms:modified>
  <cp:category/>
</cp:coreProperties>
</file>