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Escape Room Team Building</w:t>
      </w:r>
    </w:p>
    <w:p>
      <w:pPr>
        <w:pStyle w:val="Subtitle"/>
      </w:pPr>
      <w:r>
        <w:t>ROUND ONE Australian escape room network business plan</w:t>
      </w:r>
    </w:p>
    <w:p>
      <w:pPr>
        <w:pStyle w:val="Metadata"/>
        <w:keepNext/>
      </w:pPr>
      <w:r>
        <w:t>Luke Nathan Hayes  |  29 October 2026  |  ROUND ONE research and comparison edition</w:t>
      </w:r>
    </w:p>
    <w:p>
      <w:bookmarkStart w:id="1" w:name="chapter_index"/>
      <w:pPr>
        <w:pStyle w:val="Heading1"/>
      </w:pPr>
      <w:r>
        <w:t>EXECUTIVE SUMMARY</w:t>
      </w:r>
      <w:bookmarkEnd w:id="1"/>
    </w:p>
    <w:p>
      <w:pPr>
        <w:pStyle w:val="Lead"/>
      </w:pPr>
      <w:r>
        <w:rPr>
          <w:b/>
        </w:rPr>
        <w:t>Distinctive escape rooms across Australia, connected by journeys worth taking, skills worth carrying forward and fresh reasons to return.</w:t>
      </w:r>
    </w:p>
    <w:p>
      <w:bookmarkStart w:id="2" w:name="s_index_The_business_propositio_776625"/>
      <w:pPr>
        <w:pStyle w:val="Heading2"/>
      </w:pPr>
      <w:r>
        <w:t>The business proposition</w:t>
      </w:r>
      <w:bookmarkEnd w:id="2"/>
    </w:p>
    <w:p>
      <w:pPr/>
      <w:r>
        <w:t>An Australia-wide escape-room network is the business concept under investigation: design distinctive rooms, connect local experiences into tourism journeys, and renew the catalogue so people have a reason to return. Enjoyment brings people through the door; reflection, just-in-time learning and practice in new settings could extend the value beyond the visit.</w:t>
      </w:r>
    </w:p>
    <w:p>
      <w:pPr/>
      <w:r>
        <w:t xml:space="preserve">The intended connections with </w:t>
      </w:r>
      <w:hyperlink r:id="rId10">
        <w:r>
          <w:rPr>
            <w:color w:val="275E67"/>
            <w:u w:val="single"/>
          </w:rPr>
          <w:t xml:space="preserve">Aura of Intelligence</w:t>
        </w:r>
      </w:hyperlink>
      <w:r>
        <w:t xml:space="preserve"> and </w:t>
      </w:r>
      <w:hyperlink r:id="rId11">
        <w:r>
          <w:rPr>
            <w:color w:val="275E67"/>
            <w:u w:val="single"/>
          </w:rPr>
          <w:t xml:space="preserve">p4a-xyz-cinema</w:t>
        </w:r>
      </w:hyperlink>
      <w:r>
        <w:t xml:space="preserve"> bring personal learning, creative scenarios and civic participation into the research. Local stories and paid creative, technical and trade work are part of the opportunity. Joyful Responsible Abundance provides the wider direction: worthwhile experiences, responsibility to others and wider access to useful learning, work and opportunity.</w:t>
      </w:r>
    </w:p>
    <w:p>
      <w:pPr>
        <w:pStyle w:val="SourceNote"/>
      </w:pPr>
      <w:r>
        <w:t xml:space="preserve">Sources: </w:t>
      </w:r>
      <w:hyperlink w:anchor="source_D05">
        <w:r>
          <w:rPr>
            <w:color w:val="275E67"/>
            <w:u w:val="single"/>
          </w:rPr>
          <w:t xml:space="preserve">D05</w:t>
        </w:r>
      </w:hyperlink>
      <w:r>
        <w:t xml:space="preserve">, </w:t>
      </w:r>
      <w:hyperlink w:anchor="source_D07">
        <w:r>
          <w:rPr>
            <w:color w:val="275E67"/>
            <w:u w:val="single"/>
          </w:rPr>
          <w:t xml:space="preserve">D07</w:t>
        </w:r>
      </w:hyperlink>
      <w:r>
        <w:t xml:space="preserve">, </w:t>
      </w:r>
      <w:hyperlink w:anchor="source_P01">
        <w:r>
          <w:rPr>
            <w:color w:val="275E67"/>
            <w:u w:val="single"/>
          </w:rPr>
          <w:t xml:space="preserve">P01</w:t>
        </w:r>
      </w:hyperlink>
      <w:r>
        <w:t xml:space="preserve">, </w:t>
      </w:r>
      <w:hyperlink w:anchor="source_P10">
        <w:r>
          <w:rPr>
            <w:color w:val="275E67"/>
            <w:u w:val="single"/>
          </w:rPr>
          <w:t xml:space="preserve">P10</w:t>
        </w:r>
      </w:hyperlink>
      <w:r>
        <w:t xml:space="preserve">, </w:t>
      </w:r>
      <w:hyperlink w:anchor="source_P14">
        <w:r>
          <w:rPr>
            <w:color w:val="275E67"/>
            <w:u w:val="single"/>
          </w:rPr>
          <w:t xml:space="preserve">P14</w:t>
        </w:r>
      </w:hyperlink>
    </w:p>
    <w:p>
      <w:bookmarkStart w:id="3" w:name="s_index_What_ROUND_ONE_establis_8d6cf9"/>
      <w:pPr>
        <w:pStyle w:val="Heading2"/>
      </w:pPr>
      <w:r>
        <w:t>What ROUND ONE establishes</w:t>
      </w:r>
      <w:bookmarkEnd w:id="3"/>
    </w:p>
    <w:p>
      <w:pPr/>
      <w:r>
        <w:t>This first round brings together market evidence, examples from existing venues, itemised cost comparisons and calculations for Luke Nathan Hayes to review. It tests how the business could work and what further evidence would make a decision worthwhile.</w:t>
      </w:r>
    </w:p>
    <w:p>
      <w:pPr/>
      <w:r>
        <w:t>Existing operators demonstrate a market for leisure, school and corporate experiences, varied room counts and multi-game offers. They do not establish demand for this particular concept, its price or a future site. Local customer research, delivered costs and evidence of repeat use remain central to the commercial case.</w:t>
      </w:r>
    </w:p>
    <w:p>
      <w:pPr>
        <w:pStyle w:val="SourceNote"/>
      </w:pPr>
      <w:r>
        <w:t xml:space="preserve">Sources: </w:t>
      </w:r>
      <w:hyperlink w:anchor="source_M07">
        <w:r>
          <w:rPr>
            <w:color w:val="275E67"/>
            <w:u w:val="single"/>
          </w:rPr>
          <w:t xml:space="preserve">M07</w:t>
        </w:r>
      </w:hyperlink>
      <w:r>
        <w:t xml:space="preserve">, </w:t>
      </w:r>
      <w:hyperlink w:anchor="source_M09">
        <w:r>
          <w:rPr>
            <w:color w:val="275E67"/>
            <w:u w:val="single"/>
          </w:rPr>
          <w:t xml:space="preserve">M09</w:t>
        </w:r>
      </w:hyperlink>
      <w:r>
        <w:t xml:space="preserve">, </w:t>
      </w:r>
      <w:hyperlink w:anchor="source_M10">
        <w:r>
          <w:rPr>
            <w:color w:val="275E67"/>
            <w:u w:val="single"/>
          </w:rPr>
          <w:t xml:space="preserve">M10</w:t>
        </w:r>
      </w:hyperlink>
      <w:r>
        <w:t xml:space="preserve">, </w:t>
      </w:r>
      <w:hyperlink w:anchor="source_M18">
        <w:r>
          <w:rPr>
            <w:color w:val="275E67"/>
            <w:u w:val="single"/>
          </w:rPr>
          <w:t xml:space="preserve">M18</w:t>
        </w:r>
      </w:hyperlink>
      <w:r>
        <w:t xml:space="preserve">, </w:t>
      </w:r>
      <w:hyperlink w:anchor="source_M19">
        <w:r>
          <w:rPr>
            <w:color w:val="275E67"/>
            <w:u w:val="single"/>
          </w:rPr>
          <w:t xml:space="preserve">M19</w:t>
        </w:r>
      </w:hyperlink>
      <w:r>
        <w:t xml:space="preserve">, </w:t>
      </w:r>
      <w:hyperlink w:anchor="source_M20">
        <w:r>
          <w:rPr>
            <w:color w:val="275E67"/>
            <w:u w:val="single"/>
          </w:rPr>
          <w:t xml:space="preserve">M20</w:t>
        </w:r>
      </w:hyperlink>
    </w:p>
    <w:p>
      <w:bookmarkStart w:id="4" w:name="s_index_Options_and_calculation_5467b2"/>
      <w:pPr>
        <w:pStyle w:val="Heading2"/>
      </w:pPr>
      <w:r>
        <w:t>Options and calculations for review</w:t>
      </w:r>
      <w:bookmarkEnd w:id="4"/>
    </w:p>
    <w:p>
      <w:pPr/>
      <w:r>
        <w:t>The chapters compare hosted rooms, a dedicated venue, installation and renewal services, and possible network distribution. They retain new and second-hand furnishing comparisons, supplier room packages, explicit labour hours and software usage calculations. A two-room format, a four-room 400 m² layout and the ticket and pass figures are worked illustrations, with their assumptions identified beside the calculations.</w:t>
      </w:r>
    </w:p>
    <w:p>
      <w:pPr/>
      <w:r>
        <w:t>No premises, room count, price, calendar, technology, business structure, contractor arrangement or AI model is selected by those examples. Costs without a reliable scope and price stay unpriced. The financial tables show partial results under stated inputs, rather than a fully quoted startup requirement or profit forecast.</w:t>
      </w:r>
    </w:p>
    <w:p>
      <w:pPr>
        <w:pStyle w:val="SourceNote"/>
      </w:pPr>
      <w:r>
        <w:t xml:space="preserve">Sources: </w:t>
      </w:r>
      <w:hyperlink w:anchor="source_M14">
        <w:r>
          <w:rPr>
            <w:color w:val="275E67"/>
            <w:u w:val="single"/>
          </w:rPr>
          <w:t xml:space="preserve">M14</w:t>
        </w:r>
      </w:hyperlink>
      <w:r>
        <w:t xml:space="preserve">, </w:t>
      </w:r>
      <w:hyperlink w:anchor="source_R101">
        <w:r>
          <w:rPr>
            <w:color w:val="275E67"/>
            <w:u w:val="single"/>
          </w:rPr>
          <w:t xml:space="preserve">R101</w:t>
        </w:r>
      </w:hyperlink>
      <w:r>
        <w:t xml:space="preserve">, </w:t>
      </w:r>
      <w:hyperlink w:anchor="source_R103">
        <w:r>
          <w:rPr>
            <w:color w:val="275E67"/>
            <w:u w:val="single"/>
          </w:rPr>
          <w:t xml:space="preserve">R103</w:t>
        </w:r>
      </w:hyperlink>
      <w:r>
        <w:t xml:space="preserve">, </w:t>
      </w:r>
      <w:hyperlink w:anchor="source_R117">
        <w:r>
          <w:rPr>
            <w:color w:val="275E67"/>
            <w:u w:val="single"/>
          </w:rPr>
          <w:t xml:space="preserve">R117</w:t>
        </w:r>
      </w:hyperlink>
      <w:r>
        <w:t xml:space="preserve">, </w:t>
      </w:r>
      <w:hyperlink w:anchor="source_R118">
        <w:r>
          <w:rPr>
            <w:color w:val="275E67"/>
            <w:u w:val="single"/>
          </w:rPr>
          <w:t xml:space="preserve">R118</w:t>
        </w:r>
      </w:hyperlink>
      <w:r>
        <w:t xml:space="preserve">, </w:t>
      </w:r>
      <w:hyperlink w:anchor="source_R119">
        <w:r>
          <w:rPr>
            <w:color w:val="275E67"/>
            <w:u w:val="single"/>
          </w:rPr>
          <w:t xml:space="preserve">R119</w:t>
        </w:r>
      </w:hyperlink>
    </w:p>
    <w:p>
      <w:bookmarkStart w:id="5" w:name="s_index_How_to_read_the_evidenc_eb455f"/>
      <w:pPr>
        <w:pStyle w:val="Heading2"/>
      </w:pPr>
      <w:r>
        <w:t>How to read the evidence</w:t>
      </w:r>
      <w:bookmarkEnd w:id="5"/>
    </w:p>
    <w:p>
      <w:pPr/>
      <w:r>
        <w:t>Source observations describe what a named operator, supplier or publication reports. Model assumptions describe quantities or relationships introduced to explore an option. Founder decisions record choices Luke actually makes. These are kept separate throughout the plan and its financial inputs.</w:t>
      </w:r>
    </w:p>
    <w:p>
      <w:pPr/>
      <w:r>
        <w:t>The research date is 29 October 2026. Each source entry distinguishes a page rechecked for this revision from an inherited reference that still needs verification. Advertised prices carry their observation date; no requested supplier quotation is recorded. Worked illustrations are labelled at section level so their figures can be read together without repeating a caveat in every paragraph.</w:t>
      </w:r>
    </w:p>
    <w:p>
      <w:pPr/>
      <w:r>
        <w:t>The immediate purpose is review of the opportunity, evidence gaps and alternatives. AI can extend research and computation; it does not determine the business or replace the founder's judgment.</w:t>
      </w:r>
    </w:p>
    <w:p>
      <w:pPr>
        <w:keepNext/>
        <w:spacing w:before="160" w:after="80"/>
        <w:jc w:val="center"/>
      </w:pPr>
      <w:r>
        <w:drawing>
          <wp:inline xmlns:a="http://schemas.openxmlformats.org/drawingml/2006/main" xmlns:pic="http://schemas.openxmlformats.org/drawingml/2006/picture">
            <wp:extent cx="4754880" cy="2676042"/>
            <wp:docPr id="1" name="Picture 1" descr="A welcoming Australian regional heritage warehouse converted into a beautiful immersive escape room venu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676042"/>
                    </a:xfrm>
                    <a:prstGeom prst="rect"/>
                  </pic:spPr>
                </pic:pic>
              </a:graphicData>
            </a:graphic>
          </wp:inline>
        </w:drawing>
      </w:r>
    </w:p>
    <w:p>
      <w:pPr>
        <w:pStyle w:val="SourceNote"/>
        <w:keepLines/>
        <w:jc w:val="center"/>
      </w:pPr>
      <w:r>
        <w:t>Original AI-generated concept artwork for this business plan.</w:t>
      </w:r>
    </w:p>
    <w:p>
      <w:bookmarkStart w:id="6" w:name="contents"/>
      <w:pPr>
        <w:pStyle w:val="Heading1"/>
        <w:pageBreakBefore w:val="0"/>
        <w:spacing w:before="280"/>
      </w:pPr>
      <w:r>
        <w:t>CONTENTS</w:t>
      </w:r>
      <w:bookmarkEnd w:id="6"/>
    </w:p>
    <w:p>
      <w:pPr>
        <w:pStyle w:val="Contents"/>
      </w:pPr>
      <w:hyperlink w:anchor="chapter_index">
        <w:r>
          <w:rPr>
            <w:color w:val="275E67"/>
            <w:u w:val="single"/>
          </w:rPr>
          <w:t xml:space="preserve">Executive summary</w:t>
        </w:r>
      </w:hyperlink>
    </w:p>
    <w:p>
      <w:pPr>
        <w:pStyle w:val="Contents"/>
      </w:pPr>
      <w:hyperlink w:anchor="chapter_market">
        <w:r>
          <w:rPr>
            <w:color w:val="275E67"/>
            <w:u w:val="single"/>
          </w:rPr>
          <w:t xml:space="preserve">Market and venue evidence</w:t>
        </w:r>
      </w:hyperlink>
    </w:p>
    <w:p>
      <w:pPr>
        <w:pStyle w:val="Contents"/>
      </w:pPr>
      <w:hyperlink w:anchor="chapter_network_tourism">
        <w:r>
          <w:rPr>
            <w:color w:val="275E67"/>
            <w:u w:val="single"/>
          </w:rPr>
          <w:t xml:space="preserve">A tourism network that rewards return visits</w:t>
        </w:r>
      </w:hyperlink>
    </w:p>
    <w:p>
      <w:pPr>
        <w:pStyle w:val="Contents"/>
      </w:pPr>
      <w:hyperlink w:anchor="chapter_deployment">
        <w:r>
          <w:rPr>
            <w:color w:val="275E67"/>
            <w:u w:val="single"/>
          </w:rPr>
          <w:t xml:space="preserve">Room design and deployment</w:t>
        </w:r>
      </w:hyperlink>
    </w:p>
    <w:p>
      <w:pPr>
        <w:pStyle w:val="Contents"/>
      </w:pPr>
      <w:hyperlink w:anchor="chapter_economics">
        <w:r>
          <w:rPr>
            <w:color w:val="275E67"/>
            <w:u w:val="single"/>
          </w:rPr>
          <w:t xml:space="preserve">Itemised setup and operating economics</w:t>
        </w:r>
      </w:hyperlink>
    </w:p>
    <w:p>
      <w:pPr>
        <w:pStyle w:val="Contents"/>
      </w:pPr>
      <w:hyperlink w:anchor="chapter_finance">
        <w:r>
          <w:rPr>
            <w:color w:val="275E67"/>
            <w:u w:val="single"/>
          </w:rPr>
          <w:t xml:space="preserve">Finance, settlements and local ownership</w:t>
        </w:r>
      </w:hyperlink>
    </w:p>
    <w:p>
      <w:pPr>
        <w:pStyle w:val="Contents"/>
      </w:pPr>
      <w:hyperlink w:anchor="chapter_learning">
        <w:r>
          <w:rPr>
            <w:color w:val="275E67"/>
            <w:u w:val="single"/>
          </w:rPr>
          <w:t xml:space="preserve">Language, teamwork and whole-life learning</w:t>
        </w:r>
      </w:hyperlink>
    </w:p>
    <w:p>
      <w:pPr>
        <w:pStyle w:val="Contents"/>
      </w:pPr>
      <w:hyperlink w:anchor="chapter_agent_roles">
        <w:r>
          <w:rPr>
            <w:color w:val="275E67"/>
            <w:u w:val="single"/>
          </w:rPr>
          <w:t xml:space="preserve">Research computation and paid work</w:t>
        </w:r>
      </w:hyperlink>
    </w:p>
    <w:p>
      <w:pPr>
        <w:pStyle w:val="Contents"/>
      </w:pPr>
      <w:hyperlink w:anchor="chapter_renewal">
        <w:r>
          <w:rPr>
            <w:color w:val="275E67"/>
            <w:u w:val="single"/>
          </w:rPr>
          <w:t xml:space="preserve">Renewal, rotation and useful asset life</w:t>
        </w:r>
      </w:hyperlink>
    </w:p>
    <w:p>
      <w:pPr>
        <w:pStyle w:val="Contents"/>
      </w:pPr>
      <w:hyperlink w:anchor="chapter_partnerships">
        <w:r>
          <w:rPr>
            <w:color w:val="275E67"/>
            <w:u w:val="single"/>
          </w:rPr>
          <w:t xml:space="preserve">Local enterprise, councils and a fair go</w:t>
        </w:r>
      </w:hyperlink>
    </w:p>
    <w:p>
      <w:pPr>
        <w:pStyle w:val="Contents"/>
      </w:pPr>
      <w:hyperlink w:anchor="chapter_roadmap">
        <w:r>
          <w:rPr>
            <w:color w:val="275E67"/>
            <w:u w:val="single"/>
          </w:rPr>
          <w:t xml:space="preserve">Research questions and possible development sequence</w:t>
        </w:r>
      </w:hyperlink>
    </w:p>
    <w:p>
      <w:pPr>
        <w:pStyle w:val="Contents"/>
      </w:pPr>
      <w:hyperlink w:anchor="source_register">
        <w:r>
          <w:rPr>
            <w:color w:val="275E67"/>
            <w:u w:val="single"/>
          </w:rPr>
          <w:t xml:space="preserve">Sources and project inventory</w:t>
        </w:r>
      </w:hyperlink>
    </w:p>
    <w:p>
      <w:pPr>
        <w:pStyle w:val="Contents"/>
      </w:pPr>
      <w:hyperlink w:anchor="rights">
        <w:r>
          <w:rPr>
            <w:color w:val="275E67"/>
            <w:u w:val="single"/>
          </w:rPr>
          <w:t xml:space="preserve">Rights and provenance</w:t>
        </w:r>
      </w:hyperlink>
    </w:p>
    <w:p>
      <w:pPr>
        <w:pStyle w:val="Contents"/>
      </w:pPr>
      <w:hyperlink w:anchor="licence">
        <w:r>
          <w:rPr>
            <w:color w:val="275E67"/>
            <w:u w:val="single"/>
          </w:rPr>
          <w:t xml:space="preserve">Strange But True Public Source Licence</w:t>
        </w:r>
      </w:hyperlink>
    </w:p>
    <w:p>
      <w:pPr>
        <w:pStyle w:val="SourceNote"/>
      </w:pPr>
      <w:hyperlink r:id="rId13">
        <w:r>
          <w:rPr>
            <w:color w:val="275E67"/>
            <w:u w:val="single"/>
          </w:rPr>
          <w:t xml:space="preserve">Online business plan</w:t>
        </w:r>
      </w:hyperlink>
      <w:r>
        <w:t xml:space="preserve">  |  </w:t>
      </w:r>
      <w:hyperlink r:id="rId14">
        <w:r>
          <w:rPr>
            <w:color w:val="275E67"/>
            <w:u w:val="single"/>
          </w:rPr>
          <w:t xml:space="preserve">Source files and full reference trail</w:t>
        </w:r>
      </w:hyperlink>
    </w:p>
    <w:p>
      <w:bookmarkStart w:id="7" w:name="chapter_market"/>
      <w:pPr>
        <w:pStyle w:val="Heading1"/>
        <w:pageBreakBefore/>
      </w:pPr>
      <w:r>
        <w:t>Market and venue evidence</w:t>
      </w:r>
      <w:bookmarkEnd w:id="7"/>
    </w:p>
    <w:p>
      <w:pPr>
        <w:pStyle w:val="Lead"/>
      </w:pPr>
      <w:r>
        <w:t>Compare existing venues and customer segments, then examine which local opportunities could support this business concept.</w:t>
      </w:r>
    </w:p>
    <w:p>
      <w:bookmarkStart w:id="8" w:name="s_market_Four_customer_markets_684dbf"/>
      <w:pPr>
        <w:pStyle w:val="Heading2"/>
      </w:pPr>
      <w:r>
        <w:t>Four customer markets</w:t>
      </w:r>
      <w:bookmarkEnd w:id="8"/>
    </w:p>
    <w:p>
      <w:pPr>
        <w:pStyle w:val="SourceNote"/>
        <w:keepNext/>
      </w:pPr>
      <w:r>
        <w:t>Source comparison | Recorded observation date 29 October 2026 | Verification status and reference periods are in the source register.</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462"/>
        <w:gridCol w:w="3506"/>
        <w:gridCol w:w="4184"/>
      </w:tblGrid>
      <w:tr>
        <w:trPr>
          <w:cantSplit/>
          <w:tblHeader w:val="true"/>
        </w:trPr>
        <w:tc>
          <w:tcPr>
            <w:tcW w:type="dxa" w:w="2462"/>
            <w:vAlign w:val="center"/>
            <w:shd w:fill="203B4C"/>
          </w:tcPr>
          <w:p>
            <w:pPr>
              <w:pStyle w:val="TableHead"/>
              <w:keepNext/>
              <w:keepLines/>
            </w:pPr>
            <w:r>
              <w:rPr>
                <w:color w:val="FFFFFF"/>
              </w:rPr>
              <w:t>Customer</w:t>
            </w:r>
          </w:p>
        </w:tc>
        <w:tc>
          <w:tcPr>
            <w:tcW w:type="dxa" w:w="3506"/>
            <w:vAlign w:val="center"/>
            <w:shd w:fill="203B4C"/>
          </w:tcPr>
          <w:p>
            <w:pPr>
              <w:pStyle w:val="TableHead"/>
              <w:keepNext/>
              <w:keepLines/>
            </w:pPr>
            <w:r>
              <w:rPr>
                <w:color w:val="FFFFFF"/>
              </w:rPr>
              <w:t>Reason to buy</w:t>
            </w:r>
          </w:p>
        </w:tc>
        <w:tc>
          <w:tcPr>
            <w:tcW w:type="dxa" w:w="4184"/>
            <w:vAlign w:val="center"/>
            <w:shd w:fill="203B4C"/>
          </w:tcPr>
          <w:p>
            <w:pPr>
              <w:pStyle w:val="TableHead"/>
              <w:keepNext/>
              <w:keepLines/>
            </w:pPr>
            <w:r>
              <w:rPr>
                <w:color w:val="FFFFFF"/>
              </w:rPr>
              <w:t>Buying pattern and commercial response</w:t>
            </w:r>
          </w:p>
        </w:tc>
      </w:tr>
      <w:tr>
        <w:trPr>
          <w:cantSplit/>
        </w:trPr>
        <w:tc>
          <w:tcPr>
            <w:tcW w:type="dxa" w:w="2462"/>
            <w:vAlign w:val="top"/>
            <w:shd w:fill="EDF2EE"/>
          </w:tcPr>
          <w:p>
            <w:pPr>
              <w:pStyle w:val="TableText"/>
              <w:keepNext w:val="0"/>
              <w:keepLines/>
            </w:pPr>
            <w:r>
              <w:t>Public groups, families and visitors</w:t>
            </w:r>
          </w:p>
        </w:tc>
        <w:tc>
          <w:tcPr>
            <w:tcW w:type="dxa" w:w="3506"/>
            <w:vAlign w:val="top"/>
            <w:shd w:fill="EDF2EE"/>
          </w:tcPr>
          <w:p>
            <w:pPr>
              <w:pStyle w:val="TableText"/>
              <w:keepNext w:val="0"/>
              <w:keepLines/>
            </w:pPr>
            <w:r>
              <w:t>Enjoyment, novelty, an occasion together and a memorable local experience</w:t>
            </w:r>
          </w:p>
        </w:tc>
        <w:tc>
          <w:tcPr>
            <w:tcW w:type="dxa" w:w="4184"/>
            <w:vAlign w:val="top"/>
            <w:shd w:fill="EDF2EE"/>
          </w:tcPr>
          <w:p>
            <w:pPr>
              <w:pStyle w:val="TableText"/>
              <w:keepNext w:val="0"/>
              <w:keepLines/>
            </w:pPr>
            <w:r>
              <w:t>Weekends, evenings and holidays; clear group limits, reliable booking and fresh rooms for return visits.</w:t>
            </w:r>
          </w:p>
        </w:tc>
      </w:tr>
      <w:tr>
        <w:trPr>
          <w:cantSplit/>
        </w:trPr>
        <w:tc>
          <w:tcPr>
            <w:tcW w:type="dxa" w:w="2462"/>
            <w:vAlign w:val="top"/>
            <w:shd w:fill="FFFFFF"/>
          </w:tcPr>
          <w:p>
            <w:pPr>
              <w:pStyle w:val="TableText"/>
              <w:keepNext w:val="0"/>
              <w:keepLines/>
            </w:pPr>
            <w:r>
              <w:t>Schools and youth organisations</w:t>
            </w:r>
          </w:p>
        </w:tc>
        <w:tc>
          <w:tcPr>
            <w:tcW w:type="dxa" w:w="3506"/>
            <w:vAlign w:val="top"/>
            <w:shd w:fill="FFFFFF"/>
          </w:tcPr>
          <w:p>
            <w:pPr>
              <w:pStyle w:val="TableText"/>
              <w:keepNext w:val="0"/>
              <w:keepLines/>
            </w:pPr>
            <w:r>
              <w:t>Curriculum-linked excursions, communication and collaboration, an accessible shared challenge</w:t>
            </w:r>
          </w:p>
        </w:tc>
        <w:tc>
          <w:tcPr>
            <w:tcW w:type="dxa" w:w="4184"/>
            <w:vAlign w:val="top"/>
            <w:shd w:fill="FFFFFF"/>
          </w:tcPr>
          <w:p>
            <w:pPr>
              <w:pStyle w:val="TableText"/>
              <w:keepNext w:val="0"/>
              <w:keepLines/>
            </w:pPr>
            <w:r>
              <w:t>Term-time blocks; transport, supervision, class size and reflection capacity determine the timetable.</w:t>
            </w:r>
          </w:p>
        </w:tc>
      </w:tr>
      <w:tr>
        <w:trPr>
          <w:cantSplit/>
        </w:trPr>
        <w:tc>
          <w:tcPr>
            <w:tcW w:type="dxa" w:w="2462"/>
            <w:vAlign w:val="top"/>
            <w:shd w:fill="EDF2EE"/>
          </w:tcPr>
          <w:p>
            <w:pPr>
              <w:pStyle w:val="TableText"/>
              <w:keepNext w:val="0"/>
              <w:keepLines/>
            </w:pPr>
            <w:r>
              <w:t>Employers and business-event organisers</w:t>
            </w:r>
          </w:p>
        </w:tc>
        <w:tc>
          <w:tcPr>
            <w:tcW w:type="dxa" w:w="3506"/>
            <w:vAlign w:val="top"/>
            <w:shd w:fill="EDF2EE"/>
          </w:tcPr>
          <w:p>
            <w:pPr>
              <w:pStyle w:val="TableText"/>
              <w:keepNext w:val="0"/>
              <w:keepLines/>
            </w:pPr>
            <w:r>
              <w:t>Team development, a useful retreat activity and application to real work</w:t>
            </w:r>
          </w:p>
        </w:tc>
        <w:tc>
          <w:tcPr>
            <w:tcW w:type="dxa" w:w="4184"/>
            <w:vAlign w:val="top"/>
            <w:shd w:fill="EDF2EE"/>
          </w:tcPr>
          <w:p>
            <w:pPr>
              <w:pStyle w:val="TableText"/>
              <w:keepNext w:val="0"/>
              <w:keepLines/>
            </w:pPr>
            <w:r>
              <w:t>Weekday and conference bookings; a defined workshop, facilitator and agreed group outputs.</w:t>
            </w:r>
          </w:p>
        </w:tc>
      </w:tr>
      <w:tr>
        <w:trPr>
          <w:cantSplit/>
        </w:trPr>
        <w:tc>
          <w:tcPr>
            <w:tcW w:type="dxa" w:w="2462"/>
            <w:vAlign w:val="top"/>
            <w:shd w:fill="FFFFFF"/>
          </w:tcPr>
          <w:p>
            <w:pPr>
              <w:pStyle w:val="TableText"/>
              <w:keepNext w:val="0"/>
              <w:keepLines/>
            </w:pPr>
            <w:r>
              <w:t>Tourism partners and local operators</w:t>
            </w:r>
          </w:p>
        </w:tc>
        <w:tc>
          <w:tcPr>
            <w:tcW w:type="dxa" w:w="3506"/>
            <w:vAlign w:val="top"/>
            <w:shd w:fill="FFFFFF"/>
          </w:tcPr>
          <w:p>
            <w:pPr>
              <w:pStyle w:val="TableText"/>
              <w:keepNext w:val="0"/>
              <w:keepLines/>
            </w:pPr>
            <w:r>
              <w:t>More reasons to visit, stay, return and spend locally</w:t>
            </w:r>
          </w:p>
        </w:tc>
        <w:tc>
          <w:tcPr>
            <w:tcW w:type="dxa" w:w="4184"/>
            <w:vAlign w:val="top"/>
            <w:shd w:fill="FFFFFF"/>
          </w:tcPr>
          <w:p>
            <w:pPr>
              <w:pStyle w:val="TableText"/>
              <w:keepNext w:val="0"/>
              <w:keepLines/>
            </w:pPr>
            <w:r>
              <w:t>Bookable routes, referral terms, live availability, reliable settlement and regionally distinctive content.</w:t>
            </w:r>
          </w:p>
        </w:tc>
      </w:tr>
    </w:tbl>
    <w:p>
      <w:pPr>
        <w:spacing w:after="20" w:before="0" w:line="240" w:lineRule="auto"/>
      </w:pPr>
      <w:r>
        <w:rPr>
          <w:sz w:val="6"/>
        </w:rPr>
      </w:r>
    </w:p>
    <w:p>
      <w:pPr/>
      <w:r>
        <w:t>Tourism Research Australia reports 112.5 million domestic overnight trips and $108.1 billion in spending, plus 288.4 million day trips and $52.0 billion in spending, for the year ending June 2026. These are travel occasions and spending across tourism. These figures give tourism context, rather than a share of spending available to this business. A local escape-room opportunity would need its own demand evidence.</w:t>
      </w:r>
    </w:p>
    <w:p>
      <w:pPr/>
      <w:r>
        <w:t>ABS records 4,160,918 school students in 9,673 Australian schools in 2025. TRA reports $17.2 billion in business-event visitor spending during 2025. The school register and business-event calendar are starting points for identifying buyers, timing and transport requirements.</w:t>
      </w:r>
    </w:p>
    <w:p>
      <w:pPr>
        <w:pStyle w:val="SourceNote"/>
      </w:pPr>
      <w:r>
        <w:t xml:space="preserve">Sources: </w:t>
      </w:r>
      <w:hyperlink w:anchor="source_M01">
        <w:r>
          <w:rPr>
            <w:color w:val="275E67"/>
            <w:u w:val="single"/>
          </w:rPr>
          <w:t xml:space="preserve">M01</w:t>
        </w:r>
      </w:hyperlink>
      <w:r>
        <w:t xml:space="preserve">, </w:t>
      </w:r>
      <w:hyperlink w:anchor="source_M02">
        <w:r>
          <w:rPr>
            <w:color w:val="275E67"/>
            <w:u w:val="single"/>
          </w:rPr>
          <w:t xml:space="preserve">M02</w:t>
        </w:r>
      </w:hyperlink>
      <w:r>
        <w:t xml:space="preserve">, </w:t>
      </w:r>
      <w:hyperlink w:anchor="source_M03">
        <w:r>
          <w:rPr>
            <w:color w:val="275E67"/>
            <w:u w:val="single"/>
          </w:rPr>
          <w:t xml:space="preserve">M03</w:t>
        </w:r>
      </w:hyperlink>
      <w:r>
        <w:t xml:space="preserve">, </w:t>
      </w:r>
      <w:hyperlink w:anchor="source_M04">
        <w:r>
          <w:rPr>
            <w:color w:val="275E67"/>
            <w:u w:val="single"/>
          </w:rPr>
          <w:t xml:space="preserve">M04</w:t>
        </w:r>
      </w:hyperlink>
    </w:p>
    <w:p>
      <w:bookmarkStart w:id="9" w:name="s_market_Published_room_counts__a454ce"/>
      <w:pPr>
        <w:pStyle w:val="Heading2"/>
      </w:pPr>
      <w:r>
        <w:t>Published room counts and simultaneous capacity</w:t>
      </w:r>
      <w:bookmarkEnd w:id="9"/>
    </w:p>
    <w:p>
      <w:pPr>
        <w:pStyle w:val="SourceNote"/>
        <w:keepNext/>
      </w:pPr>
      <w:r>
        <w:t>Source comparison | Recorded observation date 29 October 2026 | Verification status and reference periods are in the source register.</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3444"/>
        <w:gridCol w:w="2828"/>
        <w:gridCol w:w="3880"/>
      </w:tblGrid>
      <w:tr>
        <w:trPr>
          <w:cantSplit/>
          <w:tblHeader w:val="true"/>
        </w:trPr>
        <w:tc>
          <w:tcPr>
            <w:tcW w:type="dxa" w:w="3444"/>
            <w:vAlign w:val="center"/>
            <w:shd w:fill="203B4C"/>
          </w:tcPr>
          <w:p>
            <w:pPr>
              <w:pStyle w:val="TableHead"/>
              <w:keepNext/>
              <w:keepLines/>
            </w:pPr>
            <w:r>
              <w:rPr>
                <w:color w:val="FFFFFF"/>
              </w:rPr>
              <w:t>Operator and location</w:t>
            </w:r>
          </w:p>
        </w:tc>
        <w:tc>
          <w:tcPr>
            <w:tcW w:type="dxa" w:w="2828"/>
            <w:vAlign w:val="center"/>
            <w:shd w:fill="203B4C"/>
          </w:tcPr>
          <w:p>
            <w:pPr>
              <w:pStyle w:val="TableHead"/>
              <w:keepNext/>
              <w:keepLines/>
              <w:jc w:val="center"/>
            </w:pPr>
            <w:r>
              <w:rPr>
                <w:color w:val="FFFFFF"/>
              </w:rPr>
              <w:t>Published room count</w:t>
            </w:r>
          </w:p>
        </w:tc>
        <w:tc>
          <w:tcPr>
            <w:tcW w:type="dxa" w:w="3880"/>
            <w:vAlign w:val="center"/>
            <w:shd w:fill="203B4C"/>
          </w:tcPr>
          <w:p>
            <w:pPr>
              <w:pStyle w:val="TableHead"/>
              <w:keepNext/>
              <w:keepLines/>
              <w:jc w:val="center"/>
            </w:pPr>
            <w:r>
              <w:rPr>
                <w:color w:val="FFFFFF"/>
              </w:rPr>
              <w:t>Published simultaneous player capacity</w:t>
            </w:r>
          </w:p>
        </w:tc>
      </w:tr>
      <w:tr>
        <w:trPr>
          <w:cantSplit/>
        </w:trPr>
        <w:tc>
          <w:tcPr>
            <w:tcW w:type="dxa" w:w="3444"/>
            <w:vAlign w:val="top"/>
            <w:shd w:fill="EDF2EE"/>
          </w:tcPr>
          <w:p>
            <w:pPr>
              <w:pStyle w:val="TableText"/>
              <w:keepNext w:val="0"/>
              <w:keepLines/>
            </w:pPr>
            <w:r>
              <w:t>Escape This, Perth CBD</w:t>
            </w:r>
          </w:p>
        </w:tc>
        <w:tc>
          <w:tcPr>
            <w:tcW w:type="dxa" w:w="2828"/>
            <w:vAlign w:val="center"/>
            <w:shd w:fill="EDF2EE"/>
          </w:tcPr>
          <w:p>
            <w:pPr>
              <w:pStyle w:val="TableText"/>
              <w:keepNext w:val="0"/>
              <w:keepLines/>
              <w:jc w:val="center"/>
            </w:pPr>
            <w:r>
              <w:t>14</w:t>
            </w:r>
          </w:p>
        </w:tc>
        <w:tc>
          <w:tcPr>
            <w:tcW w:type="dxa" w:w="3880"/>
            <w:vAlign w:val="center"/>
            <w:shd w:fill="EDF2EE"/>
          </w:tcPr>
          <w:p>
            <w:pPr>
              <w:pStyle w:val="TableText"/>
              <w:keepNext w:val="0"/>
              <w:keepLines/>
              <w:jc w:val="center"/>
            </w:pPr>
            <w:r>
              <w:t>108</w:t>
            </w:r>
          </w:p>
        </w:tc>
      </w:tr>
      <w:tr>
        <w:trPr>
          <w:cantSplit/>
        </w:trPr>
        <w:tc>
          <w:tcPr>
            <w:tcW w:type="dxa" w:w="3444"/>
            <w:vAlign w:val="top"/>
            <w:shd w:fill="FFFFFF"/>
          </w:tcPr>
          <w:p>
            <w:pPr>
              <w:pStyle w:val="TableText"/>
              <w:keepNext w:val="0"/>
              <w:keepLines/>
            </w:pPr>
            <w:r>
              <w:t>Escape This, Northbridge</w:t>
            </w:r>
          </w:p>
        </w:tc>
        <w:tc>
          <w:tcPr>
            <w:tcW w:type="dxa" w:w="2828"/>
            <w:vAlign w:val="center"/>
            <w:shd w:fill="FFFFFF"/>
          </w:tcPr>
          <w:p>
            <w:pPr>
              <w:pStyle w:val="TableText"/>
              <w:keepNext w:val="0"/>
              <w:keepLines/>
              <w:jc w:val="center"/>
            </w:pPr>
            <w:r>
              <w:t>9</w:t>
            </w:r>
          </w:p>
        </w:tc>
        <w:tc>
          <w:tcPr>
            <w:tcW w:type="dxa" w:w="3880"/>
            <w:vAlign w:val="center"/>
            <w:shd w:fill="FFFFFF"/>
          </w:tcPr>
          <w:p>
            <w:pPr>
              <w:pStyle w:val="TableText"/>
              <w:keepNext w:val="0"/>
              <w:keepLines/>
              <w:jc w:val="center"/>
            </w:pPr>
            <w:r>
              <w:t>62</w:t>
            </w:r>
          </w:p>
        </w:tc>
      </w:tr>
      <w:tr>
        <w:trPr>
          <w:cantSplit/>
        </w:trPr>
        <w:tc>
          <w:tcPr>
            <w:tcW w:type="dxa" w:w="3444"/>
            <w:vAlign w:val="top"/>
            <w:shd w:fill="EDF2EE"/>
          </w:tcPr>
          <w:p>
            <w:pPr>
              <w:pStyle w:val="TableText"/>
              <w:keepNext w:val="0"/>
              <w:keepLines/>
            </w:pPr>
            <w:r>
              <w:t>Escape This, Sydney CBD</w:t>
            </w:r>
          </w:p>
        </w:tc>
        <w:tc>
          <w:tcPr>
            <w:tcW w:type="dxa" w:w="2828"/>
            <w:vAlign w:val="center"/>
            <w:shd w:fill="EDF2EE"/>
          </w:tcPr>
          <w:p>
            <w:pPr>
              <w:pStyle w:val="TableText"/>
              <w:keepNext w:val="0"/>
              <w:keepLines/>
              <w:jc w:val="center"/>
            </w:pPr>
            <w:r>
              <w:t>10</w:t>
            </w:r>
          </w:p>
        </w:tc>
        <w:tc>
          <w:tcPr>
            <w:tcW w:type="dxa" w:w="3880"/>
            <w:vAlign w:val="center"/>
            <w:shd w:fill="EDF2EE"/>
          </w:tcPr>
          <w:p>
            <w:pPr>
              <w:pStyle w:val="TableText"/>
              <w:keepNext w:val="0"/>
              <w:keepLines/>
              <w:jc w:val="center"/>
            </w:pPr>
            <w:r>
              <w:t>66</w:t>
            </w:r>
          </w:p>
        </w:tc>
      </w:tr>
      <w:tr>
        <w:trPr>
          <w:cantSplit/>
        </w:trPr>
        <w:tc>
          <w:tcPr>
            <w:tcW w:type="dxa" w:w="3444"/>
            <w:vAlign w:val="top"/>
            <w:shd w:fill="FFFFFF"/>
          </w:tcPr>
          <w:p>
            <w:pPr>
              <w:pStyle w:val="TableText"/>
              <w:keepNext w:val="0"/>
              <w:keepLines/>
            </w:pPr>
            <w:r>
              <w:t>Escape This, Manly</w:t>
            </w:r>
          </w:p>
        </w:tc>
        <w:tc>
          <w:tcPr>
            <w:tcW w:type="dxa" w:w="2828"/>
            <w:vAlign w:val="center"/>
            <w:shd w:fill="FFFFFF"/>
          </w:tcPr>
          <w:p>
            <w:pPr>
              <w:pStyle w:val="TableText"/>
              <w:keepNext w:val="0"/>
              <w:keepLines/>
              <w:jc w:val="center"/>
            </w:pPr>
            <w:r>
              <w:t>3</w:t>
            </w:r>
          </w:p>
        </w:tc>
        <w:tc>
          <w:tcPr>
            <w:tcW w:type="dxa" w:w="3880"/>
            <w:vAlign w:val="center"/>
            <w:shd w:fill="FFFFFF"/>
          </w:tcPr>
          <w:p>
            <w:pPr>
              <w:pStyle w:val="TableText"/>
              <w:keepNext w:val="0"/>
              <w:keepLines/>
              <w:jc w:val="center"/>
            </w:pPr>
            <w:r>
              <w:t>18</w:t>
            </w:r>
          </w:p>
        </w:tc>
      </w:tr>
      <w:tr>
        <w:trPr>
          <w:cantSplit/>
        </w:trPr>
        <w:tc>
          <w:tcPr>
            <w:tcW w:type="dxa" w:w="3444"/>
            <w:vAlign w:val="top"/>
            <w:shd w:fill="EDF2EE"/>
          </w:tcPr>
          <w:p>
            <w:pPr>
              <w:pStyle w:val="TableText"/>
              <w:keepNext w:val="0"/>
              <w:keepLines/>
            </w:pPr>
            <w:r>
              <w:t>Escape This, Melbourne CBD</w:t>
            </w:r>
          </w:p>
        </w:tc>
        <w:tc>
          <w:tcPr>
            <w:tcW w:type="dxa" w:w="2828"/>
            <w:vAlign w:val="center"/>
            <w:shd w:fill="EDF2EE"/>
          </w:tcPr>
          <w:p>
            <w:pPr>
              <w:pStyle w:val="TableText"/>
              <w:keepNext w:val="0"/>
              <w:keepLines/>
              <w:jc w:val="center"/>
            </w:pPr>
            <w:r>
              <w:t>12</w:t>
            </w:r>
          </w:p>
        </w:tc>
        <w:tc>
          <w:tcPr>
            <w:tcW w:type="dxa" w:w="3880"/>
            <w:vAlign w:val="center"/>
            <w:shd w:fill="EDF2EE"/>
          </w:tcPr>
          <w:p>
            <w:pPr>
              <w:pStyle w:val="TableText"/>
              <w:keepNext w:val="0"/>
              <w:keepLines/>
              <w:jc w:val="center"/>
            </w:pPr>
            <w:r>
              <w:t>82</w:t>
            </w:r>
          </w:p>
        </w:tc>
      </w:tr>
      <w:tr>
        <w:trPr>
          <w:cantSplit/>
        </w:trPr>
        <w:tc>
          <w:tcPr>
            <w:tcW w:type="dxa" w:w="3444"/>
            <w:vAlign w:val="top"/>
            <w:shd w:fill="FFFFFF"/>
          </w:tcPr>
          <w:p>
            <w:pPr>
              <w:pStyle w:val="TableText"/>
              <w:keepNext w:val="0"/>
              <w:keepLines/>
            </w:pPr>
            <w:r>
              <w:t>Fox in a Box, Brisbane</w:t>
            </w:r>
          </w:p>
        </w:tc>
        <w:tc>
          <w:tcPr>
            <w:tcW w:type="dxa" w:w="2828"/>
            <w:vAlign w:val="center"/>
            <w:shd w:fill="FFFFFF"/>
          </w:tcPr>
          <w:p>
            <w:pPr>
              <w:pStyle w:val="TableText"/>
              <w:keepNext w:val="0"/>
              <w:keepLines/>
              <w:jc w:val="center"/>
            </w:pPr>
            <w:r>
              <w:t>10</w:t>
            </w:r>
          </w:p>
        </w:tc>
        <w:tc>
          <w:tcPr>
            <w:tcW w:type="dxa" w:w="3880"/>
            <w:vAlign w:val="center"/>
            <w:shd w:fill="FFFFFF"/>
          </w:tcPr>
          <w:p>
            <w:pPr>
              <w:pStyle w:val="TableText"/>
              <w:keepNext w:val="0"/>
              <w:keepLines/>
              <w:jc w:val="center"/>
            </w:pPr>
            <w:r>
              <w:t>60</w:t>
            </w:r>
          </w:p>
        </w:tc>
      </w:tr>
      <w:tr>
        <w:trPr>
          <w:cantSplit/>
        </w:trPr>
        <w:tc>
          <w:tcPr>
            <w:tcW w:type="dxa" w:w="3444"/>
            <w:vAlign w:val="top"/>
            <w:shd w:fill="EDF2EE"/>
          </w:tcPr>
          <w:p>
            <w:pPr>
              <w:pStyle w:val="TableText"/>
              <w:keepNext w:val="0"/>
              <w:keepLines/>
            </w:pPr>
            <w:r>
              <w:t>The Great Escape, Melbourne CBD</w:t>
            </w:r>
          </w:p>
        </w:tc>
        <w:tc>
          <w:tcPr>
            <w:tcW w:type="dxa" w:w="2828"/>
            <w:vAlign w:val="center"/>
            <w:shd w:fill="EDF2EE"/>
          </w:tcPr>
          <w:p>
            <w:pPr>
              <w:pStyle w:val="TableText"/>
              <w:keepNext w:val="0"/>
              <w:keepLines/>
              <w:jc w:val="center"/>
            </w:pPr>
            <w:r>
              <w:t>Nine-room design; five currently advertised open</w:t>
            </w:r>
          </w:p>
        </w:tc>
        <w:tc>
          <w:tcPr>
            <w:tcW w:type="dxa" w:w="3880"/>
            <w:vAlign w:val="center"/>
            <w:shd w:fill="EDF2EE"/>
          </w:tcPr>
          <w:p>
            <w:pPr>
              <w:pStyle w:val="TableText"/>
              <w:keepNext w:val="0"/>
              <w:keepLines/>
              <w:jc w:val="center"/>
            </w:pPr>
            <w:r>
              <w:t>Individual game limits published; no combined operating total assumed</w:t>
            </w:r>
          </w:p>
        </w:tc>
      </w:tr>
    </w:tbl>
    <w:p>
      <w:pPr>
        <w:spacing w:after="20" w:before="0" w:line="240" w:lineRule="auto"/>
      </w:pPr>
      <w:r>
        <w:rPr>
          <w:sz w:val="6"/>
        </w:rPr>
      </w:r>
    </w:p>
    <w:p>
      <w:pPr/>
      <w:r>
        <w:t>These are observed venue examples, checked on 29 October 2026. Room limits differ within a venue. Escape This's five listed venues total 48 rooms and a theoretical 336 players at the individual room maxima. A separately advertised corporate event may have a different booking limit.</w:t>
      </w:r>
    </w:p>
    <w:p>
      <w:pPr/>
      <w:r>
        <w:t>Padlockd advertises sixteen experiences across several Gold Coast locations. That is a network catalogue, rather than sixteen rooms in one premises. These distinctions matter when comparing throughput, floor space and the investment required.</w:t>
      </w:r>
    </w:p>
    <w:p>
      <w:pPr>
        <w:pStyle w:val="SourceNote"/>
      </w:pPr>
      <w:r>
        <w:t xml:space="preserve">Sources: </w:t>
      </w:r>
      <w:hyperlink w:anchor="source_M07">
        <w:r>
          <w:rPr>
            <w:color w:val="275E67"/>
            <w:u w:val="single"/>
          </w:rPr>
          <w:t xml:space="preserve">M07</w:t>
        </w:r>
      </w:hyperlink>
      <w:r>
        <w:t xml:space="preserve">, </w:t>
      </w:r>
      <w:hyperlink w:anchor="source_M08">
        <w:r>
          <w:rPr>
            <w:color w:val="275E67"/>
            <w:u w:val="single"/>
          </w:rPr>
          <w:t xml:space="preserve">M08</w:t>
        </w:r>
      </w:hyperlink>
      <w:r>
        <w:t xml:space="preserve">, </w:t>
      </w:r>
      <w:hyperlink w:anchor="source_M10">
        <w:r>
          <w:rPr>
            <w:color w:val="275E67"/>
            <w:u w:val="single"/>
          </w:rPr>
          <w:t xml:space="preserve">M10</w:t>
        </w:r>
      </w:hyperlink>
      <w:r>
        <w:t xml:space="preserve">, </w:t>
      </w:r>
      <w:hyperlink w:anchor="source_M12">
        <w:r>
          <w:rPr>
            <w:color w:val="275E67"/>
            <w:u w:val="single"/>
          </w:rPr>
          <w:t xml:space="preserve">M12</w:t>
        </w:r>
      </w:hyperlink>
      <w:r>
        <w:t xml:space="preserve">, </w:t>
      </w:r>
      <w:hyperlink w:anchor="source_M17">
        <w:r>
          <w:rPr>
            <w:color w:val="275E67"/>
            <w:u w:val="single"/>
          </w:rPr>
          <w:t xml:space="preserve">M17</w:t>
        </w:r>
      </w:hyperlink>
    </w:p>
    <w:p>
      <w:bookmarkStart w:id="10" w:name="s_market_Published_physical_are_b4e6ab"/>
      <w:pPr>
        <w:pStyle w:val="Heading2"/>
      </w:pPr>
      <w:r>
        <w:t>Published physical area and what it measures</w:t>
      </w:r>
      <w:bookmarkEnd w:id="10"/>
    </w:p>
    <w:p>
      <w:pPr>
        <w:pStyle w:val="SourceNote"/>
        <w:keepNext/>
      </w:pPr>
      <w:r>
        <w:t>Source comparison | Recorded observation date 29 October 2026 | Verification status and reference periods are in the source register.</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3329"/>
        <w:gridCol w:w="1970"/>
        <w:gridCol w:w="4853"/>
      </w:tblGrid>
      <w:tr>
        <w:trPr>
          <w:cantSplit/>
          <w:tblHeader w:val="true"/>
        </w:trPr>
        <w:tc>
          <w:tcPr>
            <w:tcW w:type="dxa" w:w="3329"/>
            <w:vAlign w:val="center"/>
            <w:shd w:fill="203B4C"/>
          </w:tcPr>
          <w:p>
            <w:pPr>
              <w:pStyle w:val="TableHead"/>
              <w:keepNext/>
              <w:keepLines/>
            </w:pPr>
            <w:r>
              <w:rPr>
                <w:color w:val="FFFFFF"/>
              </w:rPr>
              <w:t>Source and configuration</w:t>
            </w:r>
          </w:p>
        </w:tc>
        <w:tc>
          <w:tcPr>
            <w:tcW w:type="dxa" w:w="1970"/>
            <w:vAlign w:val="center"/>
            <w:shd w:fill="203B4C"/>
          </w:tcPr>
          <w:p>
            <w:pPr>
              <w:pStyle w:val="TableHead"/>
              <w:keepNext/>
              <w:keepLines/>
            </w:pPr>
            <w:r>
              <w:rPr>
                <w:color w:val="FFFFFF"/>
              </w:rPr>
              <w:t>Published area</w:t>
            </w:r>
          </w:p>
        </w:tc>
        <w:tc>
          <w:tcPr>
            <w:tcW w:type="dxa" w:w="4853"/>
            <w:vAlign w:val="center"/>
            <w:shd w:fill="203B4C"/>
          </w:tcPr>
          <w:p>
            <w:pPr>
              <w:pStyle w:val="TableHead"/>
              <w:keepNext/>
              <w:keepLines/>
            </w:pPr>
            <w:r>
              <w:rPr>
                <w:color w:val="FFFFFF"/>
              </w:rPr>
              <w:t>Scope of the measurement</w:t>
            </w:r>
          </w:p>
        </w:tc>
      </w:tr>
      <w:tr>
        <w:trPr>
          <w:cantSplit/>
        </w:trPr>
        <w:tc>
          <w:tcPr>
            <w:tcW w:type="dxa" w:w="3329"/>
            <w:vAlign w:val="top"/>
            <w:shd w:fill="EDF2EE"/>
          </w:tcPr>
          <w:p>
            <w:pPr>
              <w:pStyle w:val="TableText"/>
              <w:keepNext w:val="0"/>
              <w:keepLines/>
            </w:pPr>
            <w:r>
              <w:t>Indestroom Jungle and Magic School</w:t>
            </w:r>
          </w:p>
        </w:tc>
        <w:tc>
          <w:tcPr>
            <w:tcW w:type="dxa" w:w="1970"/>
            <w:vAlign w:val="top"/>
            <w:shd w:fill="EDF2EE"/>
          </w:tcPr>
          <w:p>
            <w:pPr>
              <w:pStyle w:val="TableText"/>
              <w:keepNext w:val="0"/>
              <w:keepLines/>
            </w:pPr>
            <w:r>
              <w:t>30 to 50 m²</w:t>
            </w:r>
          </w:p>
        </w:tc>
        <w:tc>
          <w:tcPr>
            <w:tcW w:type="dxa" w:w="4853"/>
            <w:vAlign w:val="top"/>
            <w:shd w:fill="EDF2EE"/>
          </w:tcPr>
          <w:p>
            <w:pPr>
              <w:pStyle w:val="TableText"/>
              <w:keepNext w:val="0"/>
              <w:keepLines/>
            </w:pPr>
            <w:r>
              <w:t>Supplier game configuration, with different player limits.</w:t>
            </w:r>
          </w:p>
        </w:tc>
      </w:tr>
      <w:tr>
        <w:trPr>
          <w:cantSplit/>
        </w:trPr>
        <w:tc>
          <w:tcPr>
            <w:tcW w:type="dxa" w:w="3329"/>
            <w:vAlign w:val="top"/>
            <w:shd w:fill="FFFFFF"/>
          </w:tcPr>
          <w:p>
            <w:pPr>
              <w:pStyle w:val="TableText"/>
              <w:keepNext w:val="0"/>
              <w:keepLines/>
            </w:pPr>
            <w:r>
              <w:t>Indestroom Pharaoh's Tomb</w:t>
            </w:r>
          </w:p>
        </w:tc>
        <w:tc>
          <w:tcPr>
            <w:tcW w:type="dxa" w:w="1970"/>
            <w:vAlign w:val="top"/>
            <w:shd w:fill="FFFFFF"/>
          </w:tcPr>
          <w:p>
            <w:pPr>
              <w:pStyle w:val="TableText"/>
              <w:keepNext w:val="0"/>
              <w:keepLines/>
            </w:pPr>
            <w:r>
              <w:t>30 to 70 m²</w:t>
            </w:r>
          </w:p>
        </w:tc>
        <w:tc>
          <w:tcPr>
            <w:tcW w:type="dxa" w:w="4853"/>
            <w:vAlign w:val="top"/>
            <w:shd w:fill="FFFFFF"/>
          </w:tcPr>
          <w:p>
            <w:pPr>
              <w:pStyle w:val="TableText"/>
              <w:keepNext w:val="0"/>
              <w:keepLines/>
            </w:pPr>
            <w:r>
              <w:t>Supplier game configuration for two to six players.</w:t>
            </w:r>
          </w:p>
        </w:tc>
      </w:tr>
      <w:tr>
        <w:trPr>
          <w:cantSplit/>
        </w:trPr>
        <w:tc>
          <w:tcPr>
            <w:tcW w:type="dxa" w:w="3329"/>
            <w:vAlign w:val="top"/>
            <w:shd w:fill="EDF2EE"/>
          </w:tcPr>
          <w:p>
            <w:pPr>
              <w:pStyle w:val="TableText"/>
              <w:keepNext w:val="0"/>
              <w:keepLines/>
            </w:pPr>
            <w:r>
              <w:t>Indestroom Vault-32 and Enchanted Forest</w:t>
            </w:r>
          </w:p>
        </w:tc>
        <w:tc>
          <w:tcPr>
            <w:tcW w:type="dxa" w:w="1970"/>
            <w:vAlign w:val="top"/>
            <w:shd w:fill="EDF2EE"/>
          </w:tcPr>
          <w:p>
            <w:pPr>
              <w:pStyle w:val="TableText"/>
              <w:keepNext w:val="0"/>
              <w:keepLines/>
            </w:pPr>
            <w:r>
              <w:t>40 to 80 m²</w:t>
            </w:r>
          </w:p>
        </w:tc>
        <w:tc>
          <w:tcPr>
            <w:tcW w:type="dxa" w:w="4853"/>
            <w:vAlign w:val="top"/>
            <w:shd w:fill="EDF2EE"/>
          </w:tcPr>
          <w:p>
            <w:pPr>
              <w:pStyle w:val="TableText"/>
              <w:keepNext w:val="0"/>
              <w:keepLines/>
            </w:pPr>
            <w:r>
              <w:t>Supplier game configuration for larger groups.</w:t>
            </w:r>
          </w:p>
        </w:tc>
      </w:tr>
      <w:tr>
        <w:trPr>
          <w:cantSplit/>
        </w:trPr>
        <w:tc>
          <w:tcPr>
            <w:tcW w:type="dxa" w:w="3329"/>
            <w:vAlign w:val="top"/>
            <w:shd w:fill="FFFFFF"/>
          </w:tcPr>
          <w:p>
            <w:pPr>
              <w:pStyle w:val="TableText"/>
              <w:keepNext w:val="0"/>
              <w:keepLines/>
            </w:pPr>
            <w:r>
              <w:t>Mission Sydney, Trapped</w:t>
            </w:r>
          </w:p>
        </w:tc>
        <w:tc>
          <w:tcPr>
            <w:tcW w:type="dxa" w:w="1970"/>
            <w:vAlign w:val="top"/>
            <w:shd w:fill="FFFFFF"/>
          </w:tcPr>
          <w:p>
            <w:pPr>
              <w:pStyle w:val="TableText"/>
              <w:keepNext w:val="0"/>
              <w:keepLines/>
            </w:pPr>
            <w:r>
              <w:t>About 6 m²</w:t>
            </w:r>
          </w:p>
        </w:tc>
        <w:tc>
          <w:tcPr>
            <w:tcW w:type="dxa" w:w="4853"/>
            <w:vAlign w:val="top"/>
            <w:shd w:fill="FFFFFF"/>
          </w:tcPr>
          <w:p>
            <w:pPr>
              <w:pStyle w:val="TableText"/>
              <w:keepNext w:val="0"/>
              <w:keepLines/>
            </w:pPr>
            <w:r>
              <w:t>The smallest lift chamber inside the set, not the complete adventure.</w:t>
            </w:r>
          </w:p>
        </w:tc>
      </w:tr>
      <w:tr>
        <w:trPr>
          <w:cantSplit/>
        </w:trPr>
        <w:tc>
          <w:tcPr>
            <w:tcW w:type="dxa" w:w="3329"/>
            <w:vAlign w:val="top"/>
            <w:shd w:fill="EDF2EE"/>
          </w:tcPr>
          <w:p>
            <w:pPr>
              <w:pStyle w:val="TableText"/>
              <w:keepNext w:val="0"/>
              <w:keepLines/>
            </w:pPr>
            <w:r>
              <w:t>The Great Escape Melbourne, Amicus project record</w:t>
            </w:r>
          </w:p>
        </w:tc>
        <w:tc>
          <w:tcPr>
            <w:tcW w:type="dxa" w:w="1970"/>
            <w:vAlign w:val="top"/>
            <w:shd w:fill="EDF2EE"/>
          </w:tcPr>
          <w:p>
            <w:pPr>
              <w:pStyle w:val="TableText"/>
              <w:keepNext w:val="0"/>
              <w:keepLines/>
            </w:pPr>
            <w:r>
              <w:t>1,240 m²</w:t>
            </w:r>
          </w:p>
        </w:tc>
        <w:tc>
          <w:tcPr>
            <w:tcW w:type="dxa" w:w="4853"/>
            <w:vAlign w:val="top"/>
            <w:shd w:fill="EDF2EE"/>
          </w:tcPr>
          <w:p>
            <w:pPr>
              <w:pStyle w:val="TableText"/>
              <w:keepNext w:val="0"/>
              <w:keepLines/>
            </w:pPr>
            <w:r>
              <w:t>The whole mixed venue: nine-room design, mini-golf, arcade, bar, kitchen and lounges.</w:t>
            </w:r>
          </w:p>
        </w:tc>
      </w:tr>
      <w:tr>
        <w:trPr>
          <w:cantSplit/>
        </w:trPr>
        <w:tc>
          <w:tcPr>
            <w:tcW w:type="dxa" w:w="3329"/>
            <w:vAlign w:val="top"/>
            <w:shd w:fill="FFFFFF"/>
          </w:tcPr>
          <w:p>
            <w:pPr>
              <w:pStyle w:val="TableText"/>
              <w:keepNext w:val="0"/>
              <w:keepLines/>
            </w:pPr>
            <w:r>
              <w:t>Lost Locks founder interview, May 2023</w:t>
            </w:r>
          </w:p>
        </w:tc>
        <w:tc>
          <w:tcPr>
            <w:tcW w:type="dxa" w:w="1970"/>
            <w:vAlign w:val="top"/>
            <w:shd w:fill="FFFFFF"/>
          </w:tcPr>
          <w:p>
            <w:pPr>
              <w:pStyle w:val="TableText"/>
              <w:keepNext w:val="0"/>
              <w:keepLines/>
            </w:pPr>
            <w:r>
              <w:t>About 500 m² sought</w:t>
            </w:r>
          </w:p>
        </w:tc>
        <w:tc>
          <w:tcPr>
            <w:tcW w:type="dxa" w:w="4853"/>
            <w:vAlign w:val="top"/>
            <w:shd w:fill="FFFFFF"/>
          </w:tcPr>
          <w:p>
            <w:pPr>
              <w:pStyle w:val="TableText"/>
              <w:keepNext w:val="0"/>
              <w:keepLines/>
            </w:pPr>
            <w:r>
              <w:t>Historical whole-premises search target for up to ten rooms; six were open at interview.</w:t>
            </w:r>
          </w:p>
        </w:tc>
      </w:tr>
    </w:tbl>
    <w:p>
      <w:pPr>
        <w:spacing w:after="20" w:before="0" w:line="240" w:lineRule="auto"/>
      </w:pPr>
      <w:r>
        <w:rPr>
          <w:sz w:val="6"/>
        </w:rPr>
      </w:r>
    </w:p>
    <w:p>
      <w:pPr/>
      <w:r>
        <w:t>This sample supports a range of formats. It does not provide a national mean room size. The 45 m² module used in one worked illustration falls within the published supplier ranges. It is an assumption for comparison. Reflection, storage, circulation, access and staff facilities would require additional measured space and separate costing.</w:t>
      </w:r>
    </w:p>
    <w:p>
      <w:pPr/>
      <w:r>
        <w:t>The larger venue examples show where growth can lead. A premises comparison would need to match the room catalogue, buyer groups and delivery capacity under consideration.</w:t>
      </w:r>
    </w:p>
    <w:p>
      <w:pPr>
        <w:pStyle w:val="SourceNote"/>
      </w:pPr>
      <w:r>
        <w:t xml:space="preserve">Sources: </w:t>
      </w:r>
      <w:hyperlink w:anchor="source_M11">
        <w:r>
          <w:rPr>
            <w:color w:val="275E67"/>
            <w:u w:val="single"/>
          </w:rPr>
          <w:t xml:space="preserve">M11</w:t>
        </w:r>
      </w:hyperlink>
      <w:r>
        <w:t xml:space="preserve">, </w:t>
      </w:r>
      <w:hyperlink w:anchor="source_M12">
        <w:r>
          <w:rPr>
            <w:color w:val="275E67"/>
            <w:u w:val="single"/>
          </w:rPr>
          <w:t xml:space="preserve">M12</w:t>
        </w:r>
      </w:hyperlink>
      <w:r>
        <w:t xml:space="preserve">, </w:t>
      </w:r>
      <w:hyperlink w:anchor="source_M13">
        <w:r>
          <w:rPr>
            <w:color w:val="275E67"/>
            <w:u w:val="single"/>
          </w:rPr>
          <w:t xml:space="preserve">M13</w:t>
        </w:r>
      </w:hyperlink>
      <w:r>
        <w:t xml:space="preserve">, </w:t>
      </w:r>
      <w:hyperlink w:anchor="source_M14">
        <w:r>
          <w:rPr>
            <w:color w:val="275E67"/>
            <w:u w:val="single"/>
          </w:rPr>
          <w:t xml:space="preserve">M14</w:t>
        </w:r>
      </w:hyperlink>
      <w:r>
        <w:t xml:space="preserve">, </w:t>
      </w:r>
      <w:hyperlink w:anchor="source_M15">
        <w:r>
          <w:rPr>
            <w:color w:val="275E67"/>
            <w:u w:val="single"/>
          </w:rPr>
          <w:t xml:space="preserve">M15</w:t>
        </w:r>
      </w:hyperlink>
    </w:p>
    <w:p>
      <w:bookmarkStart w:id="11" w:name="s_market_Competitors__pricing_a_87930c"/>
      <w:pPr>
        <w:pStyle w:val="Heading2"/>
      </w:pPr>
      <w:r>
        <w:t>Competitors, pricing and differentiation</w:t>
      </w:r>
      <w:bookmarkEnd w:id="11"/>
    </w:p>
    <w:p>
      <w:pPr>
        <w:pStyle w:val="SourceNote"/>
        <w:keepNext/>
      </w:pPr>
      <w:r>
        <w:t>Source comparison | Recorded observation date 29 October 2026 | Verification status and reference periods are in the source register.</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4047"/>
        <w:gridCol w:w="6105"/>
      </w:tblGrid>
      <w:tr>
        <w:trPr>
          <w:cantSplit/>
          <w:tblHeader w:val="true"/>
        </w:trPr>
        <w:tc>
          <w:tcPr>
            <w:tcW w:type="dxa" w:w="4047"/>
            <w:vAlign w:val="center"/>
            <w:shd w:fill="203B4C"/>
          </w:tcPr>
          <w:p>
            <w:pPr>
              <w:pStyle w:val="TableHead"/>
              <w:keepNext/>
              <w:keepLines/>
            </w:pPr>
            <w:r>
              <w:rPr>
                <w:color w:val="FFFFFF"/>
              </w:rPr>
              <w:t>Published offer</w:t>
            </w:r>
          </w:p>
        </w:tc>
        <w:tc>
          <w:tcPr>
            <w:tcW w:type="dxa" w:w="6105"/>
            <w:vAlign w:val="center"/>
            <w:shd w:fill="203B4C"/>
          </w:tcPr>
          <w:p>
            <w:pPr>
              <w:pStyle w:val="TableHead"/>
              <w:keepNext/>
              <w:keepLines/>
            </w:pPr>
            <w:r>
              <w:rPr>
                <w:color w:val="FFFFFF"/>
              </w:rPr>
              <w:t>Price and key conditions</w:t>
            </w:r>
          </w:p>
        </w:tc>
      </w:tr>
      <w:tr>
        <w:trPr>
          <w:cantSplit/>
        </w:trPr>
        <w:tc>
          <w:tcPr>
            <w:tcW w:type="dxa" w:w="4047"/>
            <w:vAlign w:val="top"/>
            <w:shd w:fill="EDF2EE"/>
          </w:tcPr>
          <w:p>
            <w:pPr>
              <w:pStyle w:val="TableText"/>
              <w:keepNext w:val="0"/>
              <w:keepLines/>
            </w:pPr>
            <w:r>
              <w:t>Puzzled public, Brisbane</w:t>
            </w:r>
          </w:p>
        </w:tc>
        <w:tc>
          <w:tcPr>
            <w:tcW w:type="dxa" w:w="6105"/>
            <w:vAlign w:val="top"/>
            <w:shd w:fill="EDF2EE"/>
          </w:tcPr>
          <w:p>
            <w:pPr>
              <w:pStyle w:val="TableText"/>
              <w:keepNext w:val="0"/>
              <w:keepLines/>
            </w:pPr>
            <w:r>
              <w:t>$42 per person for four to six players; smaller groups pay more.</w:t>
            </w:r>
          </w:p>
        </w:tc>
      </w:tr>
      <w:tr>
        <w:trPr>
          <w:cantSplit/>
        </w:trPr>
        <w:tc>
          <w:tcPr>
            <w:tcW w:type="dxa" w:w="4047"/>
            <w:vAlign w:val="top"/>
            <w:shd w:fill="FFFFFF"/>
          </w:tcPr>
          <w:p>
            <w:pPr>
              <w:pStyle w:val="TableText"/>
              <w:keepNext w:val="0"/>
              <w:keepLines/>
            </w:pPr>
            <w:r>
              <w:t>Puzzled student programme</w:t>
            </w:r>
          </w:p>
        </w:tc>
        <w:tc>
          <w:tcPr>
            <w:tcW w:type="dxa" w:w="6105"/>
            <w:vAlign w:val="top"/>
            <w:shd w:fill="FFFFFF"/>
          </w:tcPr>
          <w:p>
            <w:pPr>
              <w:pStyle w:val="TableText"/>
              <w:keepNext w:val="0"/>
              <w:keepLines/>
            </w:pPr>
            <w:r>
              <w:t>$35 per person on weekdays, minimum twenty.</w:t>
            </w:r>
          </w:p>
        </w:tc>
      </w:tr>
      <w:tr>
        <w:trPr>
          <w:cantSplit/>
        </w:trPr>
        <w:tc>
          <w:tcPr>
            <w:tcW w:type="dxa" w:w="4047"/>
            <w:vAlign w:val="top"/>
            <w:shd w:fill="EDF2EE"/>
          </w:tcPr>
          <w:p>
            <w:pPr>
              <w:pStyle w:val="TableText"/>
              <w:keepNext w:val="0"/>
              <w:keepLines/>
            </w:pPr>
            <w:r>
              <w:t>Project Immersive group event</w:t>
            </w:r>
          </w:p>
        </w:tc>
        <w:tc>
          <w:tcPr>
            <w:tcW w:type="dxa" w:w="6105"/>
            <w:vAlign w:val="top"/>
            <w:shd w:fill="EDF2EE"/>
          </w:tcPr>
          <w:p>
            <w:pPr>
              <w:pStyle w:val="TableText"/>
              <w:keepNext w:val="0"/>
              <w:keepLines/>
            </w:pPr>
            <w:r>
              <w:t>$44 per person for seven to twenty people; minimum three per game.</w:t>
            </w:r>
          </w:p>
        </w:tc>
      </w:tr>
      <w:tr>
        <w:trPr>
          <w:cantSplit/>
        </w:trPr>
        <w:tc>
          <w:tcPr>
            <w:tcW w:type="dxa" w:w="4047"/>
            <w:vAlign w:val="top"/>
            <w:shd w:fill="FFFFFF"/>
          </w:tcPr>
          <w:p>
            <w:pPr>
              <w:pStyle w:val="TableText"/>
              <w:keepNext w:val="0"/>
              <w:keepLines/>
            </w:pPr>
            <w:r>
              <w:t>Fox in a Box corporate</w:t>
            </w:r>
          </w:p>
        </w:tc>
        <w:tc>
          <w:tcPr>
            <w:tcW w:type="dxa" w:w="6105"/>
            <w:vAlign w:val="top"/>
            <w:shd w:fill="FFFFFF"/>
          </w:tcPr>
          <w:p>
            <w:pPr>
              <w:pStyle w:val="TableText"/>
              <w:keepNext w:val="0"/>
              <w:keepLines/>
            </w:pPr>
            <w:r>
              <w:t>$45 for one game or $80 for two, minimum thirteen participants.</w:t>
            </w:r>
          </w:p>
        </w:tc>
      </w:tr>
      <w:tr>
        <w:trPr>
          <w:cantSplit/>
        </w:trPr>
        <w:tc>
          <w:tcPr>
            <w:tcW w:type="dxa" w:w="4047"/>
            <w:vAlign w:val="top"/>
            <w:shd w:fill="EDF2EE"/>
          </w:tcPr>
          <w:p>
            <w:pPr>
              <w:pStyle w:val="TableText"/>
              <w:keepNext w:val="0"/>
              <w:keepLines/>
            </w:pPr>
            <w:r>
              <w:t>Red Lock weekday multi-game package</w:t>
            </w:r>
          </w:p>
        </w:tc>
        <w:tc>
          <w:tcPr>
            <w:tcW w:type="dxa" w:w="6105"/>
            <w:vAlign w:val="top"/>
            <w:shd w:fill="EDF2EE"/>
          </w:tcPr>
          <w:p>
            <w:pPr>
              <w:pStyle w:val="TableText"/>
              <w:keepNext w:val="0"/>
              <w:keepLines/>
            </w:pPr>
            <w:r>
              <w:t>Three rooms for $99 per person; further rooms $33 each; conditions exclude Queensland school holidays.</w:t>
            </w:r>
          </w:p>
        </w:tc>
      </w:tr>
    </w:tbl>
    <w:p>
      <w:pPr>
        <w:spacing w:after="20" w:before="0" w:line="240" w:lineRule="auto"/>
      </w:pPr>
      <w:r>
        <w:rPr>
          <w:sz w:val="6"/>
        </w:rPr>
      </w:r>
    </w:p>
    <w:p>
      <w:pPr/>
      <w:r>
        <w:t>For comparison, the finance chapter retains $59 for a public visit with reflection and $99 for a workshop. These are inherited model inputs, not researched willingness-to-pay findings or asking prices for this business. Their relationship to the published competitor offers needs testing, including whether customers value the additional time and facilitation.</w:t>
      </w:r>
    </w:p>
    <w:p>
      <w:pPr/>
      <w:r>
        <w:t>The differentiation hypothesis joins independent play without hints, contextual noticing of language and teamwork, progression across life, local content, cross-venue travel and continuing personal Aura records chosen by the participant. Existing team-building operators also offer communication and reflection, so integration and repeat value need evidence beyond the presence of a debrief.</w:t>
      </w:r>
    </w:p>
    <w:p>
      <w:pPr>
        <w:pStyle w:val="SourceNote"/>
      </w:pPr>
      <w:r>
        <w:t xml:space="preserve">Sources: </w:t>
      </w:r>
      <w:hyperlink w:anchor="source_M07">
        <w:r>
          <w:rPr>
            <w:color w:val="275E67"/>
            <w:u w:val="single"/>
          </w:rPr>
          <w:t xml:space="preserve">M07</w:t>
        </w:r>
      </w:hyperlink>
      <w:r>
        <w:t xml:space="preserve">, </w:t>
      </w:r>
      <w:hyperlink w:anchor="source_M09">
        <w:r>
          <w:rPr>
            <w:color w:val="275E67"/>
            <w:u w:val="single"/>
          </w:rPr>
          <w:t xml:space="preserve">M09</w:t>
        </w:r>
      </w:hyperlink>
      <w:r>
        <w:t xml:space="preserve">, </w:t>
      </w:r>
      <w:hyperlink w:anchor="source_M10">
        <w:r>
          <w:rPr>
            <w:color w:val="275E67"/>
            <w:u w:val="single"/>
          </w:rPr>
          <w:t xml:space="preserve">M10</w:t>
        </w:r>
      </w:hyperlink>
      <w:r>
        <w:t xml:space="preserve">, </w:t>
      </w:r>
      <w:hyperlink w:anchor="source_M18">
        <w:r>
          <w:rPr>
            <w:color w:val="275E67"/>
            <w:u w:val="single"/>
          </w:rPr>
          <w:t xml:space="preserve">M18</w:t>
        </w:r>
      </w:hyperlink>
      <w:r>
        <w:t xml:space="preserve">, </w:t>
      </w:r>
      <w:hyperlink w:anchor="source_M19">
        <w:r>
          <w:rPr>
            <w:color w:val="275E67"/>
            <w:u w:val="single"/>
          </w:rPr>
          <w:t xml:space="preserve">M19</w:t>
        </w:r>
      </w:hyperlink>
      <w:r>
        <w:t xml:space="preserve">, </w:t>
      </w:r>
      <w:hyperlink w:anchor="source_M20">
        <w:r>
          <w:rPr>
            <w:color w:val="275E67"/>
            <w:u w:val="single"/>
          </w:rPr>
          <w:t xml:space="preserve">M20</w:t>
        </w:r>
      </w:hyperlink>
    </w:p>
    <w:p>
      <w:bookmarkStart w:id="12" w:name="s_market_A_site_level_market_ca_c2690f"/>
      <w:pPr>
        <w:pStyle w:val="Heading2"/>
      </w:pPr>
      <w:r>
        <w:t>A site-level market case</w:t>
      </w:r>
      <w:bookmarkEnd w:id="12"/>
    </w:p>
    <w:p>
      <w:pPr/>
      <w:r>
        <w:t>A useful candidate-site comparison would contain the measured premises and permitted use; local competitor prices, capacities and availability; reachable schools and employers; visitor nights and seasonal patterns; accommodation and event partners; transport and parking; suitable local contractors; and customers at each stage of interest, quotation and paid booking.</w:t>
      </w:r>
    </w:p>
    <w:p>
      <w:pPr/>
      <w:r>
        <w:t>A sales forecast could be assembled by customer segment, month, room session and expected group size. A school class that needs six room sessions consumes six sessions. A traveller playing three destinations generates three admissions and remains one customer in the customer count.</w:t>
      </w:r>
    </w:p>
    <w:p>
      <w:pPr/>
      <w:r>
        <w:t>Compare direct bookings, partner referrals and tourism distribution separately. Retain the net amount after each channel's commission and payment fees. Track enquiries, conversion, advance bookings, cancellations, repeat visits, room utilisation and contribution per staffed opening block. Those results would inform whether to develop a location further.</w:t>
      </w:r>
    </w:p>
    <w:p>
      <w:pPr>
        <w:pStyle w:val="SourceNote"/>
      </w:pPr>
      <w:r>
        <w:t xml:space="preserve">Sources: </w:t>
      </w:r>
      <w:hyperlink w:anchor="source_M05">
        <w:r>
          <w:rPr>
            <w:color w:val="275E67"/>
            <w:u w:val="single"/>
          </w:rPr>
          <w:t xml:space="preserve">M05</w:t>
        </w:r>
      </w:hyperlink>
      <w:r>
        <w:t xml:space="preserve">, </w:t>
      </w:r>
      <w:hyperlink w:anchor="source_M06">
        <w:r>
          <w:rPr>
            <w:color w:val="275E67"/>
            <w:u w:val="single"/>
          </w:rPr>
          <w:t xml:space="preserve">M06</w:t>
        </w:r>
      </w:hyperlink>
      <w:r>
        <w:t xml:space="preserve">, </w:t>
      </w:r>
      <w:hyperlink w:anchor="source_M21">
        <w:r>
          <w:rPr>
            <w:color w:val="275E67"/>
            <w:u w:val="single"/>
          </w:rPr>
          <w:t xml:space="preserve">M21</w:t>
        </w:r>
      </w:hyperlink>
      <w:r>
        <w:t xml:space="preserve">, </w:t>
      </w:r>
      <w:hyperlink w:anchor="source_M22">
        <w:r>
          <w:rPr>
            <w:color w:val="275E67"/>
            <w:u w:val="single"/>
          </w:rPr>
          <w:t xml:space="preserve">M22</w:t>
        </w:r>
      </w:hyperlink>
    </w:p>
    <w:p>
      <w:bookmarkStart w:id="13" w:name="chapter_network_tourism"/>
      <w:pPr>
        <w:pStyle w:val="Heading1"/>
        <w:pageBreakBefore/>
      </w:pPr>
      <w:r>
        <w:t>A tourism network that rewards return visits</w:t>
      </w:r>
      <w:bookmarkEnd w:id="13"/>
    </w:p>
    <w:p>
      <w:pPr>
        <w:pStyle w:val="Lead"/>
      </w:pPr>
      <w:r>
        <w:t>Explore how distinctive local rooms, linked travel and renewed experiences could support repeat visits across Australia.</w:t>
      </w:r>
    </w:p>
    <w:p>
      <w:bookmarkStart w:id="14" w:name="s_network_tourism_The_network_p_76c679"/>
      <w:pPr>
        <w:pStyle w:val="Heading2"/>
      </w:pPr>
      <w:r>
        <w:t>The network product</w:t>
      </w:r>
      <w:bookmarkEnd w:id="14"/>
    </w:p>
    <w:p>
      <w:pPr/>
      <w:r>
        <w:t>A connected visitor journey is one way to develop the national network aim. A room could remain a complete local experience while also giving visitors a reason to try another destination. Distinctive stories, task structures and local connections would be important to the value of the journey.</w:t>
      </w:r>
    </w:p>
    <w:p>
      <w:pPr/>
      <w:r>
        <w:t>Formats to compare include a local day with linked activities, a regional weekend with rooms and accommodation, and a passport used across a longer journey. Employer retreats and school series could add different forms of reflection and application. These are product concepts to research with their intended buyers.</w:t>
      </w:r>
    </w:p>
    <w:p>
      <w:pPr/>
      <w:r>
        <w:t>Direct referrals, separately booked linked services and a package sold by a contracting operator create different support, pricing and settlement requirements. Comparing them does not establish partner participation or choose a selling structure.</w:t>
      </w:r>
    </w:p>
    <w:p>
      <w:pPr>
        <w:pStyle w:val="SourceNote"/>
      </w:pPr>
      <w:r>
        <w:t xml:space="preserve">Sources: </w:t>
      </w:r>
      <w:hyperlink w:anchor="source_D07">
        <w:r>
          <w:rPr>
            <w:color w:val="275E67"/>
            <w:u w:val="single"/>
          </w:rPr>
          <w:t xml:space="preserve">D07</w:t>
        </w:r>
      </w:hyperlink>
      <w:r>
        <w:t xml:space="preserve">, </w:t>
      </w:r>
      <w:hyperlink w:anchor="source_M06">
        <w:r>
          <w:rPr>
            <w:color w:val="275E67"/>
            <w:u w:val="single"/>
          </w:rPr>
          <w:t xml:space="preserve">M06</w:t>
        </w:r>
      </w:hyperlink>
      <w:r>
        <w:t xml:space="preserve">, </w:t>
      </w:r>
      <w:hyperlink w:anchor="source_M09">
        <w:r>
          <w:rPr>
            <w:color w:val="275E67"/>
            <w:u w:val="single"/>
          </w:rPr>
          <w:t xml:space="preserve">M09</w:t>
        </w:r>
      </w:hyperlink>
      <w:r>
        <w:t xml:space="preserve">, </w:t>
      </w:r>
      <w:hyperlink w:anchor="source_M22">
        <w:r>
          <w:rPr>
            <w:color w:val="275E67"/>
            <w:u w:val="single"/>
          </w:rPr>
          <w:t xml:space="preserve">M22</w:t>
        </w:r>
      </w:hyperlink>
    </w:p>
    <w:p>
      <w:bookmarkStart w:id="15" w:name="s_network_tourism_A_proposed_th_dfed49"/>
      <w:pPr>
        <w:pStyle w:val="Heading2"/>
      </w:pPr>
      <w:r>
        <w:t>A proposed three-destination journey</w:t>
      </w:r>
      <w:bookmarkEnd w:id="15"/>
    </w:p>
    <w:p>
      <w:pPr>
        <w:pStyle w:val="SourceNote"/>
        <w:keepNext/>
      </w:pPr>
      <w:r>
        <w:t>Worked illustration | 29 October 2026 | Quantities and business inputs are assumptions for comparison.</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1785"/>
        <w:gridCol w:w="4332"/>
        <w:gridCol w:w="4035"/>
      </w:tblGrid>
      <w:tr>
        <w:trPr>
          <w:cantSplit/>
          <w:tblHeader w:val="true"/>
        </w:trPr>
        <w:tc>
          <w:tcPr>
            <w:tcW w:type="dxa" w:w="1785"/>
            <w:vAlign w:val="center"/>
            <w:shd w:fill="203B4C"/>
          </w:tcPr>
          <w:p>
            <w:pPr>
              <w:pStyle w:val="TableHead"/>
              <w:keepNext/>
              <w:keepLines/>
            </w:pPr>
            <w:r>
              <w:rPr>
                <w:color w:val="FFFFFF"/>
              </w:rPr>
              <w:t>Stage</w:t>
            </w:r>
          </w:p>
        </w:tc>
        <w:tc>
          <w:tcPr>
            <w:tcW w:type="dxa" w:w="4332"/>
            <w:vAlign w:val="center"/>
            <w:shd w:fill="203B4C"/>
          </w:tcPr>
          <w:p>
            <w:pPr>
              <w:pStyle w:val="TableHead"/>
              <w:keepNext/>
              <w:keepLines/>
            </w:pPr>
            <w:r>
              <w:rPr>
                <w:color w:val="FFFFFF"/>
              </w:rPr>
              <w:t>Experience and local trade</w:t>
            </w:r>
          </w:p>
        </w:tc>
        <w:tc>
          <w:tcPr>
            <w:tcW w:type="dxa" w:w="4035"/>
            <w:vAlign w:val="center"/>
            <w:shd w:fill="203B4C"/>
          </w:tcPr>
          <w:p>
            <w:pPr>
              <w:pStyle w:val="TableHead"/>
              <w:keepNext/>
              <w:keepLines/>
            </w:pPr>
            <w:r>
              <w:rPr>
                <w:color w:val="FFFFFF"/>
              </w:rPr>
              <w:t>Skill carried into the next setting</w:t>
            </w:r>
          </w:p>
        </w:tc>
      </w:tr>
      <w:tr>
        <w:trPr>
          <w:cantSplit/>
        </w:trPr>
        <w:tc>
          <w:tcPr>
            <w:tcW w:type="dxa" w:w="1785"/>
            <w:vAlign w:val="top"/>
            <w:shd w:fill="EDF2EE"/>
          </w:tcPr>
          <w:p>
            <w:pPr>
              <w:pStyle w:val="TableText"/>
              <w:keepNext w:val="0"/>
              <w:keepLines/>
            </w:pPr>
            <w:r>
              <w:t>First destination</w:t>
            </w:r>
          </w:p>
        </w:tc>
        <w:tc>
          <w:tcPr>
            <w:tcW w:type="dxa" w:w="4332"/>
            <w:vAlign w:val="top"/>
            <w:shd w:fill="EDF2EE"/>
          </w:tcPr>
          <w:p>
            <w:pPr>
              <w:pStyle w:val="TableText"/>
              <w:keepNext w:val="0"/>
              <w:keepLines/>
            </w:pPr>
            <w:r>
              <w:t>A practical workshop room, followed by an independently operated lunch or gallery visit</w:t>
            </w:r>
          </w:p>
        </w:tc>
        <w:tc>
          <w:tcPr>
            <w:tcW w:type="dxa" w:w="4035"/>
            <w:vAlign w:val="top"/>
            <w:shd w:fill="EDF2EE"/>
          </w:tcPr>
          <w:p>
            <w:pPr>
              <w:pStyle w:val="TableText"/>
              <w:keepNext w:val="0"/>
              <w:keepLines/>
            </w:pPr>
            <w:r>
              <w:t>Share information, make a clear request and notice assumptions.</w:t>
            </w:r>
          </w:p>
        </w:tc>
      </w:tr>
      <w:tr>
        <w:trPr>
          <w:cantSplit/>
        </w:trPr>
        <w:tc>
          <w:tcPr>
            <w:tcW w:type="dxa" w:w="1785"/>
            <w:vAlign w:val="top"/>
            <w:shd w:fill="FFFFFF"/>
          </w:tcPr>
          <w:p>
            <w:pPr>
              <w:pStyle w:val="TableText"/>
              <w:keepNext w:val="0"/>
              <w:keepLines/>
            </w:pPr>
            <w:r>
              <w:t>Second destination</w:t>
            </w:r>
          </w:p>
        </w:tc>
        <w:tc>
          <w:tcPr>
            <w:tcW w:type="dxa" w:w="4332"/>
            <w:vAlign w:val="top"/>
            <w:shd w:fill="FFFFFF"/>
          </w:tcPr>
          <w:p>
            <w:pPr>
              <w:pStyle w:val="TableText"/>
              <w:keepNext w:val="0"/>
              <w:keepLines/>
            </w:pPr>
            <w:r>
              <w:t>An investigation room in another town, with accommodation and local experiences available through partners</w:t>
            </w:r>
          </w:p>
        </w:tc>
        <w:tc>
          <w:tcPr>
            <w:tcW w:type="dxa" w:w="4035"/>
            <w:vAlign w:val="top"/>
            <w:shd w:fill="FFFFFF"/>
          </w:tcPr>
          <w:p>
            <w:pPr>
              <w:pStyle w:val="TableText"/>
              <w:keepNext w:val="0"/>
              <w:keepLines/>
            </w:pPr>
            <w:r>
              <w:t>Check evidence, hear another interpretation and revise a plan.</w:t>
            </w:r>
          </w:p>
        </w:tc>
      </w:tr>
      <w:tr>
        <w:trPr>
          <w:cantSplit/>
        </w:trPr>
        <w:tc>
          <w:tcPr>
            <w:tcW w:type="dxa" w:w="1785"/>
            <w:vAlign w:val="top"/>
            <w:shd w:fill="EDF2EE"/>
          </w:tcPr>
          <w:p>
            <w:pPr>
              <w:pStyle w:val="TableText"/>
              <w:keepNext w:val="0"/>
              <w:keepLines/>
            </w:pPr>
            <w:r>
              <w:t>Third destination</w:t>
            </w:r>
          </w:p>
        </w:tc>
        <w:tc>
          <w:tcPr>
            <w:tcW w:type="dxa" w:w="4332"/>
            <w:vAlign w:val="top"/>
            <w:shd w:fill="EDF2EE"/>
          </w:tcPr>
          <w:p>
            <w:pPr>
              <w:pStyle w:val="TableText"/>
              <w:keepNext w:val="0"/>
              <w:keepLines/>
            </w:pPr>
            <w:r>
              <w:t>A shared-place room and optional final reflection</w:t>
            </w:r>
          </w:p>
        </w:tc>
        <w:tc>
          <w:tcPr>
            <w:tcW w:type="dxa" w:w="4035"/>
            <w:vAlign w:val="top"/>
            <w:shd w:fill="EDF2EE"/>
          </w:tcPr>
          <w:p>
            <w:pPr>
              <w:pStyle w:val="TableText"/>
              <w:keepNext w:val="0"/>
              <w:keepLines/>
            </w:pPr>
            <w:r>
              <w:t>Negotiate responsibilities, repair an unhelpful exchange and choose a real-life application.</w:t>
            </w:r>
          </w:p>
        </w:tc>
      </w:tr>
    </w:tbl>
    <w:p>
      <w:pPr>
        <w:spacing w:after="20" w:before="0" w:line="240" w:lineRule="auto"/>
      </w:pPr>
      <w:r>
        <w:rPr>
          <w:sz w:val="6"/>
        </w:rPr>
      </w:r>
    </w:p>
    <w:p>
      <w:pPr/>
      <w:r>
        <w:t>Brisbane, Redlands and Minjerribah provide one route concept for development. Sunshine Coast and hinterland, Northern Rivers and Coffs Harbour, and Melbourne, Beechworth and Albury provide other possible regional patterns. These are development examples. Actual participating venues, ferry or road timetables, accessible transport, cultural hosts and accommodation must be assembled for each published itinerary.</w:t>
      </w:r>
    </w:p>
    <w:p>
      <w:pPr/>
      <w:r>
        <w:t>Travel itself creates useful practice: agreeing a meeting time, accommodating different needs, asking for assistance, changing a plan and sharing responsibility. The next room introduces a fresh task where people can use their skills without an in-game reminder.</w:t>
      </w:r>
    </w:p>
    <w:p>
      <w:pPr>
        <w:pStyle w:val="SourceNote"/>
      </w:pPr>
      <w:r>
        <w:t xml:space="preserve">Sources: </w:t>
      </w:r>
      <w:hyperlink w:anchor="source_D07">
        <w:r>
          <w:rPr>
            <w:color w:val="275E67"/>
            <w:u w:val="single"/>
          </w:rPr>
          <w:t xml:space="preserve">D07</w:t>
        </w:r>
      </w:hyperlink>
      <w:r>
        <w:t xml:space="preserve">, </w:t>
      </w:r>
      <w:hyperlink w:anchor="source_P05">
        <w:r>
          <w:rPr>
            <w:color w:val="275E67"/>
            <w:u w:val="single"/>
          </w:rPr>
          <w:t xml:space="preserve">P05</w:t>
        </w:r>
      </w:hyperlink>
      <w:r>
        <w:t xml:space="preserve">, </w:t>
      </w:r>
      <w:hyperlink w:anchor="source_M16">
        <w:r>
          <w:rPr>
            <w:color w:val="275E67"/>
            <w:u w:val="single"/>
          </w:rPr>
          <w:t xml:space="preserve">M16</w:t>
        </w:r>
      </w:hyperlink>
    </w:p>
    <w:p>
      <w:bookmarkStart w:id="16" w:name="s_network_tourism_The_direct_ne_56c083"/>
      <w:pPr>
        <w:pStyle w:val="Heading2"/>
      </w:pPr>
      <w:r>
        <w:t>The direct network pass and settlement</w:t>
      </w:r>
      <w:bookmarkEnd w:id="16"/>
    </w:p>
    <w:p>
      <w:pPr>
        <w:pStyle w:val="SourceNote"/>
        <w:keepNext/>
      </w:pPr>
      <w:r>
        <w:t>Worked illustration | 29 October 2026 | Quantities and business inputs are assumptions for comparison.</w:t>
      </w:r>
    </w:p>
    <w:p>
      <w:pPr/>
      <w:r>
        <w:t>Worked illustration, 29 October 2026: a three-room pass at $169 per person, with $53 allocated to each venue redemption and $10 to a network service. The prices and allocations are inherited model assumptions. They are not competitor facts, negotiated terms or a selected tariff.</w:t>
      </w:r>
    </w:p>
    <w:p>
      <w:pPr/>
      <w:r>
        <w:t>Against three assumed $59 admissions, the arithmetic difference is $8. For five passes in one transaction, receipts would be $845, comprising $795 for venue admissions and $50 for the network service before processing and delivery costs. The finance chapter shows why the amount collected and the network's own revenue must be distinguished.</w:t>
      </w:r>
    </w:p>
    <w:p>
      <w:pPr/>
      <w:r>
        <w:t>Separate bookings, referral payments and other pass structures remain alternatives. A useful comparison would examine redemption patterns, customer value, provider costs, cancellations and distribution fees. Actual accounting treatment would depend on the contracting relationship and current professional advice.</w:t>
      </w:r>
    </w:p>
    <w:p>
      <w:pPr>
        <w:pStyle w:val="SourceNote"/>
      </w:pPr>
      <w:r>
        <w:t xml:space="preserve">Sources: </w:t>
      </w:r>
      <w:hyperlink w:anchor="source_M05">
        <w:r>
          <w:rPr>
            <w:color w:val="275E67"/>
            <w:u w:val="single"/>
          </w:rPr>
          <w:t xml:space="preserve">M05</w:t>
        </w:r>
      </w:hyperlink>
      <w:r>
        <w:t xml:space="preserve">, </w:t>
      </w:r>
      <w:hyperlink w:anchor="source_M16">
        <w:r>
          <w:rPr>
            <w:color w:val="275E67"/>
            <w:u w:val="single"/>
          </w:rPr>
          <w:t xml:space="preserve">M16</w:t>
        </w:r>
      </w:hyperlink>
    </w:p>
    <w:p>
      <w:bookmarkStart w:id="17" w:name="s_network_tourism_How_neighbour_77d95b"/>
      <w:pPr>
        <w:pStyle w:val="Heading2"/>
      </w:pPr>
      <w:r>
        <w:t>How neighbouring businesses benefit</w:t>
      </w:r>
      <w:bookmarkEnd w:id="17"/>
    </w:p>
    <w:p>
      <w:pPr/>
      <w:r>
        <w:t>The commercial hypothesis is that linked activities could support an extra night or a planned meal break. These benefits would need to be measured through actual bookings. Galleries, museums, guides and cultural hosts can offer their own experiences between rooms. Local makers can supply set dressing, props, repairs and original stories. Councils and tourism organisations can help connect venues with precincts, visitor information and relevant regional programmes.</w:t>
      </w:r>
    </w:p>
    <w:p>
      <w:pPr/>
      <w:r>
        <w:t>Measure partner benefit through authorised referral codes, actual redeemed bookings and optional group feedback. Report partner sales separately from the escape-room business's revenue. A useful local-impact report includes supplier payments, paid work, room admissions, attributed partner transactions and funded access places.</w:t>
      </w:r>
    </w:p>
    <w:p>
      <w:pPr/>
      <w:r>
        <w:t>A participant-directed Aura connection could retain a chosen learning thread. A booking design would need to limit tourism partners to the information required for their service. Personal reflections are not a condition of cross-venue ticket redemption.</w:t>
      </w:r>
    </w:p>
    <w:p>
      <w:pPr>
        <w:pStyle w:val="SourceNote"/>
      </w:pPr>
      <w:r>
        <w:t xml:space="preserve">Sources: </w:t>
      </w:r>
      <w:hyperlink w:anchor="source_D07">
        <w:r>
          <w:rPr>
            <w:color w:val="275E67"/>
            <w:u w:val="single"/>
          </w:rPr>
          <w:t xml:space="preserve">D07</w:t>
        </w:r>
      </w:hyperlink>
      <w:r>
        <w:t xml:space="preserve">, </w:t>
      </w:r>
      <w:hyperlink w:anchor="source_D15">
        <w:r>
          <w:rPr>
            <w:color w:val="275E67"/>
            <w:u w:val="single"/>
          </w:rPr>
          <w:t xml:space="preserve">D15</w:t>
        </w:r>
      </w:hyperlink>
      <w:r>
        <w:t xml:space="preserve">, </w:t>
      </w:r>
      <w:hyperlink w:anchor="source_P03">
        <w:r>
          <w:rPr>
            <w:color w:val="275E67"/>
            <w:u w:val="single"/>
          </w:rPr>
          <w:t xml:space="preserve">P03</w:t>
        </w:r>
      </w:hyperlink>
      <w:r>
        <w:t xml:space="preserve">, </w:t>
      </w:r>
      <w:hyperlink w:anchor="source_P10">
        <w:r>
          <w:rPr>
            <w:color w:val="275E67"/>
            <w:u w:val="single"/>
          </w:rPr>
          <w:t xml:space="preserve">P10</w:t>
        </w:r>
      </w:hyperlink>
    </w:p>
    <w:p>
      <w:bookmarkStart w:id="18" w:name="s_network_tourism_Rotation_make_9b021b"/>
      <w:pPr>
        <w:pStyle w:val="Heading2"/>
      </w:pPr>
      <w:r>
        <w:t>Rotation makes the network more valuable</w:t>
      </w:r>
      <w:bookmarkEnd w:id="18"/>
    </w:p>
    <w:p>
      <w:pPr/>
      <w:r>
        <w:t>Mystery Rooms provides a practical precedent for game movement: its current Geelong page describes consolidation at Fitzroy and long-term residencies for two games with operators in Beechworth and Albury. Its vouchers exclude those partner venues, demonstrating why a shared pass needs deliberately negotiated redemption terms.</w:t>
      </w:r>
    </w:p>
    <w:p>
      <w:pPr/>
      <w:r>
        <w:t>Documented interfaces, transportable components and a version history are design options to examine for future rooms. A room can gain a new audience in another region while its previous venue receives a fresh experience. A rotation cost comparison would account for deinstallation, condition checks, freight, receiving-site works, commissioning, training and downtime. The venue and network each earn only the revenue their agreement provides.</w:t>
      </w:r>
    </w:p>
    <w:p>
      <w:pPr>
        <w:pStyle w:val="SourceNote"/>
      </w:pPr>
      <w:r>
        <w:t xml:space="preserve">Sources: </w:t>
      </w:r>
      <w:hyperlink w:anchor="source_M16">
        <w:r>
          <w:rPr>
            <w:color w:val="275E67"/>
            <w:u w:val="single"/>
          </w:rPr>
          <w:t xml:space="preserve">M16</w:t>
        </w:r>
      </w:hyperlink>
      <w:r>
        <w:t xml:space="preserve">, </w:t>
      </w:r>
      <w:hyperlink w:anchor="source_P05">
        <w:r>
          <w:rPr>
            <w:color w:val="275E67"/>
            <w:u w:val="single"/>
          </w:rPr>
          <w:t xml:space="preserve">P05</w:t>
        </w:r>
      </w:hyperlink>
    </w:p>
    <w:p>
      <w:bookmarkStart w:id="19" w:name="chapter_deployment"/>
      <w:pPr>
        <w:pStyle w:val="Heading1"/>
        <w:pageBreakBefore/>
      </w:pPr>
      <w:r>
        <w:t>Room design and deployment</w:t>
      </w:r>
      <w:bookmarkEnd w:id="19"/>
    </w:p>
    <w:p>
      <w:pPr>
        <w:pStyle w:val="Lead"/>
      </w:pPr>
      <w:r>
        <w:t>Compare room formats, space requirements and delivery methods before choosing a premises or installation approach.</w:t>
      </w:r>
    </w:p>
    <w:p>
      <w:bookmarkStart w:id="20" w:name="s_deployment_Three_deployment_f_d86777"/>
      <w:pPr>
        <w:pStyle w:val="Heading2"/>
      </w:pPr>
      <w:r>
        <w:t>Three deployment formats</w:t>
      </w:r>
      <w:bookmarkEnd w:id="20"/>
    </w:p>
    <w:p>
      <w:pPr>
        <w:pStyle w:val="SourceNote"/>
        <w:keepNext/>
      </w:pPr>
      <w:r>
        <w:t>Worked illustration | 29 October 2026 | Quantities and business inputs are assumptions for comparison.</w:t>
      </w:r>
    </w:p>
    <w:p>
      <w:pPr/>
      <w:r>
        <w:t>The following formats are comparisons, not a rollout sequence. Their areas and room quantities are model assumptions dated 29 October 2026.</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355"/>
        <w:gridCol w:w="3784"/>
        <w:gridCol w:w="4013"/>
      </w:tblGrid>
      <w:tr>
        <w:trPr>
          <w:cantSplit/>
          <w:tblHeader w:val="true"/>
        </w:trPr>
        <w:tc>
          <w:tcPr>
            <w:tcW w:type="dxa" w:w="2355"/>
            <w:vAlign w:val="center"/>
            <w:shd w:fill="203B4C"/>
          </w:tcPr>
          <w:p>
            <w:pPr>
              <w:pStyle w:val="TableHead"/>
              <w:keepNext/>
              <w:keepLines/>
            </w:pPr>
            <w:r>
              <w:rPr>
                <w:color w:val="FFFFFF"/>
              </w:rPr>
              <w:t>Format to examine</w:t>
            </w:r>
          </w:p>
        </w:tc>
        <w:tc>
          <w:tcPr>
            <w:tcW w:type="dxa" w:w="3784"/>
            <w:vAlign w:val="center"/>
            <w:shd w:fill="203B4C"/>
          </w:tcPr>
          <w:p>
            <w:pPr>
              <w:pStyle w:val="TableHead"/>
              <w:keepNext/>
              <w:keepLines/>
            </w:pPr>
            <w:r>
              <w:rPr>
                <w:color w:val="FFFFFF"/>
              </w:rPr>
              <w:t>Illustrative physical scope</w:t>
            </w:r>
          </w:p>
        </w:tc>
        <w:tc>
          <w:tcPr>
            <w:tcW w:type="dxa" w:w="4013"/>
            <w:vAlign w:val="center"/>
            <w:shd w:fill="203B4C"/>
          </w:tcPr>
          <w:p>
            <w:pPr>
              <w:pStyle w:val="TableHead"/>
              <w:keepNext/>
              <w:keepLines/>
            </w:pPr>
            <w:r>
              <w:rPr>
                <w:color w:val="FFFFFF"/>
              </w:rPr>
              <w:t>Research question</w:t>
            </w:r>
          </w:p>
        </w:tc>
      </w:tr>
      <w:tr>
        <w:trPr>
          <w:cantSplit/>
        </w:trPr>
        <w:tc>
          <w:tcPr>
            <w:tcW w:type="dxa" w:w="2355"/>
            <w:vAlign w:val="top"/>
            <w:shd w:fill="EDF2EE"/>
          </w:tcPr>
          <w:p>
            <w:pPr>
              <w:pStyle w:val="TableText"/>
              <w:keepNext w:val="0"/>
              <w:keepLines/>
            </w:pPr>
            <w:r>
              <w:t>Hosted room format</w:t>
            </w:r>
          </w:p>
        </w:tc>
        <w:tc>
          <w:tcPr>
            <w:tcW w:type="dxa" w:w="3784"/>
            <w:vAlign w:val="top"/>
            <w:shd w:fill="EDF2EE"/>
          </w:tcPr>
          <w:p>
            <w:pPr>
              <w:pStyle w:val="TableText"/>
              <w:keepNext w:val="0"/>
              <w:keepLines/>
            </w:pPr>
            <w:r>
              <w:t>Two game modules at an assumed 40 to 50 m² each, plus measured shared facilities</w:t>
            </w:r>
          </w:p>
        </w:tc>
        <w:tc>
          <w:tcPr>
            <w:tcW w:type="dxa" w:w="4013"/>
            <w:vAlign w:val="top"/>
            <w:shd w:fill="EDF2EE"/>
          </w:tcPr>
          <w:p>
            <w:pPr>
              <w:pStyle w:val="TableText"/>
              <w:keepNext w:val="0"/>
              <w:keepLines/>
            </w:pPr>
            <w:r>
              <w:t>Could a suitable host reduce duplicated support space while preserving quality and access?</w:t>
            </w:r>
          </w:p>
        </w:tc>
      </w:tr>
      <w:tr>
        <w:trPr>
          <w:cantSplit/>
        </w:trPr>
        <w:tc>
          <w:tcPr>
            <w:tcW w:type="dxa" w:w="2355"/>
            <w:vAlign w:val="top"/>
            <w:shd w:fill="FFFFFF"/>
          </w:tcPr>
          <w:p>
            <w:pPr>
              <w:pStyle w:val="TableText"/>
              <w:keepNext w:val="0"/>
              <w:keepLines/>
            </w:pPr>
            <w:r>
              <w:t>Dedicated venue</w:t>
            </w:r>
          </w:p>
        </w:tc>
        <w:tc>
          <w:tcPr>
            <w:tcW w:type="dxa" w:w="3784"/>
            <w:vAlign w:val="top"/>
            <w:shd w:fill="FFFFFF"/>
          </w:tcPr>
          <w:p>
            <w:pPr>
              <w:pStyle w:val="TableText"/>
              <w:keepNext w:val="0"/>
              <w:keepLines/>
            </w:pPr>
            <w:r>
              <w:t>Four assumed 45 m² game modules and a 400 m² whole-venue space illustration</w:t>
            </w:r>
          </w:p>
        </w:tc>
        <w:tc>
          <w:tcPr>
            <w:tcW w:type="dxa" w:w="4013"/>
            <w:vAlign w:val="top"/>
            <w:shd w:fill="FFFFFF"/>
          </w:tcPr>
          <w:p>
            <w:pPr>
              <w:pStyle w:val="TableText"/>
              <w:keepNext w:val="0"/>
              <w:keepLines/>
            </w:pPr>
            <w:r>
              <w:t>Could the additional catalogue and capacity justify the premises and staffing cost?</w:t>
            </w:r>
          </w:p>
        </w:tc>
      </w:tr>
      <w:tr>
        <w:trPr>
          <w:cantSplit/>
        </w:trPr>
        <w:tc>
          <w:tcPr>
            <w:tcW w:type="dxa" w:w="2355"/>
            <w:vAlign w:val="top"/>
            <w:shd w:fill="EDF2EE"/>
          </w:tcPr>
          <w:p>
            <w:pPr>
              <w:pStyle w:val="TableText"/>
              <w:keepNext w:val="0"/>
              <w:keepLines/>
            </w:pPr>
            <w:r>
              <w:t>Partner addition or replacement</w:t>
            </w:r>
          </w:p>
        </w:tc>
        <w:tc>
          <w:tcPr>
            <w:tcW w:type="dxa" w:w="3784"/>
            <w:vAlign w:val="top"/>
            <w:shd w:fill="EDF2EE"/>
          </w:tcPr>
          <w:p>
            <w:pPr>
              <w:pStyle w:val="TableText"/>
              <w:keepNext w:val="0"/>
              <w:keepLines/>
            </w:pPr>
            <w:r>
              <w:t>A measured module integrated into an existing venue</w:t>
            </w:r>
          </w:p>
        </w:tc>
        <w:tc>
          <w:tcPr>
            <w:tcW w:type="dxa" w:w="4013"/>
            <w:vAlign w:val="top"/>
            <w:shd w:fill="EDF2EE"/>
          </w:tcPr>
          <w:p>
            <w:pPr>
              <w:pStyle w:val="TableText"/>
              <w:keepNext w:val="0"/>
              <w:keepLines/>
            </w:pPr>
            <w:r>
              <w:t>Could design, installation and renewal services work without operating a dedicated venue?</w:t>
            </w:r>
          </w:p>
        </w:tc>
      </w:tr>
    </w:tbl>
    <w:p>
      <w:pPr>
        <w:spacing w:after="20" w:before="0" w:line="240" w:lineRule="auto"/>
      </w:pPr>
      <w:r>
        <w:rPr>
          <w:sz w:val="6"/>
        </w:rPr>
      </w:r>
    </w:p>
    <w:p>
      <w:pPr/>
      <w:r>
        <w:t>The comparison would identify the property owner, room owner, operator and contracting seller for each option. Capacity depends on rooms, group sizes, cycle times, staffed hours and demand. No property or allocation of those responsibilities has been selected.</w:t>
      </w:r>
    </w:p>
    <w:p>
      <w:pPr>
        <w:pStyle w:val="SourceNote"/>
      </w:pPr>
      <w:r>
        <w:t xml:space="preserve">Sources: </w:t>
      </w:r>
      <w:hyperlink w:anchor="source_M10">
        <w:r>
          <w:rPr>
            <w:color w:val="275E67"/>
            <w:u w:val="single"/>
          </w:rPr>
          <w:t xml:space="preserve">M10</w:t>
        </w:r>
      </w:hyperlink>
      <w:r>
        <w:t xml:space="preserve">, </w:t>
      </w:r>
      <w:hyperlink w:anchor="source_M14">
        <w:r>
          <w:rPr>
            <w:color w:val="275E67"/>
            <w:u w:val="single"/>
          </w:rPr>
          <w:t xml:space="preserve">M14</w:t>
        </w:r>
      </w:hyperlink>
      <w:r>
        <w:t xml:space="preserve">, </w:t>
      </w:r>
      <w:hyperlink w:anchor="source_P14">
        <w:r>
          <w:rPr>
            <w:color w:val="275E67"/>
            <w:u w:val="single"/>
          </w:rPr>
          <w:t xml:space="preserve">P14</w:t>
        </w:r>
      </w:hyperlink>
    </w:p>
    <w:p>
      <w:bookmarkStart w:id="21" w:name="s_deployment_The_four_room_spac_2130c5"/>
      <w:pPr>
        <w:pStyle w:val="Heading2"/>
      </w:pPr>
      <w:r>
        <w:t>The four-room space programme</w:t>
      </w:r>
      <w:bookmarkEnd w:id="21"/>
    </w:p>
    <w:p>
      <w:pPr>
        <w:pStyle w:val="SourceNote"/>
        <w:keepNext/>
      </w:pPr>
      <w:r>
        <w:t>Worked illustration | 29 October 2026 | Quantities and business inputs are assumptions for comparison.</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4215"/>
        <w:gridCol w:w="3753"/>
        <w:gridCol w:w="2184"/>
      </w:tblGrid>
      <w:tr>
        <w:trPr>
          <w:cantSplit/>
          <w:tblHeader w:val="true"/>
        </w:trPr>
        <w:tc>
          <w:tcPr>
            <w:tcW w:type="dxa" w:w="4215"/>
            <w:vAlign w:val="center"/>
            <w:shd w:fill="203B4C"/>
          </w:tcPr>
          <w:p>
            <w:pPr>
              <w:pStyle w:val="TableHead"/>
              <w:keepNext/>
              <w:keepLines/>
            </w:pPr>
            <w:r>
              <w:rPr>
                <w:color w:val="FFFFFF"/>
              </w:rPr>
              <w:t>Area</w:t>
            </w:r>
          </w:p>
        </w:tc>
        <w:tc>
          <w:tcPr>
            <w:tcW w:type="dxa" w:w="3753"/>
            <w:vAlign w:val="center"/>
            <w:shd w:fill="203B4C"/>
          </w:tcPr>
          <w:p>
            <w:pPr>
              <w:pStyle w:val="TableHead"/>
              <w:keepNext/>
              <w:keepLines/>
            </w:pPr>
            <w:r>
              <w:rPr>
                <w:color w:val="FFFFFF"/>
              </w:rPr>
              <w:t>Design quantity</w:t>
            </w:r>
          </w:p>
        </w:tc>
        <w:tc>
          <w:tcPr>
            <w:tcW w:type="dxa" w:w="2184"/>
            <w:vAlign w:val="center"/>
            <w:shd w:fill="203B4C"/>
          </w:tcPr>
          <w:p>
            <w:pPr>
              <w:pStyle w:val="TableHead"/>
              <w:keepNext/>
              <w:keepLines/>
            </w:pPr>
            <w:r>
              <w:rPr>
                <w:color w:val="FFFFFF"/>
              </w:rPr>
              <w:t>Area</w:t>
            </w:r>
          </w:p>
        </w:tc>
      </w:tr>
      <w:tr>
        <w:trPr>
          <w:cantSplit/>
        </w:trPr>
        <w:tc>
          <w:tcPr>
            <w:tcW w:type="dxa" w:w="4215"/>
            <w:vAlign w:val="top"/>
            <w:shd w:fill="EDF2EE"/>
          </w:tcPr>
          <w:p>
            <w:pPr>
              <w:pStyle w:val="TableText"/>
              <w:keepNext w:val="0"/>
              <w:keepLines/>
            </w:pPr>
            <w:r>
              <w:t>Game modules</w:t>
            </w:r>
          </w:p>
        </w:tc>
        <w:tc>
          <w:tcPr>
            <w:tcW w:type="dxa" w:w="3753"/>
            <w:vAlign w:val="top"/>
            <w:shd w:fill="EDF2EE"/>
          </w:tcPr>
          <w:p>
            <w:pPr>
              <w:pStyle w:val="TableText"/>
              <w:keepNext w:val="0"/>
              <w:keepLines/>
            </w:pPr>
            <w:r>
              <w:t>Four at 45 m²</w:t>
            </w:r>
          </w:p>
        </w:tc>
        <w:tc>
          <w:tcPr>
            <w:tcW w:type="dxa" w:w="2184"/>
            <w:vAlign w:val="top"/>
            <w:shd w:fill="EDF2EE"/>
          </w:tcPr>
          <w:p>
            <w:pPr>
              <w:pStyle w:val="TableText"/>
              <w:keepNext w:val="0"/>
              <w:keepLines/>
            </w:pPr>
            <w:r>
              <w:t>180 m²</w:t>
            </w:r>
          </w:p>
        </w:tc>
      </w:tr>
      <w:tr>
        <w:trPr>
          <w:cantSplit/>
        </w:trPr>
        <w:tc>
          <w:tcPr>
            <w:tcW w:type="dxa" w:w="4215"/>
            <w:vAlign w:val="top"/>
            <w:shd w:fill="FFFFFF"/>
          </w:tcPr>
          <w:p>
            <w:pPr>
              <w:pStyle w:val="TableText"/>
              <w:keepNext w:val="0"/>
              <w:keepLines/>
            </w:pPr>
            <w:r>
              <w:t>Reflection rooms</w:t>
            </w:r>
          </w:p>
        </w:tc>
        <w:tc>
          <w:tcPr>
            <w:tcW w:type="dxa" w:w="3753"/>
            <w:vAlign w:val="top"/>
            <w:shd w:fill="FFFFFF"/>
          </w:tcPr>
          <w:p>
            <w:pPr>
              <w:pStyle w:val="TableText"/>
              <w:keepNext w:val="0"/>
              <w:keepLines/>
            </w:pPr>
            <w:r>
              <w:t>Two at 20 m²</w:t>
            </w:r>
          </w:p>
        </w:tc>
        <w:tc>
          <w:tcPr>
            <w:tcW w:type="dxa" w:w="2184"/>
            <w:vAlign w:val="top"/>
            <w:shd w:fill="FFFFFF"/>
          </w:tcPr>
          <w:p>
            <w:pPr>
              <w:pStyle w:val="TableText"/>
              <w:keepNext w:val="0"/>
              <w:keepLines/>
            </w:pPr>
            <w:r>
              <w:t>40 m²</w:t>
            </w:r>
          </w:p>
        </w:tc>
      </w:tr>
      <w:tr>
        <w:trPr>
          <w:cantSplit/>
        </w:trPr>
        <w:tc>
          <w:tcPr>
            <w:tcW w:type="dxa" w:w="4215"/>
            <w:vAlign w:val="top"/>
            <w:shd w:fill="EDF2EE"/>
          </w:tcPr>
          <w:p>
            <w:pPr>
              <w:pStyle w:val="TableText"/>
              <w:keepNext w:val="0"/>
              <w:keepLines/>
            </w:pPr>
            <w:r>
              <w:t>Flexible teaching and workshop room</w:t>
            </w:r>
          </w:p>
        </w:tc>
        <w:tc>
          <w:tcPr>
            <w:tcW w:type="dxa" w:w="3753"/>
            <w:vAlign w:val="top"/>
            <w:shd w:fill="EDF2EE"/>
          </w:tcPr>
          <w:p>
            <w:pPr>
              <w:pStyle w:val="TableText"/>
              <w:keepNext w:val="0"/>
              <w:keepLines/>
            </w:pPr>
            <w:r>
              <w:t>One</w:t>
            </w:r>
          </w:p>
        </w:tc>
        <w:tc>
          <w:tcPr>
            <w:tcW w:type="dxa" w:w="2184"/>
            <w:vAlign w:val="top"/>
            <w:shd w:fill="EDF2EE"/>
          </w:tcPr>
          <w:p>
            <w:pPr>
              <w:pStyle w:val="TableText"/>
              <w:keepNext w:val="0"/>
              <w:keepLines/>
            </w:pPr>
            <w:r>
              <w:t>45 m²</w:t>
            </w:r>
          </w:p>
        </w:tc>
      </w:tr>
      <w:tr>
        <w:trPr>
          <w:cantSplit/>
        </w:trPr>
        <w:tc>
          <w:tcPr>
            <w:tcW w:type="dxa" w:w="4215"/>
            <w:vAlign w:val="top"/>
            <w:shd w:fill="FFFFFF"/>
          </w:tcPr>
          <w:p>
            <w:pPr>
              <w:pStyle w:val="TableText"/>
              <w:keepNext w:val="0"/>
              <w:keepLines/>
            </w:pPr>
            <w:r>
              <w:t>Reception and briefing</w:t>
            </w:r>
          </w:p>
        </w:tc>
        <w:tc>
          <w:tcPr>
            <w:tcW w:type="dxa" w:w="3753"/>
            <w:vAlign w:val="top"/>
            <w:shd w:fill="FFFFFF"/>
          </w:tcPr>
          <w:p>
            <w:pPr>
              <w:pStyle w:val="TableText"/>
              <w:keepNext w:val="0"/>
              <w:keepLines/>
            </w:pPr>
            <w:r>
              <w:t>One</w:t>
            </w:r>
          </w:p>
        </w:tc>
        <w:tc>
          <w:tcPr>
            <w:tcW w:type="dxa" w:w="2184"/>
            <w:vAlign w:val="top"/>
            <w:shd w:fill="FFFFFF"/>
          </w:tcPr>
          <w:p>
            <w:pPr>
              <w:pStyle w:val="TableText"/>
              <w:keepNext w:val="0"/>
              <w:keepLines/>
            </w:pPr>
            <w:r>
              <w:t>30 m²</w:t>
            </w:r>
          </w:p>
        </w:tc>
      </w:tr>
      <w:tr>
        <w:trPr>
          <w:cantSplit/>
        </w:trPr>
        <w:tc>
          <w:tcPr>
            <w:tcW w:type="dxa" w:w="4215"/>
            <w:vAlign w:val="top"/>
            <w:shd w:fill="EDF2EE"/>
          </w:tcPr>
          <w:p>
            <w:pPr>
              <w:pStyle w:val="TableText"/>
              <w:keepNext w:val="0"/>
              <w:keepLines/>
            </w:pPr>
            <w:r>
              <w:t>Control and technical position</w:t>
            </w:r>
          </w:p>
        </w:tc>
        <w:tc>
          <w:tcPr>
            <w:tcW w:type="dxa" w:w="3753"/>
            <w:vAlign w:val="top"/>
            <w:shd w:fill="EDF2EE"/>
          </w:tcPr>
          <w:p>
            <w:pPr>
              <w:pStyle w:val="TableText"/>
              <w:keepNext w:val="0"/>
              <w:keepLines/>
            </w:pPr>
            <w:r>
              <w:t>One</w:t>
            </w:r>
          </w:p>
        </w:tc>
        <w:tc>
          <w:tcPr>
            <w:tcW w:type="dxa" w:w="2184"/>
            <w:vAlign w:val="top"/>
            <w:shd w:fill="EDF2EE"/>
          </w:tcPr>
          <w:p>
            <w:pPr>
              <w:pStyle w:val="TableText"/>
              <w:keepNext w:val="0"/>
              <w:keepLines/>
            </w:pPr>
            <w:r>
              <w:t>12 m²</w:t>
            </w:r>
          </w:p>
        </w:tc>
      </w:tr>
      <w:tr>
        <w:trPr>
          <w:cantSplit/>
        </w:trPr>
        <w:tc>
          <w:tcPr>
            <w:tcW w:type="dxa" w:w="4215"/>
            <w:vAlign w:val="top"/>
            <w:shd w:fill="FFFFFF"/>
          </w:tcPr>
          <w:p>
            <w:pPr>
              <w:pStyle w:val="TableText"/>
              <w:keepNext w:val="0"/>
              <w:keepLines/>
            </w:pPr>
            <w:r>
              <w:t>Reset preparation and storage</w:t>
            </w:r>
          </w:p>
        </w:tc>
        <w:tc>
          <w:tcPr>
            <w:tcW w:type="dxa" w:w="3753"/>
            <w:vAlign w:val="top"/>
            <w:shd w:fill="FFFFFF"/>
          </w:tcPr>
          <w:p>
            <w:pPr>
              <w:pStyle w:val="TableText"/>
              <w:keepNext w:val="0"/>
              <w:keepLines/>
            </w:pPr>
            <w:r>
              <w:t>One</w:t>
            </w:r>
          </w:p>
        </w:tc>
        <w:tc>
          <w:tcPr>
            <w:tcW w:type="dxa" w:w="2184"/>
            <w:vAlign w:val="top"/>
            <w:shd w:fill="FFFFFF"/>
          </w:tcPr>
          <w:p>
            <w:pPr>
              <w:pStyle w:val="TableText"/>
              <w:keepNext w:val="0"/>
              <w:keepLines/>
            </w:pPr>
            <w:r>
              <w:t>20 m²</w:t>
            </w:r>
          </w:p>
        </w:tc>
      </w:tr>
      <w:tr>
        <w:trPr>
          <w:cantSplit/>
        </w:trPr>
        <w:tc>
          <w:tcPr>
            <w:tcW w:type="dxa" w:w="4215"/>
            <w:vAlign w:val="top"/>
            <w:shd w:fill="EDF2EE"/>
          </w:tcPr>
          <w:p>
            <w:pPr>
              <w:pStyle w:val="TableText"/>
              <w:keepNext w:val="0"/>
              <w:keepLines/>
            </w:pPr>
            <w:r>
              <w:t>Quiet space</w:t>
            </w:r>
          </w:p>
        </w:tc>
        <w:tc>
          <w:tcPr>
            <w:tcW w:type="dxa" w:w="3753"/>
            <w:vAlign w:val="top"/>
            <w:shd w:fill="EDF2EE"/>
          </w:tcPr>
          <w:p>
            <w:pPr>
              <w:pStyle w:val="TableText"/>
              <w:keepNext w:val="0"/>
              <w:keepLines/>
            </w:pPr>
            <w:r>
              <w:t>One</w:t>
            </w:r>
          </w:p>
        </w:tc>
        <w:tc>
          <w:tcPr>
            <w:tcW w:type="dxa" w:w="2184"/>
            <w:vAlign w:val="top"/>
            <w:shd w:fill="EDF2EE"/>
          </w:tcPr>
          <w:p>
            <w:pPr>
              <w:pStyle w:val="TableText"/>
              <w:keepNext w:val="0"/>
              <w:keepLines/>
            </w:pPr>
            <w:r>
              <w:t>12 m²</w:t>
            </w:r>
          </w:p>
        </w:tc>
      </w:tr>
      <w:tr>
        <w:trPr>
          <w:cantSplit/>
        </w:trPr>
        <w:tc>
          <w:tcPr>
            <w:tcW w:type="dxa" w:w="4215"/>
            <w:vAlign w:val="top"/>
            <w:shd w:fill="FFFFFF"/>
          </w:tcPr>
          <w:p>
            <w:pPr>
              <w:pStyle w:val="TableText"/>
              <w:keepNext w:val="0"/>
              <w:keepLines/>
            </w:pPr>
            <w:r>
              <w:t>Amenities</w:t>
            </w:r>
          </w:p>
        </w:tc>
        <w:tc>
          <w:tcPr>
            <w:tcW w:type="dxa" w:w="3753"/>
            <w:vAlign w:val="top"/>
            <w:shd w:fill="FFFFFF"/>
          </w:tcPr>
          <w:p>
            <w:pPr>
              <w:pStyle w:val="TableText"/>
              <w:keepNext w:val="0"/>
              <w:keepLines/>
            </w:pPr>
            <w:r>
              <w:t>Measured site allowance</w:t>
            </w:r>
          </w:p>
        </w:tc>
        <w:tc>
          <w:tcPr>
            <w:tcW w:type="dxa" w:w="2184"/>
            <w:vAlign w:val="top"/>
            <w:shd w:fill="FFFFFF"/>
          </w:tcPr>
          <w:p>
            <w:pPr>
              <w:pStyle w:val="TableText"/>
              <w:keepNext w:val="0"/>
              <w:keepLines/>
            </w:pPr>
            <w:r>
              <w:t>25 m²</w:t>
            </w:r>
          </w:p>
        </w:tc>
      </w:tr>
      <w:tr>
        <w:trPr>
          <w:cantSplit/>
        </w:trPr>
        <w:tc>
          <w:tcPr>
            <w:tcW w:type="dxa" w:w="4215"/>
            <w:vAlign w:val="top"/>
            <w:shd w:fill="EDF2EE"/>
          </w:tcPr>
          <w:p>
            <w:pPr>
              <w:pStyle w:val="TableText"/>
              <w:keepNext w:val="0"/>
              <w:keepLines/>
            </w:pPr>
            <w:r>
              <w:t>Circulation</w:t>
            </w:r>
          </w:p>
        </w:tc>
        <w:tc>
          <w:tcPr>
            <w:tcW w:type="dxa" w:w="3753"/>
            <w:vAlign w:val="top"/>
            <w:shd w:fill="EDF2EE"/>
          </w:tcPr>
          <w:p>
            <w:pPr>
              <w:pStyle w:val="TableText"/>
              <w:keepNext w:val="0"/>
              <w:keepLines/>
            </w:pPr>
            <w:r>
              <w:t>Initial programme allocation</w:t>
            </w:r>
          </w:p>
        </w:tc>
        <w:tc>
          <w:tcPr>
            <w:tcW w:type="dxa" w:w="2184"/>
            <w:vAlign w:val="top"/>
            <w:shd w:fill="EDF2EE"/>
          </w:tcPr>
          <w:p>
            <w:pPr>
              <w:pStyle w:val="TableText"/>
              <w:keepNext w:val="0"/>
              <w:keepLines/>
            </w:pPr>
            <w:r>
              <w:t>36 m²</w:t>
            </w:r>
          </w:p>
        </w:tc>
      </w:tr>
      <w:tr>
        <w:trPr>
          <w:cantSplit/>
        </w:trPr>
        <w:tc>
          <w:tcPr>
            <w:tcW w:type="dxa" w:w="4215"/>
            <w:vAlign w:val="top"/>
            <w:shd w:fill="FFFFFF"/>
          </w:tcPr>
          <w:p>
            <w:pPr>
              <w:pStyle w:val="TableText"/>
              <w:keepNext w:val="0"/>
              <w:keepLines/>
            </w:pPr>
            <w:r>
              <w:rPr>
                <w:b/>
              </w:rPr>
              <w:t>Total</w:t>
            </w:r>
          </w:p>
        </w:tc>
        <w:tc>
          <w:tcPr>
            <w:tcW w:type="dxa" w:w="3753"/>
            <w:vAlign w:val="top"/>
            <w:shd w:fill="FFFFFF"/>
          </w:tcPr>
          <w:p>
            <w:pPr>
              <w:pStyle w:val="TableText"/>
              <w:keepNext w:val="0"/>
              <w:keepLines/>
            </w:pPr>
            <w:r>
              <w:rPr>
                <w:b/>
              </w:rPr>
              <w:t>Worked layout assumption</w:t>
            </w:r>
          </w:p>
        </w:tc>
        <w:tc>
          <w:tcPr>
            <w:tcW w:type="dxa" w:w="2184"/>
            <w:vAlign w:val="top"/>
            <w:shd w:fill="FFFFFF"/>
          </w:tcPr>
          <w:p>
            <w:pPr>
              <w:pStyle w:val="TableText"/>
              <w:keepNext w:val="0"/>
              <w:keepLines/>
            </w:pPr>
            <w:r>
              <w:rPr>
                <w:b/>
              </w:rPr>
              <w:t>400 m²</w:t>
            </w:r>
          </w:p>
        </w:tc>
      </w:tr>
    </w:tbl>
    <w:p>
      <w:pPr>
        <w:spacing w:after="20" w:before="0" w:line="240" w:lineRule="auto"/>
      </w:pPr>
      <w:r>
        <w:rPr>
          <w:sz w:val="6"/>
        </w:rPr>
      </w:r>
    </w:p>
    <w:p>
      <w:pPr/>
      <w:r>
        <w:t>This worked layout, dated 29 October 2026, uses a game size within the supplier examples in the market chapter. All other areas are modelling allocations, including the amenities and circulation figures. This is not a measured design or an access assessment. A premises and delivery format would need their own layout, usable capacity and works calculation.</w:t>
      </w:r>
    </w:p>
    <w:p>
      <w:pPr/>
      <w:r>
        <w:t>Under the assumed six-player limit, four rooms would accommodate twenty-four paying players at once. A fifth room takes game capacity to thirty, but it also changes reflection, supervision and circulation requirements. A class of thirty can instead use two cohorts of fifteen in three teams of five, consuming six room sessions with a supervised parallel activity.</w:t>
      </w:r>
    </w:p>
    <w:p>
      <w:pPr>
        <w:pStyle w:val="SourceNote"/>
      </w:pPr>
      <w:r>
        <w:t xml:space="preserve">Sources: </w:t>
      </w:r>
      <w:hyperlink w:anchor="source_M11">
        <w:r>
          <w:rPr>
            <w:color w:val="275E67"/>
            <w:u w:val="single"/>
          </w:rPr>
          <w:t xml:space="preserve">M11</w:t>
        </w:r>
      </w:hyperlink>
      <w:r>
        <w:t xml:space="preserve">, </w:t>
      </w:r>
      <w:hyperlink w:anchor="source_M14">
        <w:r>
          <w:rPr>
            <w:color w:val="275E67"/>
            <w:u w:val="single"/>
          </w:rPr>
          <w:t xml:space="preserve">M14</w:t>
        </w:r>
      </w:hyperlink>
    </w:p>
    <w:p>
      <w:bookmarkStart w:id="22" w:name="s_deployment_A_reusable_physica_9972f4"/>
      <w:pPr>
        <w:pStyle w:val="Heading2"/>
      </w:pPr>
      <w:r>
        <w:t>A reusable physical and story system</w:t>
      </w:r>
      <w:bookmarkEnd w:id="22"/>
    </w:p>
    <w:p>
      <w:pPr/>
      <w:r>
        <w:t>Room concepts worth comparing include practical coordination, investigation, shared-place decisions and journeys through changing conditions. Parallel tasks followed by a combined decision are one possible design pattern, rather than a settled room catalogue. Different participants can contribute information, observation, making, organising or explanation.</w:t>
      </w:r>
    </w:p>
    <w:p>
      <w:pPr/>
      <w:r>
        <w:t>Independent play without hints is a design direction retained from the project brief. A room would need its necessary clues and instructions inside the game. Once play starts there are no hints from staff or AI, including vocabulary or teamwork prompts. Staff handle safety, access and equipment faults directly. The hard stop and reflection remain part of the experience even when the group has unfinished work.</w:t>
      </w:r>
    </w:p>
    <w:p>
      <w:pPr/>
      <w:r>
        <w:t>Use replaceable puzzle cassettes, accessible service panels, labelled wiring, robust connectors, reusable furniture and a consistent reset state. Scenic elements can vary by place without changing every technical component. Each scenario has age and access settings, a parts list, solution record, reset checklist, fault response, version and independent-play test record.</w:t>
      </w:r>
    </w:p>
    <w:p>
      <w:pPr>
        <w:pStyle w:val="SourceNote"/>
      </w:pPr>
      <w:r>
        <w:t xml:space="preserve">Sources: </w:t>
      </w:r>
      <w:hyperlink w:anchor="source_D05">
        <w:r>
          <w:rPr>
            <w:color w:val="275E67"/>
            <w:u w:val="single"/>
          </w:rPr>
          <w:t xml:space="preserve">D05</w:t>
        </w:r>
      </w:hyperlink>
      <w:r>
        <w:t xml:space="preserve">, </w:t>
      </w:r>
      <w:hyperlink w:anchor="source_D14">
        <w:r>
          <w:rPr>
            <w:color w:val="275E67"/>
            <w:u w:val="single"/>
          </w:rPr>
          <w:t xml:space="preserve">D14</w:t>
        </w:r>
      </w:hyperlink>
    </w:p>
    <w:p>
      <w:bookmarkStart w:id="23" w:name="s_deployment_The_room_cycle_and_c822d5"/>
      <w:pPr>
        <w:pStyle w:val="Heading2"/>
      </w:pPr>
      <w:r>
        <w:t>The room cycle and people onsite</w:t>
      </w:r>
      <w:bookmarkEnd w:id="23"/>
    </w:p>
    <w:p>
      <w:pPr>
        <w:pStyle w:val="SourceNote"/>
        <w:keepNext/>
      </w:pPr>
      <w:r>
        <w:t>Worked illustration | 29 October 2026 | Quantities and business inputs are assumptions for comparison.</w:t>
      </w:r>
    </w:p>
    <w:p>
      <w:pPr/>
      <w:r>
        <w:t>This worked timetable, dated 29 October 2026, assumes 10 minutes of briefing, 45 minutes of play, 25 minutes of reflection and 10 minutes of transitions: a 90-minute visit. A separate 60-minute room cycle assumes play, 10 minutes of reset and 5 minutes of buffer. None of these durations is selected or validated by operating data.</w:t>
      </w:r>
    </w:p>
    <w:p>
      <w:pPr/>
      <w:r>
        <w:t>With four rooms, starts staggered by 15 minutes and eight starts per room, the arithmetic gives 32 offered team sessions per day. At six days a week across 48 weeks, it gives 9,216 nominal sessions before the separately modelled renewal closures. Offered sessions are capacity, not bookings.</w:t>
      </w:r>
    </w:p>
    <w:p>
      <w:pPr/>
      <w:r>
        <w:t>That pattern could overlap three games and two reflections. It therefore raises questions about reception, monitoring, reset work, facilitation, breaks and access support. Annual task hours cannot establish whether a workable roster exists. Simultaneous school groups would need a separate timetable and space test.</w:t>
      </w:r>
    </w:p>
    <w:p>
      <w:pPr/>
      <w:r>
        <w:t>A second illustration uses a 75-minute room cycle: 45 minutes of play, 15 minutes of reset and 15 minutes of buffer. Seven starts per room and five additional paid reset minutes per team are assumed in its calculation. The 45-minute workshop extension is another input to test. Alternative durations, staffing and unrecorded reflection remain open comparisons.</w:t>
      </w:r>
    </w:p>
    <w:p>
      <w:pPr>
        <w:pStyle w:val="SourceNote"/>
      </w:pPr>
      <w:r>
        <w:t xml:space="preserve">Sources: </w:t>
      </w:r>
      <w:hyperlink w:anchor="source_M08">
        <w:r>
          <w:rPr>
            <w:color w:val="275E67"/>
            <w:u w:val="single"/>
          </w:rPr>
          <w:t xml:space="preserve">M08</w:t>
        </w:r>
      </w:hyperlink>
      <w:r>
        <w:t xml:space="preserve">, </w:t>
      </w:r>
      <w:hyperlink w:anchor="source_M20">
        <w:r>
          <w:rPr>
            <w:color w:val="275E67"/>
            <w:u w:val="single"/>
          </w:rPr>
          <w:t xml:space="preserve">M20</w:t>
        </w:r>
      </w:hyperlink>
    </w:p>
    <w:p>
      <w:bookmarkStart w:id="24" w:name="s_deployment_Audio__controls_an_f7ed9a"/>
      <w:pPr>
        <w:pStyle w:val="Heading2"/>
      </w:pPr>
      <w:r>
        <w:t>Audio, controls and the room record</w:t>
      </w:r>
      <w:bookmarkEnd w:id="24"/>
    </w:p>
    <w:p>
      <w:pPr/>
      <w:r>
        <w:t>Recording is a technical option to examine for post-play reflection. Research questions include speech capture during movement, overlapping conversation, speaker attribution, useful timestamps, preparation time and whether an unrecorded or simpler recording approach meets the same purpose. Participant choices and control of their records are part of the design.</w:t>
      </w:r>
    </w:p>
    <w:p>
      <w:pPr/>
      <w:r>
        <w:t>The priced single-room consumer wireless basket is a technical and cost comparison. It does not establish a multi-room radio design. Acoustic isolation, background audio, microphone placement, cleaning, charging, storage and human review would need testing against the room format. Game controls would need to work independently of any transcription service.</w:t>
      </w:r>
    </w:p>
    <w:p>
      <w:pPr/>
      <w:r>
        <w:t>A spatial record, asset register and version history could support installation, resets and maintenance. The business records and a participant's personal Aura have different purposes and access requirements. The architecture and software to connect them remain research questions.</w:t>
      </w:r>
    </w:p>
    <w:p>
      <w:pPr>
        <w:pStyle w:val="SourceNote"/>
      </w:pPr>
      <w:r>
        <w:t xml:space="preserve">Sources: </w:t>
      </w:r>
      <w:hyperlink w:anchor="source_D05">
        <w:r>
          <w:rPr>
            <w:color w:val="275E67"/>
            <w:u w:val="single"/>
          </w:rPr>
          <w:t xml:space="preserve">D05</w:t>
        </w:r>
      </w:hyperlink>
      <w:r>
        <w:t xml:space="preserve">, </w:t>
      </w:r>
      <w:hyperlink w:anchor="source_D06">
        <w:r>
          <w:rPr>
            <w:color w:val="275E67"/>
            <w:u w:val="single"/>
          </w:rPr>
          <w:t xml:space="preserve">D06</w:t>
        </w:r>
      </w:hyperlink>
      <w:r>
        <w:t xml:space="preserve">, </w:t>
      </w:r>
      <w:hyperlink w:anchor="source_P02">
        <w:r>
          <w:rPr>
            <w:color w:val="275E67"/>
            <w:u w:val="single"/>
          </w:rPr>
          <w:t xml:space="preserve">P02</w:t>
        </w:r>
      </w:hyperlink>
    </w:p>
    <w:p>
      <w:bookmarkStart w:id="25" w:name="s_deployment_Just_in_time_learn_cd11de"/>
      <w:pPr>
        <w:pStyle w:val="Heading2"/>
      </w:pPr>
      <w:r>
        <w:t>Just-in-time learning for installation and operations</w:t>
      </w:r>
      <w:bookmarkEnd w:id="25"/>
    </w:p>
    <w:p>
      <w:pPr/>
      <w:r>
        <w:t>Just-in-time learning is a core aim. Methods to compare include drawings, short demonstrations, 360-degree video and the skilled worker's explanation of a task. Associate each lesson with its component, conditions, tools, steps, checks and result. Useful faults and corrections become part of the learning material.</w:t>
      </w:r>
    </w:p>
    <w:p>
      <w:pPr/>
      <w:r>
        <w:t>A labourer can receive the specific lesson for labelling a module, fitting a scenic panel, preparing a reset kit or checking a documented starting state. Licensed and specialist work remains assigned to the people authorised and competent to perform it. A recorded lesson supports the work and its supervision.</w:t>
      </w:r>
    </w:p>
    <w:p>
      <w:pPr/>
      <w:r>
        <w:t>A useful learning record would distinguish observation, rehearsal, performance and acceptance of each task. Include paid learning, filming, editing, mentoring and handover in the work package. The next crew receives an improved method and the changes that apply to its actual site.</w:t>
      </w:r>
    </w:p>
    <w:p>
      <w:pPr>
        <w:pStyle w:val="SourceNote"/>
      </w:pPr>
      <w:r>
        <w:t xml:space="preserve">Sources: </w:t>
      </w:r>
      <w:hyperlink w:anchor="source_D05">
        <w:r>
          <w:rPr>
            <w:color w:val="275E67"/>
            <w:u w:val="single"/>
          </w:rPr>
          <w:t xml:space="preserve">D05</w:t>
        </w:r>
      </w:hyperlink>
      <w:r>
        <w:t xml:space="preserve">, </w:t>
      </w:r>
      <w:hyperlink w:anchor="source_D13">
        <w:r>
          <w:rPr>
            <w:color w:val="275E67"/>
            <w:u w:val="single"/>
          </w:rPr>
          <w:t xml:space="preserve">D13</w:t>
        </w:r>
      </w:hyperlink>
      <w:r>
        <w:t xml:space="preserve">, </w:t>
      </w:r>
      <w:hyperlink w:anchor="source_P02">
        <w:r>
          <w:rPr>
            <w:color w:val="275E67"/>
            <w:u w:val="single"/>
          </w:rPr>
          <w:t xml:space="preserve">P02</w:t>
        </w:r>
      </w:hyperlink>
      <w:r>
        <w:t xml:space="preserve">, </w:t>
      </w:r>
      <w:hyperlink w:anchor="source_P03">
        <w:r>
          <w:rPr>
            <w:color w:val="275E67"/>
            <w:u w:val="single"/>
          </w:rPr>
          <w:t xml:space="preserve">P03</w:t>
        </w:r>
      </w:hyperlink>
      <w:r>
        <w:t xml:space="preserve">, </w:t>
      </w:r>
      <w:hyperlink w:anchor="source_P05">
        <w:r>
          <w:rPr>
            <w:color w:val="275E67"/>
            <w:u w:val="single"/>
          </w:rPr>
          <w:t xml:space="preserve">P05</w:t>
        </w:r>
      </w:hyperlink>
      <w:r>
        <w:t xml:space="preserve">, </w:t>
      </w:r>
      <w:hyperlink w:anchor="source_P14">
        <w:r>
          <w:rPr>
            <w:color w:val="275E67"/>
            <w:u w:val="single"/>
          </w:rPr>
          <w:t xml:space="preserve">P14</w:t>
        </w:r>
      </w:hyperlink>
    </w:p>
    <w:p>
      <w:bookmarkStart w:id="26" w:name="chapter_economics"/>
      <w:pPr>
        <w:pStyle w:val="Heading1"/>
        <w:pageBreakBefore/>
      </w:pPr>
      <w:r>
        <w:t>Itemised setup and operating economics</w:t>
      </w:r>
      <w:bookmarkEnd w:id="26"/>
    </w:p>
    <w:p>
      <w:pPr>
        <w:pStyle w:val="Lead"/>
      </w:pPr>
      <w:r>
        <w:t>Review itemised supplier comparisons and explicit quantities, with the cost of unresolved scope left visible.</w:t>
      </w:r>
    </w:p>
    <w:p>
      <w:bookmarkStart w:id="27" w:name="s_economics_The_cost_standard_636501"/>
      <w:pPr>
        <w:pStyle w:val="Heading2"/>
      </w:pPr>
      <w:r>
        <w:t>The cost standard</w:t>
      </w:r>
      <w:bookmarkEnd w:id="27"/>
    </w:p>
    <w:p>
      <w:pPr/>
      <w:r>
        <w:t>The cost research separates advertised unit prices, assumed quantities and hours, and scope that needs a quotation. A displayed supplier price becomes a worked extension only when multiplied by a clearly stated quantity. It does not become a delivered project quote.</w:t>
      </w:r>
    </w:p>
    <w:p>
      <w:pPr/>
      <w:r>
        <w:t>Price observation date: 29 October 2026, as recorded in the source register. Rechecked pages and inherited listings awaiting verification are identified separately. Supplier quotation date: none recorded. Freight, GST, condition, warranty, availability and installation scope remain part of each comparison.</w:t>
      </w:r>
    </w:p>
    <w:p>
      <w:pPr/>
      <w:r>
        <w:t>The numerical baskets below are worked illustrations using the inherited quantities. Their subtotals help compare scope and expose omissions. They do not select equipment, furnishings, trades, software or a capital budget.</w:t>
      </w:r>
    </w:p>
    <w:p>
      <w:bookmarkStart w:id="28" w:name="s_economics_The_delivery_cost_r_9a6076"/>
      <w:pPr>
        <w:pStyle w:val="Heading2"/>
      </w:pPr>
      <w:r>
        <w:t>The delivery cost record</w:t>
      </w:r>
      <w:bookmarkEnd w:id="28"/>
    </w:p>
    <w:p>
      <w:pPr/>
      <w:r>
        <w:t>Each quoted work package identifies the drawing or room version, quantities, materials, labour roles, time, tools, delivery, installation, tests, training, warranty, payment milestones and exclusions. A supplier's game package and a complete Australian premises are different scopes.</w:t>
      </w:r>
    </w:p>
    <w:p>
      <w:pPr/>
      <w:r>
        <w:t>A new-versus-used comparison needs to establish fitness for the task and remaining useful life. Durable tables, chairs, cabinets, desks, storage and scenic objects are useful second-hand candidates. Electrical, structural, fire, access, load-bearing and recording-system components require the specific suitability checks and professional work described in the site brief.</w:t>
      </w:r>
    </w:p>
    <w:p>
      <w:pPr/>
      <w:r>
        <w:t>The detailed priced schedules and calculated scenarios follow below.</w:t>
      </w:r>
    </w:p>
    <w:p>
      <w:pPr>
        <w:pStyle w:val="SourceNote"/>
      </w:pPr>
      <w:r>
        <w:t xml:space="preserve">Sources: </w:t>
      </w:r>
      <w:hyperlink w:anchor="source_M14">
        <w:r>
          <w:rPr>
            <w:color w:val="275E67"/>
            <w:u w:val="single"/>
          </w:rPr>
          <w:t xml:space="preserve">M14</w:t>
        </w:r>
      </w:hyperlink>
    </w:p>
    <w:p>
      <w:bookmarkStart w:id="29" w:name="s_economics_Equipment__one_room_4173b0"/>
      <w:pPr>
        <w:pStyle w:val="Heading2"/>
      </w:pPr>
      <w:r>
        <w:t>Equipment: one-room capture prototype</w:t>
      </w:r>
      <w:bookmarkEnd w:id="29"/>
    </w:p>
    <w:p>
      <w:pPr>
        <w:pStyle w:val="SourceNote"/>
        <w:keepNext/>
      </w:pPr>
      <w:r>
        <w:t>Worked illustration | 29 October 2026 | Quantities and business inputs are assumptions for comparison.</w:t>
      </w:r>
    </w:p>
    <w:p>
      <w:pPr/>
      <w:r>
        <w:t>Worked technical basket: six participant channels, with quantities assumed to explore capture, transfer and reflection preparation. Equipment compatibility and workflow performance remain untested. This is a partial cost comparison, not an equipment selection or venue AV quote.</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210"/>
        <w:gridCol w:w="4334"/>
        <w:gridCol w:w="1181"/>
        <w:gridCol w:w="1246"/>
        <w:gridCol w:w="1181"/>
      </w:tblGrid>
      <w:tr>
        <w:trPr>
          <w:cantSplit/>
          <w:tblHeader w:val="true"/>
        </w:trPr>
        <w:tc>
          <w:tcPr>
            <w:tcW w:type="dxa" w:w="2210"/>
            <w:vAlign w:val="center"/>
            <w:shd w:fill="203B4C"/>
          </w:tcPr>
          <w:p>
            <w:pPr>
              <w:pStyle w:val="TableHead"/>
              <w:keepNext/>
              <w:keepLines/>
            </w:pPr>
            <w:r>
              <w:rPr>
                <w:color w:val="FFFFFF"/>
              </w:rPr>
              <w:t>Item</w:t>
            </w:r>
          </w:p>
        </w:tc>
        <w:tc>
          <w:tcPr>
            <w:tcW w:type="dxa" w:w="4334"/>
            <w:vAlign w:val="center"/>
            <w:shd w:fill="203B4C"/>
          </w:tcPr>
          <w:p>
            <w:pPr>
              <w:pStyle w:val="TableHead"/>
              <w:keepNext/>
              <w:keepLines/>
            </w:pPr>
            <w:r>
              <w:rPr>
                <w:color w:val="FFFFFF"/>
              </w:rPr>
              <w:t>Quantity and reason</w:t>
            </w:r>
          </w:p>
        </w:tc>
        <w:tc>
          <w:tcPr>
            <w:tcW w:type="dxa" w:w="1181"/>
            <w:vAlign w:val="center"/>
            <w:shd w:fill="203B4C"/>
          </w:tcPr>
          <w:p>
            <w:pPr>
              <w:pStyle w:val="TableHead"/>
              <w:keepNext/>
              <w:keepLines/>
              <w:jc w:val="center"/>
            </w:pPr>
            <w:r>
              <w:rPr>
                <w:color w:val="FFFFFF"/>
              </w:rPr>
              <w:t>Listed unit price</w:t>
            </w:r>
          </w:p>
        </w:tc>
        <w:tc>
          <w:tcPr>
            <w:tcW w:type="dxa" w:w="1246"/>
            <w:vAlign w:val="center"/>
            <w:shd w:fill="203B4C"/>
          </w:tcPr>
          <w:p>
            <w:pPr>
              <w:pStyle w:val="TableHead"/>
              <w:keepNext/>
              <w:keepLines/>
              <w:jc w:val="center"/>
            </w:pPr>
            <w:r>
              <w:rPr>
                <w:color w:val="FFFFFF"/>
              </w:rPr>
              <w:t>Listed extension</w:t>
            </w:r>
          </w:p>
        </w:tc>
        <w:tc>
          <w:tcPr>
            <w:tcW w:type="dxa" w:w="1181"/>
            <w:vAlign w:val="center"/>
            <w:shd w:fill="203B4C"/>
          </w:tcPr>
          <w:p>
            <w:pPr>
              <w:pStyle w:val="TableHead"/>
              <w:keepNext/>
              <w:keepLines/>
            </w:pPr>
            <w:r>
              <w:rPr>
                <w:color w:val="FFFFFF"/>
              </w:rPr>
              <w:t>Source</w:t>
            </w:r>
          </w:p>
        </w:tc>
      </w:tr>
      <w:tr>
        <w:trPr>
          <w:cantSplit/>
        </w:trPr>
        <w:tc>
          <w:tcPr>
            <w:tcW w:type="dxa" w:w="2210"/>
            <w:vAlign w:val="top"/>
            <w:shd w:fill="EDF2EE"/>
          </w:tcPr>
          <w:p>
            <w:pPr>
              <w:pStyle w:val="TableText"/>
              <w:keepNext w:val="0"/>
              <w:keepLines/>
            </w:pPr>
            <w:r>
              <w:t>Rode Wireless PRO dual kit</w:t>
            </w:r>
          </w:p>
        </w:tc>
        <w:tc>
          <w:tcPr>
            <w:tcW w:type="dxa" w:w="4334"/>
            <w:vAlign w:val="top"/>
            <w:shd w:fill="EDF2EE"/>
          </w:tcPr>
          <w:p>
            <w:pPr>
              <w:pStyle w:val="TableText"/>
              <w:keepNext w:val="0"/>
              <w:keepLines/>
            </w:pPr>
            <w:r>
              <w:t>4 kit; Three active dual kits provide six independently recorded participant channels; one cold spare. One-room prototype only.</w:t>
            </w:r>
          </w:p>
        </w:tc>
        <w:tc>
          <w:tcPr>
            <w:tcW w:type="dxa" w:w="1181"/>
            <w:vAlign w:val="center"/>
            <w:shd w:fill="EDF2EE"/>
          </w:tcPr>
          <w:p>
            <w:pPr>
              <w:pStyle w:val="TableText"/>
              <w:keepNext w:val="0"/>
              <w:keepLines/>
              <w:jc w:val="center"/>
            </w:pPr>
            <w:r>
              <w:t>$385.00</w:t>
            </w:r>
          </w:p>
        </w:tc>
        <w:tc>
          <w:tcPr>
            <w:tcW w:type="dxa" w:w="1246"/>
            <w:vAlign w:val="center"/>
            <w:shd w:fill="EDF2EE"/>
          </w:tcPr>
          <w:p>
            <w:pPr>
              <w:pStyle w:val="TableText"/>
              <w:keepNext w:val="0"/>
              <w:keepLines/>
              <w:jc w:val="center"/>
            </w:pPr>
            <w:r>
              <w:t>$1,540.00</w:t>
            </w:r>
          </w:p>
        </w:tc>
        <w:tc>
          <w:tcPr>
            <w:tcW w:type="dxa" w:w="1181"/>
            <w:vAlign w:val="top"/>
            <w:shd w:fill="EDF2EE"/>
          </w:tcPr>
          <w:p>
            <w:pPr>
              <w:pStyle w:val="TableText"/>
              <w:keepNext w:val="0"/>
              <w:keepLines/>
            </w:pPr>
            <w:hyperlink w:anchor="source_R106">
              <w:r>
                <w:rPr>
                  <w:color w:val="275E67"/>
                  <w:u w:val="single"/>
                </w:rPr>
                <w:t xml:space="preserve">R106</w:t>
              </w:r>
            </w:hyperlink>
            <w:r>
              <w:t xml:space="preserve">, </w:t>
            </w:r>
            <w:hyperlink w:anchor="source_R107">
              <w:r>
                <w:rPr>
                  <w:color w:val="275E67"/>
                  <w:u w:val="single"/>
                </w:rPr>
                <w:t xml:space="preserve">R107</w:t>
              </w:r>
            </w:hyperlink>
          </w:p>
        </w:tc>
      </w:tr>
      <w:tr>
        <w:trPr>
          <w:cantSplit/>
        </w:trPr>
        <w:tc>
          <w:tcPr>
            <w:tcW w:type="dxa" w:w="2210"/>
            <w:vAlign w:val="top"/>
            <w:shd w:fill="FFFFFF"/>
          </w:tcPr>
          <w:p>
            <w:pPr>
              <w:pStyle w:val="TableText"/>
              <w:keepNext w:val="0"/>
              <w:keepLines/>
            </w:pPr>
            <w:r>
              <w:t>Zoom LiveTrak L-8 mixer/recorder</w:t>
            </w:r>
          </w:p>
        </w:tc>
        <w:tc>
          <w:tcPr>
            <w:tcW w:type="dxa" w:w="4334"/>
            <w:vAlign w:val="top"/>
            <w:shd w:fill="FFFFFF"/>
          </w:tcPr>
          <w:p>
            <w:pPr>
              <w:pStyle w:val="TableText"/>
              <w:keepNext w:val="0"/>
              <w:keepLines/>
            </w:pPr>
            <w:r>
              <w:t>1 unit; Six inputs for the three split stereo receiver outputs. Backorder status must be resolved.</w:t>
            </w:r>
          </w:p>
        </w:tc>
        <w:tc>
          <w:tcPr>
            <w:tcW w:type="dxa" w:w="1181"/>
            <w:vAlign w:val="center"/>
            <w:shd w:fill="FFFFFF"/>
          </w:tcPr>
          <w:p>
            <w:pPr>
              <w:pStyle w:val="TableText"/>
              <w:keepNext w:val="0"/>
              <w:keepLines/>
              <w:jc w:val="center"/>
            </w:pPr>
            <w:r>
              <w:t>$715.00</w:t>
            </w:r>
          </w:p>
        </w:tc>
        <w:tc>
          <w:tcPr>
            <w:tcW w:type="dxa" w:w="1246"/>
            <w:vAlign w:val="center"/>
            <w:shd w:fill="FFFFFF"/>
          </w:tcPr>
          <w:p>
            <w:pPr>
              <w:pStyle w:val="TableText"/>
              <w:keepNext w:val="0"/>
              <w:keepLines/>
              <w:jc w:val="center"/>
            </w:pPr>
            <w:r>
              <w:t>$715.00</w:t>
            </w:r>
          </w:p>
        </w:tc>
        <w:tc>
          <w:tcPr>
            <w:tcW w:type="dxa" w:w="1181"/>
            <w:vAlign w:val="top"/>
            <w:shd w:fill="FFFFFF"/>
          </w:tcPr>
          <w:p>
            <w:pPr>
              <w:pStyle w:val="TableText"/>
              <w:keepNext w:val="0"/>
              <w:keepLines/>
            </w:pPr>
            <w:hyperlink w:anchor="source_R108">
              <w:r>
                <w:rPr>
                  <w:color w:val="275E67"/>
                  <w:u w:val="single"/>
                </w:rPr>
                <w:t xml:space="preserve">R108</w:t>
              </w:r>
            </w:hyperlink>
          </w:p>
        </w:tc>
      </w:tr>
      <w:tr>
        <w:trPr>
          <w:cantSplit/>
        </w:trPr>
        <w:tc>
          <w:tcPr>
            <w:tcW w:type="dxa" w:w="2210"/>
            <w:vAlign w:val="top"/>
            <w:shd w:fill="EDF2EE"/>
          </w:tcPr>
          <w:p>
            <w:pPr>
              <w:pStyle w:val="TableText"/>
              <w:keepNext w:val="0"/>
              <w:keepLines/>
            </w:pPr>
            <w:r>
              <w:t>Hosa CMP-159 breakout cable</w:t>
            </w:r>
          </w:p>
        </w:tc>
        <w:tc>
          <w:tcPr>
            <w:tcW w:type="dxa" w:w="4334"/>
            <w:vAlign w:val="top"/>
            <w:shd w:fill="EDF2EE"/>
          </w:tcPr>
          <w:p>
            <w:pPr>
              <w:pStyle w:val="TableText"/>
              <w:keepNext w:val="0"/>
              <w:keepLines/>
            </w:pPr>
            <w:r>
              <w:t>4 cable; Three working stereo-to-dual-mono cables plus one spare.</w:t>
            </w:r>
          </w:p>
        </w:tc>
        <w:tc>
          <w:tcPr>
            <w:tcW w:type="dxa" w:w="1181"/>
            <w:vAlign w:val="center"/>
            <w:shd w:fill="EDF2EE"/>
          </w:tcPr>
          <w:p>
            <w:pPr>
              <w:pStyle w:val="TableText"/>
              <w:keepNext w:val="0"/>
              <w:keepLines/>
              <w:jc w:val="center"/>
            </w:pPr>
            <w:r>
              <w:t>$22.00</w:t>
            </w:r>
          </w:p>
        </w:tc>
        <w:tc>
          <w:tcPr>
            <w:tcW w:type="dxa" w:w="1246"/>
            <w:vAlign w:val="center"/>
            <w:shd w:fill="EDF2EE"/>
          </w:tcPr>
          <w:p>
            <w:pPr>
              <w:pStyle w:val="TableText"/>
              <w:keepNext w:val="0"/>
              <w:keepLines/>
              <w:jc w:val="center"/>
            </w:pPr>
            <w:r>
              <w:t>$88.00</w:t>
            </w:r>
          </w:p>
        </w:tc>
        <w:tc>
          <w:tcPr>
            <w:tcW w:type="dxa" w:w="1181"/>
            <w:vAlign w:val="top"/>
            <w:shd w:fill="EDF2EE"/>
          </w:tcPr>
          <w:p>
            <w:pPr>
              <w:pStyle w:val="TableText"/>
              <w:keepNext w:val="0"/>
              <w:keepLines/>
            </w:pPr>
            <w:hyperlink w:anchor="source_R109">
              <w:r>
                <w:rPr>
                  <w:color w:val="275E67"/>
                  <w:u w:val="single"/>
                </w:rPr>
                <w:t xml:space="preserve">R109</w:t>
              </w:r>
            </w:hyperlink>
          </w:p>
        </w:tc>
      </w:tr>
      <w:tr>
        <w:trPr>
          <w:cantSplit/>
        </w:trPr>
        <w:tc>
          <w:tcPr>
            <w:tcW w:type="dxa" w:w="2210"/>
            <w:vAlign w:val="top"/>
            <w:shd w:fill="FFFFFF"/>
          </w:tcPr>
          <w:p>
            <w:pPr>
              <w:pStyle w:val="TableText"/>
              <w:keepNext w:val="0"/>
              <w:keepLines/>
            </w:pPr>
            <w:r>
              <w:t>Refurbished HP EliteDesk 800 G6 Mini</w:t>
            </w:r>
          </w:p>
        </w:tc>
        <w:tc>
          <w:tcPr>
            <w:tcW w:type="dxa" w:w="4334"/>
            <w:vAlign w:val="top"/>
            <w:shd w:fill="FFFFFF"/>
          </w:tcPr>
          <w:p>
            <w:pPr>
              <w:pStyle w:val="TableText"/>
              <w:keepNext w:val="0"/>
              <w:keepLines/>
            </w:pPr>
            <w:r>
              <w:t>1 computer; Prototype capture/control and transfer testing. Display, archive storage and AI throughput are separate requirements.</w:t>
            </w:r>
          </w:p>
        </w:tc>
        <w:tc>
          <w:tcPr>
            <w:tcW w:type="dxa" w:w="1181"/>
            <w:vAlign w:val="center"/>
            <w:shd w:fill="FFFFFF"/>
          </w:tcPr>
          <w:p>
            <w:pPr>
              <w:pStyle w:val="TableText"/>
              <w:keepNext w:val="0"/>
              <w:keepLines/>
              <w:jc w:val="center"/>
            </w:pPr>
            <w:r>
              <w:t>$399.00</w:t>
            </w:r>
          </w:p>
        </w:tc>
        <w:tc>
          <w:tcPr>
            <w:tcW w:type="dxa" w:w="1246"/>
            <w:vAlign w:val="center"/>
            <w:shd w:fill="FFFFFF"/>
          </w:tcPr>
          <w:p>
            <w:pPr>
              <w:pStyle w:val="TableText"/>
              <w:keepNext w:val="0"/>
              <w:keepLines/>
              <w:jc w:val="center"/>
            </w:pPr>
            <w:r>
              <w:t>$399.00</w:t>
            </w:r>
          </w:p>
        </w:tc>
        <w:tc>
          <w:tcPr>
            <w:tcW w:type="dxa" w:w="1181"/>
            <w:vAlign w:val="top"/>
            <w:shd w:fill="FFFFFF"/>
          </w:tcPr>
          <w:p>
            <w:pPr>
              <w:pStyle w:val="TableText"/>
              <w:keepNext w:val="0"/>
              <w:keepLines/>
            </w:pPr>
            <w:hyperlink w:anchor="source_R115">
              <w:r>
                <w:rPr>
                  <w:color w:val="275E67"/>
                  <w:u w:val="single"/>
                </w:rPr>
                <w:t xml:space="preserve">R115</w:t>
              </w:r>
            </w:hyperlink>
          </w:p>
        </w:tc>
      </w:tr>
      <w:tr>
        <w:trPr>
          <w:cantSplit/>
        </w:trPr>
        <w:tc>
          <w:tcPr>
            <w:tcW w:type="dxa" w:w="2210"/>
            <w:vAlign w:val="top"/>
            <w:shd w:fill="EDF2EE"/>
          </w:tcPr>
          <w:p>
            <w:pPr>
              <w:pStyle w:val="TableText"/>
              <w:keepNext w:val="0"/>
              <w:keepLines/>
            </w:pPr>
            <w:r>
              <w:t>CyberPower 900 VA/540 W UPS</w:t>
            </w:r>
          </w:p>
        </w:tc>
        <w:tc>
          <w:tcPr>
            <w:tcW w:type="dxa" w:w="4334"/>
            <w:vAlign w:val="top"/>
            <w:shd w:fill="EDF2EE"/>
          </w:tcPr>
          <w:p>
            <w:pPr>
              <w:pStyle w:val="TableText"/>
              <w:keepNext w:val="0"/>
              <w:keepLines/>
            </w:pPr>
            <w:r>
              <w:t>1 unit; Prototype recorder/control continuity. Actual runtime test and load schedule required.</w:t>
            </w:r>
          </w:p>
        </w:tc>
        <w:tc>
          <w:tcPr>
            <w:tcW w:type="dxa" w:w="1181"/>
            <w:vAlign w:val="center"/>
            <w:shd w:fill="EDF2EE"/>
          </w:tcPr>
          <w:p>
            <w:pPr>
              <w:pStyle w:val="TableText"/>
              <w:keepNext w:val="0"/>
              <w:keepLines/>
              <w:jc w:val="center"/>
            </w:pPr>
            <w:r>
              <w:t>$299.00</w:t>
            </w:r>
          </w:p>
        </w:tc>
        <w:tc>
          <w:tcPr>
            <w:tcW w:type="dxa" w:w="1246"/>
            <w:vAlign w:val="center"/>
            <w:shd w:fill="EDF2EE"/>
          </w:tcPr>
          <w:p>
            <w:pPr>
              <w:pStyle w:val="TableText"/>
              <w:keepNext w:val="0"/>
              <w:keepLines/>
              <w:jc w:val="center"/>
            </w:pPr>
            <w:r>
              <w:t>$299.00</w:t>
            </w:r>
          </w:p>
        </w:tc>
        <w:tc>
          <w:tcPr>
            <w:tcW w:type="dxa" w:w="1181"/>
            <w:vAlign w:val="top"/>
            <w:shd w:fill="EDF2EE"/>
          </w:tcPr>
          <w:p>
            <w:pPr>
              <w:pStyle w:val="TableText"/>
              <w:keepNext w:val="0"/>
              <w:keepLines/>
            </w:pPr>
            <w:hyperlink w:anchor="source_R116">
              <w:r>
                <w:rPr>
                  <w:color w:val="275E67"/>
                  <w:u w:val="single"/>
                </w:rPr>
                <w:t xml:space="preserve">R116</w:t>
              </w:r>
            </w:hyperlink>
          </w:p>
        </w:tc>
      </w:tr>
    </w:tbl>
    <w:p>
      <w:pPr>
        <w:spacing w:after="20" w:before="0" w:line="240" w:lineRule="auto"/>
      </w:pPr>
      <w:r>
        <w:rPr>
          <w:sz w:val="6"/>
        </w:rPr>
      </w:r>
    </w:p>
    <w:p>
      <w:pPr/>
      <w:r>
        <w:t xml:space="preserve">The displayed-price subtotal is </w:t>
      </w:r>
      <w:r>
        <w:rPr>
          <w:b/>
        </w:rPr>
        <w:t>$3,041.00</w:t>
      </w:r>
      <w:r>
        <w:t>, before any unresolved freight, accessories or tax adjustment. The mixer was on backorder and the microphone price was promotional when checked. Recording media, headphones/playback, display, archive storage, networking and software remain separately specified.</w:t>
      </w:r>
    </w:p>
    <w:p>
      <w:pPr/>
      <w:r>
        <w:t>Rode specifies a maximum of four Wireless PRO kits, eight transmitters, in one place. Three active kits plus a cold spare are the assumed single-room test configuration. Whether that configuration is suitable needs testing. A multi-room option would require a separate RF and acoustic design and cost comparison. Multiplying the inexpensive consumer kit into 24 simultaneous live channels would ignore the manufacturer's stated limit. Local onboard recording is another possible workflow to test, with its actual transfer and facilitator preparation time measured. [</w:t>
      </w:r>
      <w:hyperlink w:anchor="source_R107">
        <w:r>
          <w:rPr>
            <w:color w:val="275E67"/>
            <w:u w:val="single"/>
          </w:rPr>
          <w:t xml:space="preserve">R107</w:t>
        </w:r>
      </w:hyperlink>
      <w:r>
        <w:t>]</w:t>
      </w:r>
    </w:p>
    <w:p>
      <w:pPr>
        <w:pStyle w:val="SourceNote"/>
      </w:pPr>
      <w:r>
        <w:t xml:space="preserve">Sources: </w:t>
      </w:r>
      <w:hyperlink w:anchor="source_R106">
        <w:r>
          <w:rPr>
            <w:color w:val="275E67"/>
            <w:u w:val="single"/>
          </w:rPr>
          <w:t xml:space="preserve">R106</w:t>
        </w:r>
      </w:hyperlink>
      <w:r>
        <w:t xml:space="preserve">, </w:t>
      </w:r>
      <w:hyperlink w:anchor="source_R107">
        <w:r>
          <w:rPr>
            <w:color w:val="275E67"/>
            <w:u w:val="single"/>
          </w:rPr>
          <w:t xml:space="preserve">R107</w:t>
        </w:r>
      </w:hyperlink>
      <w:r>
        <w:t xml:space="preserve">, </w:t>
      </w:r>
      <w:hyperlink w:anchor="source_R108">
        <w:r>
          <w:rPr>
            <w:color w:val="275E67"/>
            <w:u w:val="single"/>
          </w:rPr>
          <w:t xml:space="preserve">R108</w:t>
        </w:r>
      </w:hyperlink>
      <w:r>
        <w:t xml:space="preserve">, </w:t>
      </w:r>
      <w:hyperlink w:anchor="source_R109">
        <w:r>
          <w:rPr>
            <w:color w:val="275E67"/>
            <w:u w:val="single"/>
          </w:rPr>
          <w:t xml:space="preserve">R109</w:t>
        </w:r>
      </w:hyperlink>
      <w:r>
        <w:t xml:space="preserve">, </w:t>
      </w:r>
      <w:hyperlink w:anchor="source_R115">
        <w:r>
          <w:rPr>
            <w:color w:val="275E67"/>
            <w:u w:val="single"/>
          </w:rPr>
          <w:t xml:space="preserve">R115</w:t>
        </w:r>
      </w:hyperlink>
      <w:r>
        <w:t xml:space="preserve">, </w:t>
      </w:r>
      <w:hyperlink w:anchor="source_R116">
        <w:r>
          <w:rPr>
            <w:color w:val="275E67"/>
            <w:u w:val="single"/>
          </w:rPr>
          <w:t xml:space="preserve">R116</w:t>
        </w:r>
      </w:hyperlink>
    </w:p>
    <w:p>
      <w:bookmarkStart w:id="30" w:name="s_economics_Furnishing__useful__bb6168"/>
      <w:pPr>
        <w:pStyle w:val="Heading2"/>
      </w:pPr>
      <w:r>
        <w:t>Furnishing: useful second-hand stock alongside new items</w:t>
      </w:r>
      <w:bookmarkEnd w:id="30"/>
    </w:p>
    <w:p>
      <w:pPr>
        <w:pStyle w:val="SourceNote"/>
        <w:keepNext/>
      </w:pPr>
      <w:r>
        <w:t>Worked illustration | 29 October 2026 | Quantities and business inputs are assumptions for comparison.</w:t>
      </w:r>
    </w:p>
    <w:p>
      <w:pPr/>
      <w:r>
        <w:t>This worked furnishing comparison uses assumed quantities for two-room and four-room formats. Used stock could reduce purchase cost, subject to condition, quantity available, delivery, cleaning, repair and useful life.</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3513"/>
        <w:gridCol w:w="2016"/>
        <w:gridCol w:w="1181"/>
        <w:gridCol w:w="1835"/>
        <w:gridCol w:w="1606"/>
      </w:tblGrid>
      <w:tr>
        <w:trPr>
          <w:cantSplit/>
          <w:tblHeader w:val="true"/>
        </w:trPr>
        <w:tc>
          <w:tcPr>
            <w:tcW w:type="dxa" w:w="3513"/>
            <w:vAlign w:val="center"/>
            <w:shd w:fill="203B4C"/>
          </w:tcPr>
          <w:p>
            <w:pPr>
              <w:pStyle w:val="TableHead"/>
              <w:keepNext/>
              <w:keepLines/>
            </w:pPr>
            <w:r>
              <w:rPr>
                <w:color w:val="FFFFFF"/>
              </w:rPr>
              <w:t>Item and condition</w:t>
            </w:r>
          </w:p>
        </w:tc>
        <w:tc>
          <w:tcPr>
            <w:tcW w:type="dxa" w:w="2016"/>
            <w:vAlign w:val="center"/>
            <w:shd w:fill="203B4C"/>
          </w:tcPr>
          <w:p>
            <w:pPr>
              <w:pStyle w:val="TableHead"/>
              <w:keepNext/>
              <w:keepLines/>
              <w:jc w:val="center"/>
            </w:pPr>
            <w:r>
              <w:rPr>
                <w:color w:val="FFFFFF"/>
              </w:rPr>
              <w:t>Quantity, 2 / 4 rooms</w:t>
            </w:r>
          </w:p>
        </w:tc>
        <w:tc>
          <w:tcPr>
            <w:tcW w:type="dxa" w:w="1181"/>
            <w:vAlign w:val="center"/>
            <w:shd w:fill="203B4C"/>
          </w:tcPr>
          <w:p>
            <w:pPr>
              <w:pStyle w:val="TableHead"/>
              <w:keepNext/>
              <w:keepLines/>
              <w:jc w:val="center"/>
            </w:pPr>
            <w:r>
              <w:rPr>
                <w:color w:val="FFFFFF"/>
              </w:rPr>
              <w:t>Listed each</w:t>
            </w:r>
          </w:p>
        </w:tc>
        <w:tc>
          <w:tcPr>
            <w:tcW w:type="dxa" w:w="1835"/>
            <w:vAlign w:val="center"/>
            <w:shd w:fill="203B4C"/>
          </w:tcPr>
          <w:p>
            <w:pPr>
              <w:pStyle w:val="TableHead"/>
              <w:keepNext/>
              <w:keepLines/>
              <w:jc w:val="center"/>
            </w:pPr>
            <w:r>
              <w:rPr>
                <w:color w:val="FFFFFF"/>
              </w:rPr>
              <w:t>Totals, 2 / 4 rooms</w:t>
            </w:r>
          </w:p>
        </w:tc>
        <w:tc>
          <w:tcPr>
            <w:tcW w:type="dxa" w:w="1606"/>
            <w:vAlign w:val="center"/>
            <w:shd w:fill="203B4C"/>
          </w:tcPr>
          <w:p>
            <w:pPr>
              <w:pStyle w:val="TableHead"/>
              <w:keepNext/>
              <w:keepLines/>
            </w:pPr>
            <w:r>
              <w:rPr>
                <w:color w:val="FFFFFF"/>
              </w:rPr>
              <w:t>Source</w:t>
            </w:r>
          </w:p>
        </w:tc>
      </w:tr>
      <w:tr>
        <w:trPr>
          <w:cantSplit/>
        </w:trPr>
        <w:tc>
          <w:tcPr>
            <w:tcW w:type="dxa" w:w="3513"/>
            <w:vAlign w:val="top"/>
            <w:shd w:fill="EDF2EE"/>
          </w:tcPr>
          <w:p>
            <w:pPr>
              <w:pStyle w:val="TableText"/>
              <w:keepNext w:val="0"/>
              <w:keepLines/>
            </w:pPr>
            <w:r>
              <w:t>Ex-hire Chibel stackable visitor chair</w:t>
            </w:r>
          </w:p>
        </w:tc>
        <w:tc>
          <w:tcPr>
            <w:tcW w:type="dxa" w:w="2016"/>
            <w:vAlign w:val="center"/>
            <w:shd w:fill="EDF2EE"/>
          </w:tcPr>
          <w:p>
            <w:pPr>
              <w:pStyle w:val="TableText"/>
              <w:keepNext w:val="0"/>
              <w:keepLines/>
              <w:jc w:val="center"/>
            </w:pPr>
            <w:r>
              <w:t>14 / 32</w:t>
            </w:r>
          </w:p>
        </w:tc>
        <w:tc>
          <w:tcPr>
            <w:tcW w:type="dxa" w:w="1181"/>
            <w:vAlign w:val="center"/>
            <w:shd w:fill="EDF2EE"/>
          </w:tcPr>
          <w:p>
            <w:pPr>
              <w:pStyle w:val="TableText"/>
              <w:keepNext w:val="0"/>
              <w:keepLines/>
              <w:jc w:val="center"/>
            </w:pPr>
            <w:r>
              <w:t>$39</w:t>
            </w:r>
          </w:p>
        </w:tc>
        <w:tc>
          <w:tcPr>
            <w:tcW w:type="dxa" w:w="1835"/>
            <w:vAlign w:val="center"/>
            <w:shd w:fill="EDF2EE"/>
          </w:tcPr>
          <w:p>
            <w:pPr>
              <w:pStyle w:val="TableText"/>
              <w:keepNext w:val="0"/>
              <w:keepLines/>
              <w:jc w:val="center"/>
            </w:pPr>
            <w:r>
              <w:t>$546 / $1,248</w:t>
            </w:r>
          </w:p>
        </w:tc>
        <w:tc>
          <w:tcPr>
            <w:tcW w:type="dxa" w:w="1606"/>
            <w:vAlign w:val="top"/>
            <w:shd w:fill="EDF2EE"/>
          </w:tcPr>
          <w:p>
            <w:pPr>
              <w:pStyle w:val="TableText"/>
              <w:keepNext w:val="0"/>
              <w:keepLines/>
            </w:pPr>
            <w:hyperlink w:anchor="source_R112">
              <w:r>
                <w:rPr>
                  <w:color w:val="275E67"/>
                  <w:u w:val="single"/>
                </w:rPr>
                <w:t xml:space="preserve">R112</w:t>
              </w:r>
            </w:hyperlink>
          </w:p>
        </w:tc>
      </w:tr>
      <w:tr>
        <w:trPr>
          <w:cantSplit/>
        </w:trPr>
        <w:tc>
          <w:tcPr>
            <w:tcW w:type="dxa" w:w="3513"/>
            <w:vAlign w:val="top"/>
            <w:shd w:fill="FFFFFF"/>
          </w:tcPr>
          <w:p>
            <w:pPr>
              <w:pStyle w:val="TableText"/>
              <w:keepNext w:val="0"/>
              <w:keepLines/>
            </w:pPr>
            <w:r>
              <w:t>New Matrix visitor armchair</w:t>
            </w:r>
          </w:p>
        </w:tc>
        <w:tc>
          <w:tcPr>
            <w:tcW w:type="dxa" w:w="2016"/>
            <w:vAlign w:val="center"/>
            <w:shd w:fill="FFFFFF"/>
          </w:tcPr>
          <w:p>
            <w:pPr>
              <w:pStyle w:val="TableText"/>
              <w:keepNext w:val="0"/>
              <w:keepLines/>
              <w:jc w:val="center"/>
            </w:pPr>
            <w:r>
              <w:t>2 / 4</w:t>
            </w:r>
          </w:p>
        </w:tc>
        <w:tc>
          <w:tcPr>
            <w:tcW w:type="dxa" w:w="1181"/>
            <w:vAlign w:val="center"/>
            <w:shd w:fill="FFFFFF"/>
          </w:tcPr>
          <w:p>
            <w:pPr>
              <w:pStyle w:val="TableText"/>
              <w:keepNext w:val="0"/>
              <w:keepLines/>
              <w:jc w:val="center"/>
            </w:pPr>
            <w:r>
              <w:t>$199</w:t>
            </w:r>
          </w:p>
        </w:tc>
        <w:tc>
          <w:tcPr>
            <w:tcW w:type="dxa" w:w="1835"/>
            <w:vAlign w:val="center"/>
            <w:shd w:fill="FFFFFF"/>
          </w:tcPr>
          <w:p>
            <w:pPr>
              <w:pStyle w:val="TableText"/>
              <w:keepNext w:val="0"/>
              <w:keepLines/>
              <w:jc w:val="center"/>
            </w:pPr>
            <w:r>
              <w:t>$398 / $796</w:t>
            </w:r>
          </w:p>
        </w:tc>
        <w:tc>
          <w:tcPr>
            <w:tcW w:type="dxa" w:w="1606"/>
            <w:vAlign w:val="top"/>
            <w:shd w:fill="FFFFFF"/>
          </w:tcPr>
          <w:p>
            <w:pPr>
              <w:pStyle w:val="TableText"/>
              <w:keepNext w:val="0"/>
              <w:keepLines/>
            </w:pPr>
            <w:hyperlink w:anchor="source_R111">
              <w:r>
                <w:rPr>
                  <w:color w:val="275E67"/>
                  <w:u w:val="single"/>
                </w:rPr>
                <w:t xml:space="preserve">R111</w:t>
              </w:r>
            </w:hyperlink>
          </w:p>
        </w:tc>
      </w:tr>
      <w:tr>
        <w:trPr>
          <w:cantSplit/>
        </w:trPr>
        <w:tc>
          <w:tcPr>
            <w:tcW w:type="dxa" w:w="3513"/>
            <w:vAlign w:val="top"/>
            <w:shd w:fill="EDF2EE"/>
          </w:tcPr>
          <w:p>
            <w:pPr>
              <w:pStyle w:val="TableText"/>
              <w:keepNext w:val="0"/>
              <w:keepLines/>
            </w:pPr>
            <w:r>
              <w:t>New Rapidline 1800 × 900 folding table</w:t>
            </w:r>
          </w:p>
        </w:tc>
        <w:tc>
          <w:tcPr>
            <w:tcW w:type="dxa" w:w="2016"/>
            <w:vAlign w:val="center"/>
            <w:shd w:fill="EDF2EE"/>
          </w:tcPr>
          <w:p>
            <w:pPr>
              <w:pStyle w:val="TableText"/>
              <w:keepNext w:val="0"/>
              <w:keepLines/>
              <w:jc w:val="center"/>
            </w:pPr>
            <w:r>
              <w:t>2 / 4</w:t>
            </w:r>
          </w:p>
        </w:tc>
        <w:tc>
          <w:tcPr>
            <w:tcW w:type="dxa" w:w="1181"/>
            <w:vAlign w:val="center"/>
            <w:shd w:fill="EDF2EE"/>
          </w:tcPr>
          <w:p>
            <w:pPr>
              <w:pStyle w:val="TableText"/>
              <w:keepNext w:val="0"/>
              <w:keepLines/>
              <w:jc w:val="center"/>
            </w:pPr>
            <w:r>
              <w:t>$292</w:t>
            </w:r>
          </w:p>
        </w:tc>
        <w:tc>
          <w:tcPr>
            <w:tcW w:type="dxa" w:w="1835"/>
            <w:vAlign w:val="center"/>
            <w:shd w:fill="EDF2EE"/>
          </w:tcPr>
          <w:p>
            <w:pPr>
              <w:pStyle w:val="TableText"/>
              <w:keepNext w:val="0"/>
              <w:keepLines/>
              <w:jc w:val="center"/>
            </w:pPr>
            <w:r>
              <w:t>$584 / $1,168</w:t>
            </w:r>
          </w:p>
        </w:tc>
        <w:tc>
          <w:tcPr>
            <w:tcW w:type="dxa" w:w="1606"/>
            <w:vAlign w:val="top"/>
            <w:shd w:fill="EDF2EE"/>
          </w:tcPr>
          <w:p>
            <w:pPr>
              <w:pStyle w:val="TableText"/>
              <w:keepNext w:val="0"/>
              <w:keepLines/>
            </w:pPr>
            <w:hyperlink w:anchor="source_R113">
              <w:r>
                <w:rPr>
                  <w:color w:val="275E67"/>
                  <w:u w:val="single"/>
                </w:rPr>
                <w:t xml:space="preserve">R113</w:t>
              </w:r>
            </w:hyperlink>
          </w:p>
        </w:tc>
      </w:tr>
      <w:tr>
        <w:trPr>
          <w:cantSplit/>
        </w:trPr>
        <w:tc>
          <w:tcPr>
            <w:tcW w:type="dxa" w:w="3513"/>
            <w:vAlign w:val="top"/>
            <w:shd w:fill="FFFFFF"/>
          </w:tcPr>
          <w:p>
            <w:pPr>
              <w:pStyle w:val="TableText"/>
              <w:keepNext w:val="0"/>
              <w:keepLines/>
            </w:pPr>
            <w:r>
              <w:t>Used 1600 × 800 metal-frame desk</w:t>
            </w:r>
          </w:p>
        </w:tc>
        <w:tc>
          <w:tcPr>
            <w:tcW w:type="dxa" w:w="2016"/>
            <w:vAlign w:val="center"/>
            <w:shd w:fill="FFFFFF"/>
          </w:tcPr>
          <w:p>
            <w:pPr>
              <w:pStyle w:val="TableText"/>
              <w:keepNext w:val="0"/>
              <w:keepLines/>
              <w:jc w:val="center"/>
            </w:pPr>
            <w:r>
              <w:t>1 / 2</w:t>
            </w:r>
          </w:p>
        </w:tc>
        <w:tc>
          <w:tcPr>
            <w:tcW w:type="dxa" w:w="1181"/>
            <w:vAlign w:val="center"/>
            <w:shd w:fill="FFFFFF"/>
          </w:tcPr>
          <w:p>
            <w:pPr>
              <w:pStyle w:val="TableText"/>
              <w:keepNext w:val="0"/>
              <w:keepLines/>
              <w:jc w:val="center"/>
            </w:pPr>
            <w:r>
              <w:t>$150</w:t>
            </w:r>
          </w:p>
        </w:tc>
        <w:tc>
          <w:tcPr>
            <w:tcW w:type="dxa" w:w="1835"/>
            <w:vAlign w:val="center"/>
            <w:shd w:fill="FFFFFF"/>
          </w:tcPr>
          <w:p>
            <w:pPr>
              <w:pStyle w:val="TableText"/>
              <w:keepNext w:val="0"/>
              <w:keepLines/>
              <w:jc w:val="center"/>
            </w:pPr>
            <w:r>
              <w:t>$150 / $300</w:t>
            </w:r>
          </w:p>
        </w:tc>
        <w:tc>
          <w:tcPr>
            <w:tcW w:type="dxa" w:w="1606"/>
            <w:vAlign w:val="top"/>
            <w:shd w:fill="FFFFFF"/>
          </w:tcPr>
          <w:p>
            <w:pPr>
              <w:pStyle w:val="TableText"/>
              <w:keepNext w:val="0"/>
              <w:keepLines/>
            </w:pPr>
            <w:hyperlink w:anchor="source_R114">
              <w:r>
                <w:rPr>
                  <w:color w:val="275E67"/>
                  <w:u w:val="single"/>
                </w:rPr>
                <w:t xml:space="preserve">R114</w:t>
              </w:r>
            </w:hyperlink>
          </w:p>
        </w:tc>
      </w:tr>
      <w:tr>
        <w:trPr>
          <w:cantSplit/>
        </w:trPr>
        <w:tc>
          <w:tcPr>
            <w:tcW w:type="dxa" w:w="3513"/>
            <w:vAlign w:val="top"/>
            <w:shd w:fill="EDF2EE"/>
          </w:tcPr>
          <w:p>
            <w:pPr>
              <w:pStyle w:val="TableText"/>
              <w:keepNext w:val="0"/>
              <w:keepLines/>
            </w:pPr>
            <w:r>
              <w:t>Used 1600h × 900w × 430d mm storage cupboard</w:t>
            </w:r>
          </w:p>
        </w:tc>
        <w:tc>
          <w:tcPr>
            <w:tcW w:type="dxa" w:w="2016"/>
            <w:vAlign w:val="center"/>
            <w:shd w:fill="EDF2EE"/>
          </w:tcPr>
          <w:p>
            <w:pPr>
              <w:pStyle w:val="TableText"/>
              <w:keepNext w:val="0"/>
              <w:keepLines/>
              <w:jc w:val="center"/>
            </w:pPr>
            <w:r>
              <w:t>2 / 4</w:t>
            </w:r>
          </w:p>
        </w:tc>
        <w:tc>
          <w:tcPr>
            <w:tcW w:type="dxa" w:w="1181"/>
            <w:vAlign w:val="center"/>
            <w:shd w:fill="EDF2EE"/>
          </w:tcPr>
          <w:p>
            <w:pPr>
              <w:pStyle w:val="TableText"/>
              <w:keepNext w:val="0"/>
              <w:keepLines/>
              <w:jc w:val="center"/>
            </w:pPr>
            <w:r>
              <w:t>$129</w:t>
            </w:r>
          </w:p>
        </w:tc>
        <w:tc>
          <w:tcPr>
            <w:tcW w:type="dxa" w:w="1835"/>
            <w:vAlign w:val="center"/>
            <w:shd w:fill="EDF2EE"/>
          </w:tcPr>
          <w:p>
            <w:pPr>
              <w:pStyle w:val="TableText"/>
              <w:keepNext w:val="0"/>
              <w:keepLines/>
              <w:jc w:val="center"/>
            </w:pPr>
            <w:r>
              <w:t>$258 / $516</w:t>
            </w:r>
          </w:p>
        </w:tc>
        <w:tc>
          <w:tcPr>
            <w:tcW w:type="dxa" w:w="1606"/>
            <w:vAlign w:val="top"/>
            <w:shd w:fill="EDF2EE"/>
          </w:tcPr>
          <w:p>
            <w:pPr>
              <w:pStyle w:val="TableText"/>
              <w:keepNext w:val="0"/>
              <w:keepLines/>
            </w:pPr>
            <w:hyperlink w:anchor="source_R114">
              <w:r>
                <w:rPr>
                  <w:color w:val="275E67"/>
                  <w:u w:val="single"/>
                </w:rPr>
                <w:t xml:space="preserve">R114</w:t>
              </w:r>
            </w:hyperlink>
          </w:p>
        </w:tc>
      </w:tr>
    </w:tbl>
    <w:p>
      <w:pPr>
        <w:spacing w:after="20" w:before="0" w:line="240" w:lineRule="auto"/>
      </w:pPr>
      <w:r>
        <w:rPr>
          <w:sz w:val="6"/>
        </w:rPr>
      </w:r>
    </w:p>
    <w:p>
      <w:pPr/>
      <w:r>
        <w:t xml:space="preserve">Listed-price furniture subtotals are </w:t>
      </w:r>
      <w:r>
        <w:rPr>
          <w:b/>
        </w:rPr>
        <w:t>$1,936.00</w:t>
      </w:r>
      <w:r>
        <w:t xml:space="preserve"> and </w:t>
      </w:r>
      <w:r>
        <w:rPr>
          <w:b/>
        </w:rPr>
        <w:t>$4,028.00</w:t>
      </w:r>
      <w:r>
        <w:t>. They exclude delivery and any tax adjustment not confirmed on the invoice.</w:t>
      </w:r>
    </w:p>
    <w:p>
      <w:pPr/>
      <w:r>
        <w:t>For the four-room seating mix, 32 used Chibel seats plus four new Matrix armchairs cost $2,044 at the listed prices. Buying 32 new Matrix visitor chairs plus the same four armchairs would be $6,524. The $4,480 difference is available to absorb inspection, transport and repairs before the used option loses its purchase-price advantage. These are different models: the used chair has a 110 kg rating; the new armchair has a 160 kg rating. The mix illustrates why load ratings and arm support need to be compared as well as purchase price. It is not a selected seating specification. [</w:t>
      </w:r>
      <w:hyperlink w:anchor="source_R110">
        <w:r>
          <w:rPr>
            <w:color w:val="275E67"/>
            <w:u w:val="single"/>
          </w:rPr>
          <w:t xml:space="preserve">R110</w:t>
        </w:r>
      </w:hyperlink>
      <w:r>
        <w:t>-</w:t>
      </w:r>
      <w:hyperlink w:anchor="source_R112">
        <w:r>
          <w:rPr>
            <w:color w:val="275E67"/>
            <w:u w:val="single"/>
          </w:rPr>
          <w:t xml:space="preserve">R112</w:t>
        </w:r>
      </w:hyperlink>
      <w:r>
        <w:t>]</w:t>
      </w:r>
    </w:p>
    <w:p>
      <w:pPr/>
      <w:r>
        <w:t>The inherited source record identifies Danny's $39 ex-hire chair and Mack's $150 desk and $129 cupboard. The used-product pages were not retrievable for this revision, so their prices, listing dates, stock and condition statements remain unverified inherited observations. The recorded observation date is 29 October 2026; no supplier quotation date is available. The Officeworks chair prices were rechecked, while the folding-table price was not visible in the retrieved range page. Treat the complete basket as provisional arithmetic until all lines have adequate evidence.</w:t>
      </w:r>
    </w:p>
    <w:p>
      <w:pPr/>
      <w:r>
        <w:t>Each used-item comparison needs a dated listing, condition photographs, quantity, included parts or keys, invoice tax basis, collection location and remaining service life. The inherited sources place the chair in Eagle Farm and the desk and cupboard with a Victorian dealer; those locations also need confirmation when assessing delivered cost.</w:t>
      </w:r>
    </w:p>
    <w:p>
      <w:pPr/>
      <w:r>
        <w:t>Compare delivered net cost as purchase price plus freight/collection plus cleaning, repair and assembly plus non-recoverable taxes, less only confirmed input credits. Do not subtract an assumed future resale value. Auction comparisons must also include the actual buyer's premium and transport; a starting bid is not a purchase price.</w:t>
      </w:r>
    </w:p>
    <w:p>
      <w:pPr>
        <w:pStyle w:val="SourceNote"/>
      </w:pPr>
      <w:r>
        <w:t xml:space="preserve">Sources: </w:t>
      </w:r>
      <w:hyperlink w:anchor="source_R110">
        <w:r>
          <w:rPr>
            <w:color w:val="275E67"/>
            <w:u w:val="single"/>
          </w:rPr>
          <w:t xml:space="preserve">R110</w:t>
        </w:r>
      </w:hyperlink>
      <w:r>
        <w:t xml:space="preserve">, </w:t>
      </w:r>
      <w:hyperlink w:anchor="source_R111">
        <w:r>
          <w:rPr>
            <w:color w:val="275E67"/>
            <w:u w:val="single"/>
          </w:rPr>
          <w:t xml:space="preserve">R111</w:t>
        </w:r>
      </w:hyperlink>
      <w:r>
        <w:t xml:space="preserve">, </w:t>
      </w:r>
      <w:hyperlink w:anchor="source_R112">
        <w:r>
          <w:rPr>
            <w:color w:val="275E67"/>
            <w:u w:val="single"/>
          </w:rPr>
          <w:t xml:space="preserve">R112</w:t>
        </w:r>
      </w:hyperlink>
      <w:r>
        <w:t xml:space="preserve">, </w:t>
      </w:r>
      <w:hyperlink w:anchor="source_R113">
        <w:r>
          <w:rPr>
            <w:color w:val="275E67"/>
            <w:u w:val="single"/>
          </w:rPr>
          <w:t xml:space="preserve">R113</w:t>
        </w:r>
      </w:hyperlink>
      <w:r>
        <w:t xml:space="preserve">, </w:t>
      </w:r>
      <w:hyperlink w:anchor="source_R114">
        <w:r>
          <w:rPr>
            <w:color w:val="275E67"/>
            <w:u w:val="single"/>
          </w:rPr>
          <w:t xml:space="preserve">R114</w:t>
        </w:r>
      </w:hyperlink>
    </w:p>
    <w:p>
      <w:bookmarkStart w:id="31" w:name="s_economics_Installation__task__f8367a"/>
      <w:pPr>
        <w:pStyle w:val="Heading2"/>
      </w:pPr>
      <w:r>
        <w:t>Installation: task hours multiplied by published charge rates</w:t>
      </w:r>
      <w:bookmarkEnd w:id="31"/>
    </w:p>
    <w:p>
      <w:pPr>
        <w:pStyle w:val="SourceNote"/>
        <w:keepNext/>
      </w:pPr>
      <w:r>
        <w:t>Worked illustration | 29 October 2026 | Quantities and business inputs are assumptions for comparison.</w:t>
      </w:r>
    </w:p>
    <w:p>
      <w:pPr/>
      <w:r>
        <w:t>The following worked illustration is an assembly work package for supplied modular rooms in a prepared, approved space. Hours are explicit design assumptions to be replaced by the contractor's scoped quote. New building partitions, acoustic construction, HVAC and major services are outside it.</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1908"/>
        <w:gridCol w:w="1050"/>
        <w:gridCol w:w="1050"/>
        <w:gridCol w:w="1672"/>
        <w:gridCol w:w="2123"/>
        <w:gridCol w:w="2350"/>
      </w:tblGrid>
      <w:tr>
        <w:trPr>
          <w:cantSplit/>
          <w:tblHeader w:val="true"/>
        </w:trPr>
        <w:tc>
          <w:tcPr>
            <w:tcW w:type="dxa" w:w="1908"/>
            <w:vAlign w:val="center"/>
            <w:shd w:fill="203B4C"/>
          </w:tcPr>
          <w:p>
            <w:pPr>
              <w:pStyle w:val="TableHead"/>
              <w:keepNext/>
              <w:keepLines/>
            </w:pPr>
            <w:r>
              <w:rPr>
                <w:color w:val="FFFFFF"/>
              </w:rPr>
              <w:t>Work package</w:t>
            </w:r>
          </w:p>
        </w:tc>
        <w:tc>
          <w:tcPr>
            <w:tcW w:type="dxa" w:w="1050"/>
            <w:vAlign w:val="center"/>
            <w:shd w:fill="203B4C"/>
          </w:tcPr>
          <w:p>
            <w:pPr>
              <w:pStyle w:val="TableHead"/>
              <w:keepNext/>
              <w:keepLines/>
              <w:jc w:val="center"/>
            </w:pPr>
            <w:r>
              <w:rPr>
                <w:color w:val="FFFFFF"/>
              </w:rPr>
              <w:t>Hours for 2 rooms</w:t>
            </w:r>
          </w:p>
        </w:tc>
        <w:tc>
          <w:tcPr>
            <w:tcW w:type="dxa" w:w="1050"/>
            <w:vAlign w:val="center"/>
            <w:shd w:fill="203B4C"/>
          </w:tcPr>
          <w:p>
            <w:pPr>
              <w:pStyle w:val="TableHead"/>
              <w:keepNext/>
              <w:keepLines/>
              <w:jc w:val="center"/>
            </w:pPr>
            <w:r>
              <w:rPr>
                <w:color w:val="FFFFFF"/>
              </w:rPr>
              <w:t>Hours for 4 rooms</w:t>
            </w:r>
          </w:p>
        </w:tc>
        <w:tc>
          <w:tcPr>
            <w:tcW w:type="dxa" w:w="1672"/>
            <w:vAlign w:val="center"/>
            <w:shd w:fill="203B4C"/>
          </w:tcPr>
          <w:p>
            <w:pPr>
              <w:pStyle w:val="TableHead"/>
              <w:keepNext/>
              <w:keepLines/>
            </w:pPr>
            <w:r>
              <w:rPr>
                <w:color w:val="FFFFFF"/>
              </w:rPr>
              <w:t>Published rate basis, ex GST</w:t>
            </w:r>
          </w:p>
        </w:tc>
        <w:tc>
          <w:tcPr>
            <w:tcW w:type="dxa" w:w="2123"/>
            <w:vAlign w:val="center"/>
            <w:shd w:fill="203B4C"/>
          </w:tcPr>
          <w:p>
            <w:pPr>
              <w:pStyle w:val="TableHead"/>
              <w:keepNext/>
              <w:keepLines/>
              <w:jc w:val="center"/>
            </w:pPr>
            <w:r>
              <w:rPr>
                <w:color w:val="FFFFFF"/>
              </w:rPr>
              <w:t>Two-room labour</w:t>
            </w:r>
          </w:p>
        </w:tc>
        <w:tc>
          <w:tcPr>
            <w:tcW w:type="dxa" w:w="2350"/>
            <w:vAlign w:val="center"/>
            <w:shd w:fill="203B4C"/>
          </w:tcPr>
          <w:p>
            <w:pPr>
              <w:pStyle w:val="TableHead"/>
              <w:keepNext/>
              <w:keepLines/>
              <w:jc w:val="center"/>
            </w:pPr>
            <w:r>
              <w:rPr>
                <w:color w:val="FFFFFF"/>
              </w:rPr>
              <w:t>Four-room labour</w:t>
            </w:r>
          </w:p>
        </w:tc>
      </w:tr>
      <w:tr>
        <w:trPr>
          <w:cantSplit/>
        </w:trPr>
        <w:tc>
          <w:tcPr>
            <w:tcW w:type="dxa" w:w="1908"/>
            <w:vAlign w:val="top"/>
            <w:shd w:fill="EDF2EE"/>
          </w:tcPr>
          <w:p>
            <w:pPr>
              <w:pStyle w:val="TableText"/>
              <w:keepNext w:val="0"/>
              <w:keepLines/>
            </w:pPr>
            <w:r>
              <w:t>Receive, inventory and move room components</w:t>
            </w:r>
          </w:p>
        </w:tc>
        <w:tc>
          <w:tcPr>
            <w:tcW w:type="dxa" w:w="1050"/>
            <w:vAlign w:val="center"/>
            <w:shd w:fill="EDF2EE"/>
          </w:tcPr>
          <w:p>
            <w:pPr>
              <w:pStyle w:val="TableText"/>
              <w:keepNext w:val="0"/>
              <w:keepLines/>
              <w:jc w:val="center"/>
            </w:pPr>
            <w:r>
              <w:t>16</w:t>
            </w:r>
          </w:p>
        </w:tc>
        <w:tc>
          <w:tcPr>
            <w:tcW w:type="dxa" w:w="1050"/>
            <w:vAlign w:val="center"/>
            <w:shd w:fill="EDF2EE"/>
          </w:tcPr>
          <w:p>
            <w:pPr>
              <w:pStyle w:val="TableText"/>
              <w:keepNext w:val="0"/>
              <w:keepLines/>
              <w:jc w:val="center"/>
            </w:pPr>
            <w:r>
              <w:t>32</w:t>
            </w:r>
          </w:p>
        </w:tc>
        <w:tc>
          <w:tcPr>
            <w:tcW w:type="dxa" w:w="1672"/>
            <w:vAlign w:val="top"/>
            <w:shd w:fill="EDF2EE"/>
          </w:tcPr>
          <w:p>
            <w:pPr>
              <w:pStyle w:val="TableText"/>
              <w:keepNext w:val="0"/>
              <w:keepLines/>
            </w:pPr>
            <w:r>
              <w:t>$55-$60/hour</w:t>
            </w:r>
          </w:p>
        </w:tc>
        <w:tc>
          <w:tcPr>
            <w:tcW w:type="dxa" w:w="2123"/>
            <w:vAlign w:val="center"/>
            <w:shd w:fill="EDF2EE"/>
          </w:tcPr>
          <w:p>
            <w:pPr>
              <w:pStyle w:val="TableText"/>
              <w:keepNext w:val="0"/>
              <w:keepLines/>
              <w:jc w:val="center"/>
            </w:pPr>
            <w:r>
              <w:t>$880.00-$960.00</w:t>
            </w:r>
          </w:p>
        </w:tc>
        <w:tc>
          <w:tcPr>
            <w:tcW w:type="dxa" w:w="2350"/>
            <w:vAlign w:val="center"/>
            <w:shd w:fill="EDF2EE"/>
          </w:tcPr>
          <w:p>
            <w:pPr>
              <w:pStyle w:val="TableText"/>
              <w:keepNext w:val="0"/>
              <w:keepLines/>
              <w:jc w:val="center"/>
            </w:pPr>
            <w:r>
              <w:t>$1,760.00-$1,920.00</w:t>
            </w:r>
          </w:p>
        </w:tc>
      </w:tr>
      <w:tr>
        <w:trPr>
          <w:cantSplit/>
        </w:trPr>
        <w:tc>
          <w:tcPr>
            <w:tcW w:type="dxa" w:w="1908"/>
            <w:vAlign w:val="top"/>
            <w:shd w:fill="FFFFFF"/>
          </w:tcPr>
          <w:p>
            <w:pPr>
              <w:pStyle w:val="TableText"/>
              <w:keepNext w:val="0"/>
              <w:keepLines/>
            </w:pPr>
            <w:r>
              <w:t>Install supplied modular room components</w:t>
            </w:r>
          </w:p>
        </w:tc>
        <w:tc>
          <w:tcPr>
            <w:tcW w:type="dxa" w:w="1050"/>
            <w:vAlign w:val="center"/>
            <w:shd w:fill="FFFFFF"/>
          </w:tcPr>
          <w:p>
            <w:pPr>
              <w:pStyle w:val="TableText"/>
              <w:keepNext w:val="0"/>
              <w:keepLines/>
              <w:jc w:val="center"/>
            </w:pPr>
            <w:r>
              <w:t>80</w:t>
            </w:r>
          </w:p>
        </w:tc>
        <w:tc>
          <w:tcPr>
            <w:tcW w:type="dxa" w:w="1050"/>
            <w:vAlign w:val="center"/>
            <w:shd w:fill="FFFFFF"/>
          </w:tcPr>
          <w:p>
            <w:pPr>
              <w:pStyle w:val="TableText"/>
              <w:keepNext w:val="0"/>
              <w:keepLines/>
              <w:jc w:val="center"/>
            </w:pPr>
            <w:r>
              <w:t>160</w:t>
            </w:r>
          </w:p>
        </w:tc>
        <w:tc>
          <w:tcPr>
            <w:tcW w:type="dxa" w:w="1672"/>
            <w:vAlign w:val="top"/>
            <w:shd w:fill="FFFFFF"/>
          </w:tcPr>
          <w:p>
            <w:pPr>
              <w:pStyle w:val="TableText"/>
              <w:keepNext w:val="0"/>
              <w:keepLines/>
            </w:pPr>
            <w:r>
              <w:t>$75-$85/hour</w:t>
            </w:r>
          </w:p>
        </w:tc>
        <w:tc>
          <w:tcPr>
            <w:tcW w:type="dxa" w:w="2123"/>
            <w:vAlign w:val="center"/>
            <w:shd w:fill="FFFFFF"/>
          </w:tcPr>
          <w:p>
            <w:pPr>
              <w:pStyle w:val="TableText"/>
              <w:keepNext w:val="0"/>
              <w:keepLines/>
              <w:jc w:val="center"/>
            </w:pPr>
            <w:r>
              <w:t>$6,000.00-$6,800.00</w:t>
            </w:r>
          </w:p>
        </w:tc>
        <w:tc>
          <w:tcPr>
            <w:tcW w:type="dxa" w:w="2350"/>
            <w:vAlign w:val="center"/>
            <w:shd w:fill="FFFFFF"/>
          </w:tcPr>
          <w:p>
            <w:pPr>
              <w:pStyle w:val="TableText"/>
              <w:keepNext w:val="0"/>
              <w:keepLines/>
              <w:jc w:val="center"/>
            </w:pPr>
            <w:r>
              <w:t>$12,000.00-$13,600.00</w:t>
            </w:r>
          </w:p>
        </w:tc>
      </w:tr>
      <w:tr>
        <w:trPr>
          <w:cantSplit/>
        </w:trPr>
        <w:tc>
          <w:tcPr>
            <w:tcW w:type="dxa" w:w="1908"/>
            <w:vAlign w:val="top"/>
            <w:shd w:fill="EDF2EE"/>
          </w:tcPr>
          <w:p>
            <w:pPr>
              <w:pStyle w:val="TableText"/>
              <w:keepNext w:val="0"/>
              <w:keepLines/>
            </w:pPr>
            <w:r>
              <w:t>Assist assembly, position props, prepare work areas</w:t>
            </w:r>
          </w:p>
        </w:tc>
        <w:tc>
          <w:tcPr>
            <w:tcW w:type="dxa" w:w="1050"/>
            <w:vAlign w:val="center"/>
            <w:shd w:fill="EDF2EE"/>
          </w:tcPr>
          <w:p>
            <w:pPr>
              <w:pStyle w:val="TableText"/>
              <w:keepNext w:val="0"/>
              <w:keepLines/>
              <w:jc w:val="center"/>
            </w:pPr>
            <w:r>
              <w:t>80</w:t>
            </w:r>
          </w:p>
        </w:tc>
        <w:tc>
          <w:tcPr>
            <w:tcW w:type="dxa" w:w="1050"/>
            <w:vAlign w:val="center"/>
            <w:shd w:fill="EDF2EE"/>
          </w:tcPr>
          <w:p>
            <w:pPr>
              <w:pStyle w:val="TableText"/>
              <w:keepNext w:val="0"/>
              <w:keepLines/>
              <w:jc w:val="center"/>
            </w:pPr>
            <w:r>
              <w:t>160</w:t>
            </w:r>
          </w:p>
        </w:tc>
        <w:tc>
          <w:tcPr>
            <w:tcW w:type="dxa" w:w="1672"/>
            <w:vAlign w:val="top"/>
            <w:shd w:fill="EDF2EE"/>
          </w:tcPr>
          <w:p>
            <w:pPr>
              <w:pStyle w:val="TableText"/>
              <w:keepNext w:val="0"/>
              <w:keepLines/>
            </w:pPr>
            <w:r>
              <w:t>$55-$60/hour</w:t>
            </w:r>
          </w:p>
        </w:tc>
        <w:tc>
          <w:tcPr>
            <w:tcW w:type="dxa" w:w="2123"/>
            <w:vAlign w:val="center"/>
            <w:shd w:fill="EDF2EE"/>
          </w:tcPr>
          <w:p>
            <w:pPr>
              <w:pStyle w:val="TableText"/>
              <w:keepNext w:val="0"/>
              <w:keepLines/>
              <w:jc w:val="center"/>
            </w:pPr>
            <w:r>
              <w:t>$4,400.00-$4,800.00</w:t>
            </w:r>
          </w:p>
        </w:tc>
        <w:tc>
          <w:tcPr>
            <w:tcW w:type="dxa" w:w="2350"/>
            <w:vAlign w:val="center"/>
            <w:shd w:fill="EDF2EE"/>
          </w:tcPr>
          <w:p>
            <w:pPr>
              <w:pStyle w:val="TableText"/>
              <w:keepNext w:val="0"/>
              <w:keepLines/>
              <w:jc w:val="center"/>
            </w:pPr>
            <w:r>
              <w:t>$8,800.00-$9,600.00</w:t>
            </w:r>
          </w:p>
        </w:tc>
      </w:tr>
      <w:tr>
        <w:trPr>
          <w:cantSplit/>
        </w:trPr>
        <w:tc>
          <w:tcPr>
            <w:tcW w:type="dxa" w:w="1908"/>
            <w:vAlign w:val="top"/>
            <w:shd w:fill="FFFFFF"/>
          </w:tcPr>
          <w:p>
            <w:pPr>
              <w:pStyle w:val="TableText"/>
              <w:keepNext w:val="0"/>
              <w:keepLines/>
            </w:pPr>
            <w:r>
              <w:t>Electrical attendance allowance from published rate</w:t>
            </w:r>
          </w:p>
        </w:tc>
        <w:tc>
          <w:tcPr>
            <w:tcW w:type="dxa" w:w="1050"/>
            <w:vAlign w:val="center"/>
            <w:shd w:fill="FFFFFF"/>
          </w:tcPr>
          <w:p>
            <w:pPr>
              <w:pStyle w:val="TableText"/>
              <w:keepNext w:val="0"/>
              <w:keepLines/>
              <w:jc w:val="center"/>
            </w:pPr>
            <w:r>
              <w:t>16</w:t>
            </w:r>
          </w:p>
        </w:tc>
        <w:tc>
          <w:tcPr>
            <w:tcW w:type="dxa" w:w="1050"/>
            <w:vAlign w:val="center"/>
            <w:shd w:fill="FFFFFF"/>
          </w:tcPr>
          <w:p>
            <w:pPr>
              <w:pStyle w:val="TableText"/>
              <w:keepNext w:val="0"/>
              <w:keepLines/>
              <w:jc w:val="center"/>
            </w:pPr>
            <w:r>
              <w:t>32</w:t>
            </w:r>
          </w:p>
        </w:tc>
        <w:tc>
          <w:tcPr>
            <w:tcW w:type="dxa" w:w="1672"/>
            <w:vAlign w:val="top"/>
            <w:shd w:fill="FFFFFF"/>
          </w:tcPr>
          <w:p>
            <w:pPr>
              <w:pStyle w:val="TableText"/>
              <w:keepNext w:val="0"/>
              <w:keepLines/>
            </w:pPr>
            <w:r>
              <w:t>$235 first hour + $135 subsequent; one 8-hour attendance/room</w:t>
            </w:r>
          </w:p>
        </w:tc>
        <w:tc>
          <w:tcPr>
            <w:tcW w:type="dxa" w:w="2123"/>
            <w:vAlign w:val="center"/>
            <w:shd w:fill="FFFFFF"/>
          </w:tcPr>
          <w:p>
            <w:pPr>
              <w:pStyle w:val="TableText"/>
              <w:keepNext w:val="0"/>
              <w:keepLines/>
              <w:jc w:val="center"/>
            </w:pPr>
            <w:r>
              <w:t>$2,360.00-$2,360.00</w:t>
            </w:r>
          </w:p>
        </w:tc>
        <w:tc>
          <w:tcPr>
            <w:tcW w:type="dxa" w:w="2350"/>
            <w:vAlign w:val="center"/>
            <w:shd w:fill="FFFFFF"/>
          </w:tcPr>
          <w:p>
            <w:pPr>
              <w:pStyle w:val="TableText"/>
              <w:keepNext w:val="0"/>
              <w:keepLines/>
              <w:jc w:val="center"/>
            </w:pPr>
            <w:r>
              <w:t>$4,720.00-$4,720.00</w:t>
            </w:r>
          </w:p>
        </w:tc>
      </w:tr>
    </w:tbl>
    <w:p>
      <w:pPr>
        <w:spacing w:after="20" w:before="0" w:line="240" w:lineRule="auto"/>
      </w:pPr>
      <w:r>
        <w:rPr>
          <w:sz w:val="6"/>
        </w:rPr>
      </w:r>
    </w:p>
    <w:p>
      <w:pPr/>
      <w:r>
        <w:t xml:space="preserve">The rate-priced labour subtotal is </w:t>
      </w:r>
      <w:r>
        <w:rPr>
          <w:b/>
        </w:rPr>
        <w:t>$13,640-$14,920 excluding GST for two rooms</w:t>
      </w:r>
      <w:r>
        <w:t xml:space="preserve">, or </w:t>
      </w:r>
      <w:r>
        <w:rPr>
          <w:b/>
        </w:rPr>
        <w:t>$27,280-$29,840 for four</w:t>
      </w:r>
      <w:r>
        <w:t>. Receiving uses two labourers for one eight-hour day per two rooms. Assembly uses one carpenter and one supporting labourer for five eight-hour days per room. Electrical assumes one eight-hour attendance per room at the published Brisbane service rate. Materials are additional. [</w:t>
      </w:r>
      <w:hyperlink w:anchor="source_R104">
        <w:r>
          <w:rPr>
            <w:color w:val="275E67"/>
            <w:u w:val="single"/>
          </w:rPr>
          <w:t xml:space="preserve">R104</w:t>
        </w:r>
      </w:hyperlink>
      <w:r>
        <w:t xml:space="preserve">, </w:t>
      </w:r>
      <w:hyperlink w:anchor="source_R105">
        <w:r>
          <w:rPr>
            <w:color w:val="275E67"/>
            <w:u w:val="single"/>
          </w:rPr>
          <w:t xml:space="preserve">R105</w:t>
        </w:r>
      </w:hyperlink>
      <w:r>
        <w:t>]</w:t>
      </w:r>
    </w:p>
    <w:p>
      <w:pPr/>
      <w:r>
        <w:t>Provider charge rates are distinct from employee wages; do not add employee on-costs again to an already quoted labour-hire charge. Custom fabrication, AV engineering, licensed design, creator fees, testing, training capture, supervision and commissioning acceptance remain itemised quote lines.</w:t>
      </w:r>
    </w:p>
    <w:p>
      <w:pPr/>
      <w:r>
        <w:t>A separate worked illustration of a pre-opening staff learning day is eight people times eight paid hours. At the published Grade 4 ordinary casual rate plus 12% super, that is $2,638.54 in wages and super, before the trainer, role grading and remaining employment costs. This makes paid learning visible without claiming a fully costed workforce programme.</w:t>
      </w:r>
    </w:p>
    <w:p>
      <w:pPr>
        <w:pStyle w:val="SourceNote"/>
      </w:pPr>
      <w:r>
        <w:t xml:space="preserve">Sources: </w:t>
      </w:r>
      <w:hyperlink w:anchor="source_R104">
        <w:r>
          <w:rPr>
            <w:color w:val="275E67"/>
            <w:u w:val="single"/>
          </w:rPr>
          <w:t xml:space="preserve">R104</w:t>
        </w:r>
      </w:hyperlink>
      <w:r>
        <w:t xml:space="preserve">, </w:t>
      </w:r>
      <w:hyperlink w:anchor="source_R105">
        <w:r>
          <w:rPr>
            <w:color w:val="275E67"/>
            <w:u w:val="single"/>
          </w:rPr>
          <w:t xml:space="preserve">R105</w:t>
        </w:r>
      </w:hyperlink>
    </w:p>
    <w:p>
      <w:bookmarkStart w:id="32" w:name="s_economics_Room_package_compar_5e1e09"/>
      <w:pPr>
        <w:pStyle w:val="Heading2"/>
      </w:pPr>
      <w:r>
        <w:t>Room package comparison</w:t>
      </w:r>
      <w:bookmarkEnd w:id="32"/>
    </w:p>
    <w:p>
      <w:pPr>
        <w:pStyle w:val="SourceNote"/>
        <w:keepNext/>
      </w:pPr>
      <w:r>
        <w:t>Advertised price comparison | Observed 29 October 2026 | Supplier quotation date: none recorded.</w:t>
      </w:r>
    </w:p>
    <w:p>
      <w:pPr/>
      <w:r>
        <w:t>The supplier catalogue provides published package comparisons, observed 29 October 2026. The room names below identify supplier products, not a chosen business catalogue. [</w:t>
      </w:r>
      <w:hyperlink w:anchor="source_R117">
        <w:r>
          <w:rPr>
            <w:color w:val="275E67"/>
            <w:u w:val="single"/>
          </w:rPr>
          <w:t xml:space="preserve">R117</w:t>
        </w:r>
      </w:hyperlink>
      <w:r>
        <w:t>]</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640"/>
        <w:gridCol w:w="2155"/>
        <w:gridCol w:w="1786"/>
        <w:gridCol w:w="3571"/>
      </w:tblGrid>
      <w:tr>
        <w:trPr>
          <w:cantSplit/>
          <w:tblHeader w:val="true"/>
        </w:trPr>
        <w:tc>
          <w:tcPr>
            <w:tcW w:type="dxa" w:w="2640"/>
            <w:vAlign w:val="center"/>
            <w:shd w:fill="203B4C"/>
          </w:tcPr>
          <w:p>
            <w:pPr>
              <w:pStyle w:val="TableHead"/>
              <w:keepNext/>
              <w:keepLines/>
            </w:pPr>
            <w:r>
              <w:rPr>
                <w:color w:val="FFFFFF"/>
              </w:rPr>
              <w:t>Standard supplier room</w:t>
            </w:r>
          </w:p>
        </w:tc>
        <w:tc>
          <w:tcPr>
            <w:tcW w:type="dxa" w:w="2155"/>
            <w:vAlign w:val="center"/>
            <w:shd w:fill="203B4C"/>
          </w:tcPr>
          <w:p>
            <w:pPr>
              <w:pStyle w:val="TableHead"/>
              <w:keepNext/>
              <w:keepLines/>
            </w:pPr>
            <w:r>
              <w:rPr>
                <w:color w:val="FFFFFF"/>
              </w:rPr>
              <w:t>Listed area</w:t>
            </w:r>
          </w:p>
        </w:tc>
        <w:tc>
          <w:tcPr>
            <w:tcW w:type="dxa" w:w="1786"/>
            <w:vAlign w:val="center"/>
            <w:shd w:fill="203B4C"/>
          </w:tcPr>
          <w:p>
            <w:pPr>
              <w:pStyle w:val="TableHead"/>
              <w:keepNext/>
              <w:keepLines/>
              <w:jc w:val="center"/>
            </w:pPr>
            <w:r>
              <w:rPr>
                <w:color w:val="FFFFFF"/>
              </w:rPr>
              <w:t>Listed players</w:t>
            </w:r>
          </w:p>
        </w:tc>
        <w:tc>
          <w:tcPr>
            <w:tcW w:type="dxa" w:w="3571"/>
            <w:vAlign w:val="center"/>
            <w:shd w:fill="203B4C"/>
          </w:tcPr>
          <w:p>
            <w:pPr>
              <w:pStyle w:val="TableHead"/>
              <w:keepNext/>
              <w:keepLines/>
              <w:jc w:val="center"/>
            </w:pPr>
            <w:r>
              <w:rPr>
                <w:color w:val="FFFFFF"/>
              </w:rPr>
              <w:t>Published AUD package benchmark</w:t>
            </w:r>
          </w:p>
        </w:tc>
      </w:tr>
      <w:tr>
        <w:trPr>
          <w:cantSplit/>
        </w:trPr>
        <w:tc>
          <w:tcPr>
            <w:tcW w:type="dxa" w:w="2640"/>
            <w:vAlign w:val="top"/>
            <w:shd w:fill="EDF2EE"/>
          </w:tcPr>
          <w:p>
            <w:pPr>
              <w:pStyle w:val="TableText"/>
              <w:keepNext w:val="0"/>
              <w:keepLines/>
            </w:pPr>
            <w:r>
              <w:t>Jungle</w:t>
            </w:r>
          </w:p>
        </w:tc>
        <w:tc>
          <w:tcPr>
            <w:tcW w:type="dxa" w:w="2155"/>
            <w:vAlign w:val="top"/>
            <w:shd w:fill="EDF2EE"/>
          </w:tcPr>
          <w:p>
            <w:pPr>
              <w:pStyle w:val="TableText"/>
              <w:keepNext w:val="0"/>
              <w:keepLines/>
            </w:pPr>
            <w:r>
              <w:t>30-50 m2</w:t>
            </w:r>
          </w:p>
        </w:tc>
        <w:tc>
          <w:tcPr>
            <w:tcW w:type="dxa" w:w="1786"/>
            <w:vAlign w:val="center"/>
            <w:shd w:fill="EDF2EE"/>
          </w:tcPr>
          <w:p>
            <w:pPr>
              <w:pStyle w:val="TableText"/>
              <w:keepNext w:val="0"/>
              <w:keepLines/>
              <w:jc w:val="center"/>
            </w:pPr>
            <w:r>
              <w:t>2-8</w:t>
            </w:r>
          </w:p>
        </w:tc>
        <w:tc>
          <w:tcPr>
            <w:tcW w:type="dxa" w:w="3571"/>
            <w:vAlign w:val="center"/>
            <w:shd w:fill="EDF2EE"/>
          </w:tcPr>
          <w:p>
            <w:pPr>
              <w:pStyle w:val="TableText"/>
              <w:keepNext w:val="0"/>
              <w:keepLines/>
              <w:jc w:val="center"/>
            </w:pPr>
            <w:r>
              <w:t>$42,500.00</w:t>
            </w:r>
          </w:p>
        </w:tc>
      </w:tr>
      <w:tr>
        <w:trPr>
          <w:cantSplit/>
        </w:trPr>
        <w:tc>
          <w:tcPr>
            <w:tcW w:type="dxa" w:w="2640"/>
            <w:vAlign w:val="top"/>
            <w:shd w:fill="FFFFFF"/>
          </w:tcPr>
          <w:p>
            <w:pPr>
              <w:pStyle w:val="TableText"/>
              <w:keepNext w:val="0"/>
              <w:keepLines/>
            </w:pPr>
            <w:r>
              <w:t>Magic School</w:t>
            </w:r>
          </w:p>
        </w:tc>
        <w:tc>
          <w:tcPr>
            <w:tcW w:type="dxa" w:w="2155"/>
            <w:vAlign w:val="top"/>
            <w:shd w:fill="FFFFFF"/>
          </w:tcPr>
          <w:p>
            <w:pPr>
              <w:pStyle w:val="TableText"/>
              <w:keepNext w:val="0"/>
              <w:keepLines/>
            </w:pPr>
            <w:r>
              <w:t>30-50 m2</w:t>
            </w:r>
          </w:p>
        </w:tc>
        <w:tc>
          <w:tcPr>
            <w:tcW w:type="dxa" w:w="1786"/>
            <w:vAlign w:val="center"/>
            <w:shd w:fill="FFFFFF"/>
          </w:tcPr>
          <w:p>
            <w:pPr>
              <w:pStyle w:val="TableText"/>
              <w:keepNext w:val="0"/>
              <w:keepLines/>
              <w:jc w:val="center"/>
            </w:pPr>
            <w:r>
              <w:t>2-6</w:t>
            </w:r>
          </w:p>
        </w:tc>
        <w:tc>
          <w:tcPr>
            <w:tcW w:type="dxa" w:w="3571"/>
            <w:vAlign w:val="center"/>
            <w:shd w:fill="FFFFFF"/>
          </w:tcPr>
          <w:p>
            <w:pPr>
              <w:pStyle w:val="TableText"/>
              <w:keepNext w:val="0"/>
              <w:keepLines/>
              <w:jc w:val="center"/>
            </w:pPr>
            <w:r>
              <w:t>$89,900.00</w:t>
            </w:r>
          </w:p>
        </w:tc>
      </w:tr>
      <w:tr>
        <w:trPr>
          <w:cantSplit/>
        </w:trPr>
        <w:tc>
          <w:tcPr>
            <w:tcW w:type="dxa" w:w="2640"/>
            <w:vAlign w:val="top"/>
            <w:shd w:fill="EDF2EE"/>
          </w:tcPr>
          <w:p>
            <w:pPr>
              <w:pStyle w:val="TableText"/>
              <w:keepNext w:val="0"/>
              <w:keepLines/>
            </w:pPr>
            <w:r>
              <w:t>Pharaoh</w:t>
            </w:r>
          </w:p>
        </w:tc>
        <w:tc>
          <w:tcPr>
            <w:tcW w:type="dxa" w:w="2155"/>
            <w:vAlign w:val="top"/>
            <w:shd w:fill="EDF2EE"/>
          </w:tcPr>
          <w:p>
            <w:pPr>
              <w:pStyle w:val="TableText"/>
              <w:keepNext w:val="0"/>
              <w:keepLines/>
            </w:pPr>
            <w:r>
              <w:t>30-70 m2</w:t>
            </w:r>
          </w:p>
        </w:tc>
        <w:tc>
          <w:tcPr>
            <w:tcW w:type="dxa" w:w="1786"/>
            <w:vAlign w:val="center"/>
            <w:shd w:fill="EDF2EE"/>
          </w:tcPr>
          <w:p>
            <w:pPr>
              <w:pStyle w:val="TableText"/>
              <w:keepNext w:val="0"/>
              <w:keepLines/>
              <w:jc w:val="center"/>
            </w:pPr>
            <w:r>
              <w:t>2-6</w:t>
            </w:r>
          </w:p>
        </w:tc>
        <w:tc>
          <w:tcPr>
            <w:tcW w:type="dxa" w:w="3571"/>
            <w:vAlign w:val="center"/>
            <w:shd w:fill="EDF2EE"/>
          </w:tcPr>
          <w:p>
            <w:pPr>
              <w:pStyle w:val="TableText"/>
              <w:keepNext w:val="0"/>
              <w:keepLines/>
              <w:jc w:val="center"/>
            </w:pPr>
            <w:r>
              <w:t>$63,300.00</w:t>
            </w:r>
          </w:p>
        </w:tc>
      </w:tr>
      <w:tr>
        <w:trPr>
          <w:cantSplit/>
        </w:trPr>
        <w:tc>
          <w:tcPr>
            <w:tcW w:type="dxa" w:w="2640"/>
            <w:vAlign w:val="top"/>
            <w:shd w:fill="FFFFFF"/>
          </w:tcPr>
          <w:p>
            <w:pPr>
              <w:pStyle w:val="TableText"/>
              <w:keepNext w:val="0"/>
              <w:keepLines/>
            </w:pPr>
            <w:r>
              <w:t>Vault32</w:t>
            </w:r>
          </w:p>
        </w:tc>
        <w:tc>
          <w:tcPr>
            <w:tcW w:type="dxa" w:w="2155"/>
            <w:vAlign w:val="top"/>
            <w:shd w:fill="FFFFFF"/>
          </w:tcPr>
          <w:p>
            <w:pPr>
              <w:pStyle w:val="TableText"/>
              <w:keepNext w:val="0"/>
              <w:keepLines/>
            </w:pPr>
            <w:r>
              <w:t>40-80 m2</w:t>
            </w:r>
          </w:p>
        </w:tc>
        <w:tc>
          <w:tcPr>
            <w:tcW w:type="dxa" w:w="1786"/>
            <w:vAlign w:val="center"/>
            <w:shd w:fill="FFFFFF"/>
          </w:tcPr>
          <w:p>
            <w:pPr>
              <w:pStyle w:val="TableText"/>
              <w:keepNext w:val="0"/>
              <w:keepLines/>
              <w:jc w:val="center"/>
            </w:pPr>
            <w:r>
              <w:t>2-10</w:t>
            </w:r>
          </w:p>
        </w:tc>
        <w:tc>
          <w:tcPr>
            <w:tcW w:type="dxa" w:w="3571"/>
            <w:vAlign w:val="center"/>
            <w:shd w:fill="FFFFFF"/>
          </w:tcPr>
          <w:p>
            <w:pPr>
              <w:pStyle w:val="TableText"/>
              <w:keepNext w:val="0"/>
              <w:keepLines/>
              <w:jc w:val="center"/>
            </w:pPr>
            <w:r>
              <w:t>$101,600.00</w:t>
            </w:r>
          </w:p>
        </w:tc>
      </w:tr>
    </w:tbl>
    <w:p>
      <w:pPr>
        <w:spacing w:after="20" w:before="0" w:line="240" w:lineRule="auto"/>
      </w:pPr>
      <w:r>
        <w:rPr>
          <w:sz w:val="6"/>
        </w:rPr>
      </w:r>
    </w:p>
    <w:p>
      <w:pPr/>
      <w:r>
        <w:t xml:space="preserve">The four displayed package prices sum to </w:t>
      </w:r>
      <w:r>
        <w:rPr>
          <w:b/>
        </w:rPr>
        <w:t>$297,300</w:t>
      </w:r>
      <w:r>
        <w:t>. This is a comparative collection of four standard products. It is not a commissioned configuration for this business. The supplier converts standard EUR configurations into AUD and says the fixed offer is set before production. Confirm content rights, accessible layout, no-hint behaviour, freight, taxes, site preparation, customisation and installation boundaries in the quote. Avoid double-counting props or AV already included in a chosen kit.</w:t>
      </w:r>
    </w:p>
    <w:p>
      <w:pPr/>
      <w:r>
        <w:t>Standard production is published as 60 working days; custom production is stated as 90 working days. Shipping, site works and acceptance follow their own schedules. A local custom build can be compared against the same output schedule and bill of quantities.</w:t>
      </w:r>
    </w:p>
    <w:p>
      <w:pPr>
        <w:pStyle w:val="SourceNote"/>
      </w:pPr>
      <w:r>
        <w:t xml:space="preserve">Sources: </w:t>
      </w:r>
      <w:hyperlink w:anchor="source_R117">
        <w:r>
          <w:rPr>
            <w:color w:val="275E67"/>
            <w:u w:val="single"/>
          </w:rPr>
          <w:t xml:space="preserve">R117</w:t>
        </w:r>
      </w:hyperlink>
    </w:p>
    <w:p>
      <w:bookmarkStart w:id="33" w:name="s_economics_Property_costs__pub_62063f"/>
      <w:pPr>
        <w:pStyle w:val="Heading2"/>
      </w:pPr>
      <w:r>
        <w:t>Property costs: published comparables, then a site-specific lease</w:t>
      </w:r>
      <w:bookmarkEnd w:id="33"/>
    </w:p>
    <w:p>
      <w:pPr>
        <w:pStyle w:val="SourceNote"/>
        <w:keepNext/>
      </w:pPr>
      <w:r>
        <w:t>Advertised price comparison | Observed 29 October 2026 | Supplier quotation date: none recorded.</w:t>
      </w:r>
    </w:p>
    <w:p>
      <w:pPr/>
      <w:r>
        <w:t>Advertised rent comparison, observed 29 October 2026. The 300 m² listing at 338 Lytton Road shows $6,750 a month plus GST and outgoings. The annualised asking rent is $81,000, or $270/m²/year. Its page records an update on 22 September 2026. [</w:t>
      </w:r>
      <w:hyperlink w:anchor="source_R118">
        <w:r>
          <w:rPr>
            <w:color w:val="275E67"/>
            <w:u w:val="single"/>
          </w:rPr>
          <w:t xml:space="preserve">R118</w:t>
        </w:r>
      </w:hyperlink>
      <w:r>
        <w:t>]</w:t>
      </w:r>
    </w:p>
    <w:p>
      <w:pPr/>
      <w:r>
        <w:t>The separate 300 m² two-level property at 4/65 Riverside Place shows $78,000 a year plus outgoings and GST, or $260/m²/year. Its page records an update on 11 September 2026. This corrects the inherited $72,000 figure. [</w:t>
      </w:r>
      <w:hyperlink w:anchor="source_R119">
        <w:r>
          <w:rPr>
            <w:color w:val="275E67"/>
            <w:u w:val="single"/>
          </w:rPr>
          <w:t xml:space="preserve">R119</w:t>
        </w:r>
      </w:hyperlink>
      <w:r>
        <w:t>]</w:t>
      </w:r>
    </w:p>
    <w:p>
      <w:pPr/>
      <w:r>
        <w:t>These are advertised properties with different layouts. Neither establishes a suitable premises, agreed lease or delivered cost for the worked 400 m² format. A comparison would need usable area, access, permitted use, landlord works, outgoings, bond, rent reviews, fitout obligations and make-good. A hosted format would need the actual host terms, including any contribution.</w:t>
      </w:r>
    </w:p>
    <w:p>
      <w:pPr>
        <w:pStyle w:val="SourceNote"/>
      </w:pPr>
      <w:r>
        <w:t xml:space="preserve">Sources: </w:t>
      </w:r>
      <w:hyperlink w:anchor="source_R118">
        <w:r>
          <w:rPr>
            <w:color w:val="275E67"/>
            <w:u w:val="single"/>
          </w:rPr>
          <w:t xml:space="preserve">R118</w:t>
        </w:r>
      </w:hyperlink>
      <w:r>
        <w:t xml:space="preserve">, </w:t>
      </w:r>
      <w:hyperlink w:anchor="source_R119">
        <w:r>
          <w:rPr>
            <w:color w:val="275E67"/>
            <w:u w:val="single"/>
          </w:rPr>
          <w:t xml:space="preserve">R119</w:t>
        </w:r>
      </w:hyperlink>
    </w:p>
    <w:p>
      <w:bookmarkStart w:id="34" w:name="s_economics_Software_and_AI_uni_9ee408"/>
      <w:pPr>
        <w:pStyle w:val="Heading2"/>
      </w:pPr>
      <w:r>
        <w:t>Software and AI unit-cost appendix</w:t>
      </w:r>
      <w:bookmarkEnd w:id="34"/>
    </w:p>
    <w:p>
      <w:pPr>
        <w:pStyle w:val="SourceNote"/>
        <w:keepNext/>
      </w:pPr>
      <w:r>
        <w:t>Worked illustration | 29 October 2026 | Quantities and business inputs are assumptions for comparison.</w:t>
      </w:r>
    </w:p>
    <w:p>
      <w:pPr/>
      <w:r>
        <w:t>Worked software comparisons, dated 29 October 2026. Official OpenAI price documentation was rechecked for this revision. The named models illustrate published unit costs; they are not selections, subscriptions or a required architecture. Usage quantities are inherited model assumptions, not measured workload.</w:t>
      </w:r>
    </w:p>
    <w:p>
      <w:pPr>
        <w:pStyle w:val="Heading3"/>
      </w:pPr>
      <w:r>
        <w:t>Transcription counts every submitted participant channel</w:t>
      </w:r>
    </w:p>
    <w:p>
      <w:pPr/>
      <w:r>
        <w:t>One official price comparison is OpenAI's file transcription model, gpt-transcribe, at an estimated US$0.0045 per audio minute. The published live transcription comparison is US$0.017 per minute. [</w:t>
      </w:r>
      <w:hyperlink w:anchor="source_R121">
        <w:r>
          <w:rPr>
            <w:color w:val="275E67"/>
            <w:u w:val="single"/>
          </w:rPr>
          <w:t xml:space="preserve">R121</w:t>
        </w:r>
      </w:hyperlink>
      <w:r>
        <w:t>][</w:t>
      </w:r>
      <w:hyperlink w:anchor="source_R122">
        <w:r>
          <w:rPr>
            <w:color w:val="275E67"/>
            <w:u w:val="single"/>
          </w:rPr>
          <w:t xml:space="preserve">R122</w:t>
        </w:r>
      </w:hyperlink>
      <w:r>
        <w:t>]</w:t>
      </w:r>
    </w:p>
    <w:p>
      <w:pPr/>
      <w:r>
        <w:t>Chargeable minutes equal sold teams × actual average recorded participants × minutes submitted per participant. The worked product mix assumes 5.15 participants and 45 minutes of gameplay. Separate participant files each count for their full submitted duration. This does not assume that silence is free or that six channels are charged as one. The volume calculation assumes separately submitted full-length participant files. A provider-specific multichannel rule would need verification for the actual service and endpoint. [</w:t>
      </w:r>
      <w:hyperlink w:anchor="source_R124">
        <w:r>
          <w:rPr>
            <w:color w:val="275E67"/>
            <w:u w:val="single"/>
          </w:rPr>
          <w:t xml:space="preserve">R124</w:t>
        </w:r>
      </w:hyperlink>
      <w:r>
        <w:t>]</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479"/>
        <w:gridCol w:w="1252"/>
        <w:gridCol w:w="2591"/>
        <w:gridCol w:w="1915"/>
        <w:gridCol w:w="1915"/>
      </w:tblGrid>
      <w:tr>
        <w:trPr>
          <w:cantSplit/>
          <w:tblHeader w:val="true"/>
        </w:trPr>
        <w:tc>
          <w:tcPr>
            <w:tcW w:type="dxa" w:w="2479"/>
            <w:vAlign w:val="center"/>
            <w:shd w:fill="203B4C"/>
          </w:tcPr>
          <w:p>
            <w:pPr>
              <w:pStyle w:val="TableHead"/>
              <w:keepNext/>
              <w:keepLines/>
              <w:jc w:val="center"/>
            </w:pPr>
            <w:r>
              <w:rPr>
                <w:color w:val="FFFFFF"/>
              </w:rPr>
              <w:t>Four-room booking case</w:t>
            </w:r>
          </w:p>
        </w:tc>
        <w:tc>
          <w:tcPr>
            <w:tcW w:type="dxa" w:w="1252"/>
            <w:vAlign w:val="center"/>
            <w:shd w:fill="203B4C"/>
          </w:tcPr>
          <w:p>
            <w:pPr>
              <w:pStyle w:val="TableHead"/>
              <w:keepNext/>
              <w:keepLines/>
              <w:jc w:val="center"/>
            </w:pPr>
            <w:r>
              <w:rPr>
                <w:color w:val="FFFFFF"/>
              </w:rPr>
              <w:t>Sold teams</w:t>
            </w:r>
          </w:p>
        </w:tc>
        <w:tc>
          <w:tcPr>
            <w:tcW w:type="dxa" w:w="2591"/>
            <w:vAlign w:val="center"/>
            <w:shd w:fill="203B4C"/>
          </w:tcPr>
          <w:p>
            <w:pPr>
              <w:pStyle w:val="TableHead"/>
              <w:keepNext/>
              <w:keepLines/>
              <w:jc w:val="center"/>
            </w:pPr>
            <w:r>
              <w:rPr>
                <w:color w:val="FFFFFF"/>
              </w:rPr>
              <w:t>Submitted audio minutes</w:t>
            </w:r>
          </w:p>
        </w:tc>
        <w:tc>
          <w:tcPr>
            <w:tcW w:type="dxa" w:w="1915"/>
            <w:vAlign w:val="center"/>
            <w:shd w:fill="203B4C"/>
          </w:tcPr>
          <w:p>
            <w:pPr>
              <w:pStyle w:val="TableHead"/>
              <w:keepNext/>
              <w:keepLines/>
              <w:jc w:val="center"/>
            </w:pPr>
            <w:r>
              <w:rPr>
                <w:color w:val="FFFFFF"/>
              </w:rPr>
              <w:t>File example, US$</w:t>
            </w:r>
          </w:p>
        </w:tc>
        <w:tc>
          <w:tcPr>
            <w:tcW w:type="dxa" w:w="1915"/>
            <w:vAlign w:val="center"/>
            <w:shd w:fill="203B4C"/>
          </w:tcPr>
          <w:p>
            <w:pPr>
              <w:pStyle w:val="TableHead"/>
              <w:keepNext/>
              <w:keepLines/>
              <w:jc w:val="center"/>
            </w:pPr>
            <w:r>
              <w:rPr>
                <w:color w:val="FFFFFF"/>
              </w:rPr>
              <w:t>Live example, US$</w:t>
            </w:r>
          </w:p>
        </w:tc>
      </w:tr>
      <w:tr>
        <w:trPr>
          <w:cantSplit/>
        </w:trPr>
        <w:tc>
          <w:tcPr>
            <w:tcW w:type="dxa" w:w="2479"/>
            <w:vAlign w:val="center"/>
            <w:shd w:fill="EDF2EE"/>
          </w:tcPr>
          <w:p>
            <w:pPr>
              <w:pStyle w:val="TableText"/>
              <w:keepNext w:val="0"/>
              <w:keepLines/>
              <w:jc w:val="center"/>
            </w:pPr>
            <w:r>
              <w:t>30%</w:t>
            </w:r>
          </w:p>
        </w:tc>
        <w:tc>
          <w:tcPr>
            <w:tcW w:type="dxa" w:w="1252"/>
            <w:vAlign w:val="center"/>
            <w:shd w:fill="EDF2EE"/>
          </w:tcPr>
          <w:p>
            <w:pPr>
              <w:pStyle w:val="TableText"/>
              <w:keepNext w:val="0"/>
              <w:keepLines/>
              <w:jc w:val="center"/>
            </w:pPr>
            <w:r>
              <w:t>2,726.4</w:t>
            </w:r>
          </w:p>
        </w:tc>
        <w:tc>
          <w:tcPr>
            <w:tcW w:type="dxa" w:w="2591"/>
            <w:vAlign w:val="center"/>
            <w:shd w:fill="EDF2EE"/>
          </w:tcPr>
          <w:p>
            <w:pPr>
              <w:pStyle w:val="TableText"/>
              <w:keepNext w:val="0"/>
              <w:keepLines/>
              <w:jc w:val="center"/>
            </w:pPr>
            <w:r>
              <w:t>631,843.2</w:t>
            </w:r>
          </w:p>
        </w:tc>
        <w:tc>
          <w:tcPr>
            <w:tcW w:type="dxa" w:w="1915"/>
            <w:vAlign w:val="center"/>
            <w:shd w:fill="EDF2EE"/>
          </w:tcPr>
          <w:p>
            <w:pPr>
              <w:pStyle w:val="TableText"/>
              <w:keepNext w:val="0"/>
              <w:keepLines/>
              <w:jc w:val="center"/>
            </w:pPr>
            <w:r>
              <w:t>2,843.29</w:t>
            </w:r>
          </w:p>
        </w:tc>
        <w:tc>
          <w:tcPr>
            <w:tcW w:type="dxa" w:w="1915"/>
            <w:vAlign w:val="center"/>
            <w:shd w:fill="EDF2EE"/>
          </w:tcPr>
          <w:p>
            <w:pPr>
              <w:pStyle w:val="TableText"/>
              <w:keepNext w:val="0"/>
              <w:keepLines/>
              <w:jc w:val="center"/>
            </w:pPr>
            <w:r>
              <w:t>10,741.33</w:t>
            </w:r>
          </w:p>
        </w:tc>
      </w:tr>
      <w:tr>
        <w:trPr>
          <w:cantSplit/>
        </w:trPr>
        <w:tc>
          <w:tcPr>
            <w:tcW w:type="dxa" w:w="2479"/>
            <w:vAlign w:val="center"/>
            <w:shd w:fill="FFFFFF"/>
          </w:tcPr>
          <w:p>
            <w:pPr>
              <w:pStyle w:val="TableText"/>
              <w:keepNext w:val="0"/>
              <w:keepLines/>
              <w:jc w:val="center"/>
            </w:pPr>
            <w:r>
              <w:t>50%</w:t>
            </w:r>
          </w:p>
        </w:tc>
        <w:tc>
          <w:tcPr>
            <w:tcW w:type="dxa" w:w="1252"/>
            <w:vAlign w:val="center"/>
            <w:shd w:fill="FFFFFF"/>
          </w:tcPr>
          <w:p>
            <w:pPr>
              <w:pStyle w:val="TableText"/>
              <w:keepNext w:val="0"/>
              <w:keepLines/>
              <w:jc w:val="center"/>
            </w:pPr>
            <w:r>
              <w:t>4,544.0</w:t>
            </w:r>
          </w:p>
        </w:tc>
        <w:tc>
          <w:tcPr>
            <w:tcW w:type="dxa" w:w="2591"/>
            <w:vAlign w:val="center"/>
            <w:shd w:fill="FFFFFF"/>
          </w:tcPr>
          <w:p>
            <w:pPr>
              <w:pStyle w:val="TableText"/>
              <w:keepNext w:val="0"/>
              <w:keepLines/>
              <w:jc w:val="center"/>
            </w:pPr>
            <w:r>
              <w:t>1,053,072.0</w:t>
            </w:r>
          </w:p>
        </w:tc>
        <w:tc>
          <w:tcPr>
            <w:tcW w:type="dxa" w:w="1915"/>
            <w:vAlign w:val="center"/>
            <w:shd w:fill="FFFFFF"/>
          </w:tcPr>
          <w:p>
            <w:pPr>
              <w:pStyle w:val="TableText"/>
              <w:keepNext w:val="0"/>
              <w:keepLines/>
              <w:jc w:val="center"/>
            </w:pPr>
            <w:r>
              <w:t>4,738.82</w:t>
            </w:r>
          </w:p>
        </w:tc>
        <w:tc>
          <w:tcPr>
            <w:tcW w:type="dxa" w:w="1915"/>
            <w:vAlign w:val="center"/>
            <w:shd w:fill="FFFFFF"/>
          </w:tcPr>
          <w:p>
            <w:pPr>
              <w:pStyle w:val="TableText"/>
              <w:keepNext w:val="0"/>
              <w:keepLines/>
              <w:jc w:val="center"/>
            </w:pPr>
            <w:r>
              <w:t>17,902.22</w:t>
            </w:r>
          </w:p>
        </w:tc>
      </w:tr>
      <w:tr>
        <w:trPr>
          <w:cantSplit/>
        </w:trPr>
        <w:tc>
          <w:tcPr>
            <w:tcW w:type="dxa" w:w="2479"/>
            <w:vAlign w:val="center"/>
            <w:shd w:fill="EDF2EE"/>
          </w:tcPr>
          <w:p>
            <w:pPr>
              <w:pStyle w:val="TableText"/>
              <w:keepNext w:val="0"/>
              <w:keepLines/>
              <w:jc w:val="center"/>
            </w:pPr>
            <w:r>
              <w:t>70%</w:t>
            </w:r>
          </w:p>
        </w:tc>
        <w:tc>
          <w:tcPr>
            <w:tcW w:type="dxa" w:w="1252"/>
            <w:vAlign w:val="center"/>
            <w:shd w:fill="EDF2EE"/>
          </w:tcPr>
          <w:p>
            <w:pPr>
              <w:pStyle w:val="TableText"/>
              <w:keepNext w:val="0"/>
              <w:keepLines/>
              <w:jc w:val="center"/>
            </w:pPr>
            <w:r>
              <w:t>6,361.6</w:t>
            </w:r>
          </w:p>
        </w:tc>
        <w:tc>
          <w:tcPr>
            <w:tcW w:type="dxa" w:w="2591"/>
            <w:vAlign w:val="center"/>
            <w:shd w:fill="EDF2EE"/>
          </w:tcPr>
          <w:p>
            <w:pPr>
              <w:pStyle w:val="TableText"/>
              <w:keepNext w:val="0"/>
              <w:keepLines/>
              <w:jc w:val="center"/>
            </w:pPr>
            <w:r>
              <w:t>1,474,300.8</w:t>
            </w:r>
          </w:p>
        </w:tc>
        <w:tc>
          <w:tcPr>
            <w:tcW w:type="dxa" w:w="1915"/>
            <w:vAlign w:val="center"/>
            <w:shd w:fill="EDF2EE"/>
          </w:tcPr>
          <w:p>
            <w:pPr>
              <w:pStyle w:val="TableText"/>
              <w:keepNext w:val="0"/>
              <w:keepLines/>
              <w:jc w:val="center"/>
            </w:pPr>
            <w:r>
              <w:t>6,634.35</w:t>
            </w:r>
          </w:p>
        </w:tc>
        <w:tc>
          <w:tcPr>
            <w:tcW w:type="dxa" w:w="1915"/>
            <w:vAlign w:val="center"/>
            <w:shd w:fill="EDF2EE"/>
          </w:tcPr>
          <w:p>
            <w:pPr>
              <w:pStyle w:val="TableText"/>
              <w:keepNext w:val="0"/>
              <w:keepLines/>
              <w:jc w:val="center"/>
            </w:pPr>
            <w:r>
              <w:t>25,063.11</w:t>
            </w:r>
          </w:p>
        </w:tc>
      </w:tr>
    </w:tbl>
    <w:p>
      <w:pPr>
        <w:spacing w:after="20" w:before="0" w:line="240" w:lineRule="auto"/>
      </w:pPr>
      <w:r>
        <w:rPr>
          <w:sz w:val="6"/>
        </w:rPr>
      </w:r>
    </w:p>
    <w:p>
      <w:pPr/>
      <w:r>
        <w:t>At 50%, the calculation is 4,544 × 5.15 × 45 = 1,053,072 submitted audio minutes. The file example is therefore US$4,738.82 per year. The 5.15 average currently matches paying participants; any recorded teachers, carers or facilitators increase recorded headcount even if they do not buy a ticket. Recording the debrief, retrying failed uploads or submitting duplicate files adds its actual duration. Do not budget promotional credits or a silence reduction before they exist.</w:t>
      </w:r>
    </w:p>
    <w:p>
      <w:pPr/>
      <w:r>
        <w:t>Post-play processing is one comparison option. Check actual turnaround, upload limits, accents, languages and noisy-room performance during the capture pilot before selecting a provider. Silent processing during play can also be tested without providing any in-game response. Actual turnaround determines the useful workflow.</w:t>
      </w:r>
    </w:p>
    <w:p>
      <w:pPr>
        <w:pStyle w:val="Heading3"/>
      </w:pPr>
      <w:r>
        <w:t>Price research and computation by the work being compared</w:t>
      </w:r>
    </w:p>
    <w:p>
      <w:pPr/>
      <w:r>
        <w:t>A current standard token-price example is gpt-6.1-sol at US$2 per million uncached input tokens and US$10 per million output tokens. Web search costs US$0.01 per call plus retrieved content tokens; file search costs US$0.0025 per call plus relevant storage and model usage. [</w:t>
      </w:r>
      <w:hyperlink w:anchor="source_R121">
        <w:r>
          <w:rPr>
            <w:color w:val="275E67"/>
            <w:u w:val="single"/>
          </w:rPr>
          <w:t xml:space="preserve">R121</w:t>
        </w:r>
      </w:hyperlink>
      <w:r>
        <w:t>]</w:t>
      </w:r>
    </w:p>
    <w:p>
      <w:pPr/>
      <w:r>
        <w:t>The following two-call reflection package is an illustrative workload that could be measured in a future test. Input budgets include transcript, instructions and rubric; the second pass also includes the first draft. Output is for a qualified human facilitator to review. No cache or batch discount is assumed.</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4397"/>
        <w:gridCol w:w="1260"/>
        <w:gridCol w:w="1613"/>
        <w:gridCol w:w="1701"/>
        <w:gridCol w:w="1181"/>
      </w:tblGrid>
      <w:tr>
        <w:trPr>
          <w:cantSplit/>
          <w:tblHeader w:val="true"/>
        </w:trPr>
        <w:tc>
          <w:tcPr>
            <w:tcW w:type="dxa" w:w="4397"/>
            <w:vAlign w:val="center"/>
            <w:shd w:fill="203B4C"/>
          </w:tcPr>
          <w:p>
            <w:pPr>
              <w:pStyle w:val="TableHead"/>
              <w:keepNext/>
              <w:keepLines/>
            </w:pPr>
            <w:r>
              <w:rPr>
                <w:color w:val="FFFFFF"/>
              </w:rPr>
              <w:t>Proposed work</w:t>
            </w:r>
          </w:p>
        </w:tc>
        <w:tc>
          <w:tcPr>
            <w:tcW w:type="dxa" w:w="1260"/>
            <w:vAlign w:val="center"/>
            <w:shd w:fill="203B4C"/>
          </w:tcPr>
          <w:p>
            <w:pPr>
              <w:pStyle w:val="TableHead"/>
              <w:keepNext/>
              <w:keepLines/>
              <w:jc w:val="center"/>
            </w:pPr>
            <w:r>
              <w:rPr>
                <w:color w:val="FFFFFF"/>
              </w:rPr>
              <w:t>Calls per team</w:t>
            </w:r>
          </w:p>
        </w:tc>
        <w:tc>
          <w:tcPr>
            <w:tcW w:type="dxa" w:w="1613"/>
            <w:vAlign w:val="center"/>
            <w:shd w:fill="203B4C"/>
          </w:tcPr>
          <w:p>
            <w:pPr>
              <w:pStyle w:val="TableHead"/>
              <w:keepNext/>
              <w:keepLines/>
              <w:jc w:val="center"/>
            </w:pPr>
            <w:r>
              <w:rPr>
                <w:color w:val="FFFFFF"/>
              </w:rPr>
              <w:t>Input token budget</w:t>
            </w:r>
          </w:p>
        </w:tc>
        <w:tc>
          <w:tcPr>
            <w:tcW w:type="dxa" w:w="1701"/>
            <w:vAlign w:val="center"/>
            <w:shd w:fill="203B4C"/>
          </w:tcPr>
          <w:p>
            <w:pPr>
              <w:pStyle w:val="TableHead"/>
              <w:keepNext/>
              <w:keepLines/>
              <w:jc w:val="center"/>
            </w:pPr>
            <w:r>
              <w:rPr>
                <w:color w:val="FFFFFF"/>
              </w:rPr>
              <w:t>Output token budget</w:t>
            </w:r>
          </w:p>
        </w:tc>
        <w:tc>
          <w:tcPr>
            <w:tcW w:type="dxa" w:w="1181"/>
            <w:vAlign w:val="center"/>
            <w:shd w:fill="203B4C"/>
          </w:tcPr>
          <w:p>
            <w:pPr>
              <w:pStyle w:val="TableHead"/>
              <w:keepNext/>
              <w:keepLines/>
              <w:jc w:val="center"/>
            </w:pPr>
            <w:r>
              <w:rPr>
                <w:color w:val="FFFFFF"/>
              </w:rPr>
              <w:t>US$ per team</w:t>
            </w:r>
          </w:p>
        </w:tc>
      </w:tr>
      <w:tr>
        <w:trPr>
          <w:cantSplit/>
        </w:trPr>
        <w:tc>
          <w:tcPr>
            <w:tcW w:type="dxa" w:w="4397"/>
            <w:vAlign w:val="top"/>
            <w:shd w:fill="EDF2EE"/>
          </w:tcPr>
          <w:p>
            <w:pPr>
              <w:pStyle w:val="TableText"/>
              <w:keepNext w:val="0"/>
              <w:keepLines/>
            </w:pPr>
            <w:r>
              <w:t>Draft one team reflection from its authorised transcript and rubric</w:t>
            </w:r>
          </w:p>
        </w:tc>
        <w:tc>
          <w:tcPr>
            <w:tcW w:type="dxa" w:w="1260"/>
            <w:vAlign w:val="center"/>
            <w:shd w:fill="EDF2EE"/>
          </w:tcPr>
          <w:p>
            <w:pPr>
              <w:pStyle w:val="TableText"/>
              <w:keepNext w:val="0"/>
              <w:keepLines/>
              <w:jc w:val="center"/>
            </w:pPr>
            <w:r>
              <w:t>1</w:t>
            </w:r>
          </w:p>
        </w:tc>
        <w:tc>
          <w:tcPr>
            <w:tcW w:type="dxa" w:w="1613"/>
            <w:vAlign w:val="center"/>
            <w:shd w:fill="EDF2EE"/>
          </w:tcPr>
          <w:p>
            <w:pPr>
              <w:pStyle w:val="TableText"/>
              <w:keepNext w:val="0"/>
              <w:keepLines/>
              <w:jc w:val="center"/>
            </w:pPr>
            <w:r>
              <w:t>12,000</w:t>
            </w:r>
          </w:p>
        </w:tc>
        <w:tc>
          <w:tcPr>
            <w:tcW w:type="dxa" w:w="1701"/>
            <w:vAlign w:val="center"/>
            <w:shd w:fill="EDF2EE"/>
          </w:tcPr>
          <w:p>
            <w:pPr>
              <w:pStyle w:val="TableText"/>
              <w:keepNext w:val="0"/>
              <w:keepLines/>
              <w:jc w:val="center"/>
            </w:pPr>
            <w:r>
              <w:t>2,000</w:t>
            </w:r>
          </w:p>
        </w:tc>
        <w:tc>
          <w:tcPr>
            <w:tcW w:type="dxa" w:w="1181"/>
            <w:vAlign w:val="center"/>
            <w:shd w:fill="EDF2EE"/>
          </w:tcPr>
          <w:p>
            <w:pPr>
              <w:pStyle w:val="TableText"/>
              <w:keepNext w:val="0"/>
              <w:keepLines/>
              <w:jc w:val="center"/>
            </w:pPr>
            <w:r>
              <w:t>0.044</w:t>
            </w:r>
          </w:p>
        </w:tc>
      </w:tr>
      <w:tr>
        <w:trPr>
          <w:cantSplit/>
        </w:trPr>
        <w:tc>
          <w:tcPr>
            <w:tcW w:type="dxa" w:w="4397"/>
            <w:vAlign w:val="top"/>
            <w:shd w:fill="FFFFFF"/>
          </w:tcPr>
          <w:p>
            <w:pPr>
              <w:pStyle w:val="TableText"/>
              <w:keepNext w:val="0"/>
              <w:keepLines/>
            </w:pPr>
            <w:r>
              <w:t>Review the draft for evidence, alternatives and facilitator questions</w:t>
            </w:r>
          </w:p>
        </w:tc>
        <w:tc>
          <w:tcPr>
            <w:tcW w:type="dxa" w:w="1260"/>
            <w:vAlign w:val="center"/>
            <w:shd w:fill="FFFFFF"/>
          </w:tcPr>
          <w:p>
            <w:pPr>
              <w:pStyle w:val="TableText"/>
              <w:keepNext w:val="0"/>
              <w:keepLines/>
              <w:jc w:val="center"/>
            </w:pPr>
            <w:r>
              <w:t>1</w:t>
            </w:r>
          </w:p>
        </w:tc>
        <w:tc>
          <w:tcPr>
            <w:tcW w:type="dxa" w:w="1613"/>
            <w:vAlign w:val="center"/>
            <w:shd w:fill="FFFFFF"/>
          </w:tcPr>
          <w:p>
            <w:pPr>
              <w:pStyle w:val="TableText"/>
              <w:keepNext w:val="0"/>
              <w:keepLines/>
              <w:jc w:val="center"/>
            </w:pPr>
            <w:r>
              <w:t>14,000</w:t>
            </w:r>
          </w:p>
        </w:tc>
        <w:tc>
          <w:tcPr>
            <w:tcW w:type="dxa" w:w="1701"/>
            <w:vAlign w:val="center"/>
            <w:shd w:fill="FFFFFF"/>
          </w:tcPr>
          <w:p>
            <w:pPr>
              <w:pStyle w:val="TableText"/>
              <w:keepNext w:val="0"/>
              <w:keepLines/>
              <w:jc w:val="center"/>
            </w:pPr>
            <w:r>
              <w:t>2,000</w:t>
            </w:r>
          </w:p>
        </w:tc>
        <w:tc>
          <w:tcPr>
            <w:tcW w:type="dxa" w:w="1181"/>
            <w:vAlign w:val="center"/>
            <w:shd w:fill="FFFFFF"/>
          </w:tcPr>
          <w:p>
            <w:pPr>
              <w:pStyle w:val="TableText"/>
              <w:keepNext w:val="0"/>
              <w:keepLines/>
              <w:jc w:val="center"/>
            </w:pPr>
            <w:r>
              <w:t>0.048</w:t>
            </w:r>
          </w:p>
        </w:tc>
      </w:tr>
    </w:tbl>
    <w:p>
      <w:pPr>
        <w:spacing w:after="20" w:before="0" w:line="240" w:lineRule="auto"/>
      </w:pPr>
      <w:r>
        <w:rPr>
          <w:sz w:val="6"/>
        </w:rPr>
      </w:r>
    </w:p>
    <w:p>
      <w:pPr/>
      <w:r>
        <w:t>The two-call package totals US$0.092 per team, or US$418.05 for 4,544 teams. Actual long transcripts, more revisions, additional analysis or larger models change the cost. This example does not claim that every team fits the token budget or that analysis is complete without human judgment.</w:t>
      </w:r>
    </w:p>
    <w:p>
      <w:pPr/>
      <w:r>
        <w:t>For any provider, calculate each research or computation task as:</w:t>
      </w:r>
    </w:p>
    <w:p>
      <w:pPr/>
      <w:r>
        <w:t>Runs × [(uncached input tokens × input rate + cached reads × cached rate + billable cache writes × write rate + billable output tokens × output rate) ÷ 1,000,000 + tool actions × their individual charges], then add actual compute, storage, connector and licence costs.</w:t>
      </w:r>
    </w:p>
    <w:p>
      <w:pPr/>
      <w:r>
        <w:t>Count every model call and retry in a multi-step run. Include billable reasoning output where charged. A proposed planning deliverable using 20,000 uncached input tokens, 4,000 output tokens and three web searches costs US$0.11 at these unit prices, provided retrieved search tokens fit within the stated input budget. Its monthly total is US$0.11 × the approved number of runs, plus any other specified service costs. Monthly volumes remain unset because the work and frequency have not been chosen.</w:t>
      </w:r>
    </w:p>
    <w:p>
      <w:pPr/>
      <w:r>
        <w:t>A task-cost comparison would record deliverable, runs, calls per run, input and output tokens, tool actions, retry count, storage and compute units, human review hours, monthly cap and actual spend. The calculation concerns the cost of producing material for review. It does not define an operating agent team or assign business decisions to software.</w:t>
      </w:r>
    </w:p>
    <w:p>
      <w:pPr>
        <w:pStyle w:val="Heading3"/>
      </w:pPr>
      <w:r>
        <w:t>Currency and remaining software costs</w:t>
      </w:r>
    </w:p>
    <w:p>
      <w:pPr/>
      <w:r>
        <w:t>The retained provider rate comparison is in US dollars. Account billing currency and invoice terms would need verification. [</w:t>
      </w:r>
      <w:hyperlink w:anchor="source_R123">
        <w:r>
          <w:rPr>
            <w:color w:val="275E67"/>
            <w:u w:val="single"/>
          </w:rPr>
          <w:t xml:space="preserve">R123</w:t>
        </w:r>
      </w:hyperlink>
      <w:r>
        <w:t>] Convert the actual USD invoice at the actual AUD paid per USD, add payment and foreign-exchange charges and applicable taxes, and deduct only eligible input tax credits. Do not mix the USD appendix directly into the AUD tables.</w:t>
      </w:r>
    </w:p>
    <w:p>
      <w:pPr/>
      <w:r>
        <w:t>Booking integration, secure hosting, storage, backup, retention, workflow implementation, testing, maintenance, connector seats and additional human review still need their own quantities and quotes. The facilitator's existing time allocation covers review only if the pilot shows it fits; otherwise add the measured time. The published venue headroom is still before software and these other costs, so it remains a capacity to pay costs rather than a profit claim.</w:t>
      </w:r>
    </w:p>
    <w:p>
      <w:pPr>
        <w:pStyle w:val="SourceNote"/>
      </w:pPr>
      <w:r>
        <w:t xml:space="preserve">Sources: </w:t>
      </w:r>
      <w:hyperlink w:anchor="source_R121">
        <w:r>
          <w:rPr>
            <w:color w:val="275E67"/>
            <w:u w:val="single"/>
          </w:rPr>
          <w:t xml:space="preserve">R121</w:t>
        </w:r>
      </w:hyperlink>
      <w:r>
        <w:t xml:space="preserve">, </w:t>
      </w:r>
      <w:hyperlink w:anchor="source_R122">
        <w:r>
          <w:rPr>
            <w:color w:val="275E67"/>
            <w:u w:val="single"/>
          </w:rPr>
          <w:t xml:space="preserve">R122</w:t>
        </w:r>
      </w:hyperlink>
      <w:r>
        <w:t xml:space="preserve">, </w:t>
      </w:r>
      <w:hyperlink w:anchor="source_R123">
        <w:r>
          <w:rPr>
            <w:color w:val="275E67"/>
            <w:u w:val="single"/>
          </w:rPr>
          <w:t xml:space="preserve">R123</w:t>
        </w:r>
      </w:hyperlink>
      <w:r>
        <w:t xml:space="preserve">, </w:t>
      </w:r>
      <w:hyperlink w:anchor="source_R124">
        <w:r>
          <w:rPr>
            <w:color w:val="275E67"/>
            <w:u w:val="single"/>
          </w:rPr>
          <w:t xml:space="preserve">R124</w:t>
        </w:r>
      </w:hyperlink>
    </w:p>
    <w:p>
      <w:bookmarkStart w:id="35" w:name="s_economics_Quote_register_requ_3175db"/>
      <w:pPr>
        <w:pStyle w:val="Heading2"/>
      </w:pPr>
      <w:r>
        <w:t>Quote register required to finish the full budget</w:t>
      </w:r>
      <w:bookmarkEnd w:id="35"/>
    </w:p>
    <w:p>
      <w:pPr/>
      <w:r>
        <w:t>The following packages remain in the plan with a blank price, not zero. Each needs scope, quantity, supplier, date, tax basis, inclusions, acceptance, payment dates and renewal responsibility.</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3423"/>
        <w:gridCol w:w="6729"/>
      </w:tblGrid>
      <w:tr>
        <w:trPr>
          <w:cantSplit/>
          <w:tblHeader w:val="true"/>
        </w:trPr>
        <w:tc>
          <w:tcPr>
            <w:tcW w:type="dxa" w:w="3423"/>
            <w:vAlign w:val="center"/>
            <w:shd w:fill="203B4C"/>
          </w:tcPr>
          <w:p>
            <w:pPr>
              <w:pStyle w:val="TableHead"/>
              <w:keepNext/>
              <w:keepLines/>
            </w:pPr>
            <w:r>
              <w:rPr>
                <w:color w:val="FFFFFF"/>
              </w:rPr>
              <w:t>Package</w:t>
            </w:r>
          </w:p>
        </w:tc>
        <w:tc>
          <w:tcPr>
            <w:tcW w:type="dxa" w:w="6729"/>
            <w:vAlign w:val="center"/>
            <w:shd w:fill="203B4C"/>
          </w:tcPr>
          <w:p>
            <w:pPr>
              <w:pStyle w:val="TableHead"/>
              <w:keepNext/>
              <w:keepLines/>
            </w:pPr>
            <w:r>
              <w:rPr>
                <w:color w:val="FFFFFF"/>
              </w:rPr>
              <w:t>Required scope</w:t>
            </w:r>
          </w:p>
        </w:tc>
      </w:tr>
      <w:tr>
        <w:trPr>
          <w:cantSplit/>
        </w:trPr>
        <w:tc>
          <w:tcPr>
            <w:tcW w:type="dxa" w:w="3423"/>
            <w:vAlign w:val="top"/>
            <w:shd w:fill="EDF2EE"/>
          </w:tcPr>
          <w:p>
            <w:pPr>
              <w:pStyle w:val="TableText"/>
              <w:keepNext w:val="0"/>
              <w:keepLines/>
            </w:pPr>
            <w:r>
              <w:t>Q01 Premises rent and outgoings</w:t>
            </w:r>
          </w:p>
        </w:tc>
        <w:tc>
          <w:tcPr>
            <w:tcW w:type="dxa" w:w="6729"/>
            <w:vAlign w:val="top"/>
            <w:shd w:fill="EDF2EE"/>
          </w:tcPr>
          <w:p>
            <w:pPr>
              <w:pStyle w:val="TableText"/>
              <w:keepNext w:val="0"/>
              <w:keepLines/>
            </w:pPr>
            <w:r>
              <w:t>Premises or host alternatives, measured usable areas, use approval, access, parking, landlord works, rent review and outgoings. The 400 m² layout is only a worked comparison.</w:t>
            </w:r>
          </w:p>
        </w:tc>
      </w:tr>
      <w:tr>
        <w:trPr>
          <w:cantSplit/>
        </w:trPr>
        <w:tc>
          <w:tcPr>
            <w:tcW w:type="dxa" w:w="3423"/>
            <w:vAlign w:val="top"/>
            <w:shd w:fill="FFFFFF"/>
          </w:tcPr>
          <w:p>
            <w:pPr>
              <w:pStyle w:val="TableText"/>
              <w:keepNext w:val="0"/>
              <w:keepLines/>
            </w:pPr>
            <w:r>
              <w:t>Q02 Building design and approvals</w:t>
            </w:r>
          </w:p>
        </w:tc>
        <w:tc>
          <w:tcPr>
            <w:tcW w:type="dxa" w:w="6729"/>
            <w:vAlign w:val="top"/>
            <w:shd w:fill="FFFFFF"/>
          </w:tcPr>
          <w:p>
            <w:pPr>
              <w:pStyle w:val="TableText"/>
              <w:keepNext w:val="0"/>
              <w:keepLines/>
            </w:pPr>
            <w:r>
              <w:t>Measured layout, acoustic design, building/fire/access review and certification fees.</w:t>
            </w:r>
          </w:p>
        </w:tc>
      </w:tr>
      <w:tr>
        <w:trPr>
          <w:cantSplit/>
        </w:trPr>
        <w:tc>
          <w:tcPr>
            <w:tcW w:type="dxa" w:w="3423"/>
            <w:vAlign w:val="top"/>
            <w:shd w:fill="EDF2EE"/>
          </w:tcPr>
          <w:p>
            <w:pPr>
              <w:pStyle w:val="TableText"/>
              <w:keepNext w:val="0"/>
              <w:keepLines/>
            </w:pPr>
            <w:r>
              <w:t>Q03 Partitions, doors and finishes</w:t>
            </w:r>
          </w:p>
        </w:tc>
        <w:tc>
          <w:tcPr>
            <w:tcW w:type="dxa" w:w="6729"/>
            <w:vAlign w:val="top"/>
            <w:shd w:fill="EDF2EE"/>
          </w:tcPr>
          <w:p>
            <w:pPr>
              <w:pStyle w:val="TableText"/>
              <w:keepNext w:val="0"/>
              <w:keepLines/>
            </w:pPr>
            <w:r>
              <w:t>Measured linear metres, wall height, door schedule, acoustic/fire performance, floor finish area, materials and installed labour.</w:t>
            </w:r>
          </w:p>
        </w:tc>
      </w:tr>
      <w:tr>
        <w:trPr>
          <w:cantSplit/>
        </w:trPr>
        <w:tc>
          <w:tcPr>
            <w:tcW w:type="dxa" w:w="3423"/>
            <w:vAlign w:val="top"/>
            <w:shd w:fill="FFFFFF"/>
          </w:tcPr>
          <w:p>
            <w:pPr>
              <w:pStyle w:val="TableText"/>
              <w:keepNext w:val="0"/>
              <w:keepLines/>
            </w:pPr>
            <w:r>
              <w:t>Q04 Ventilation and cooling</w:t>
            </w:r>
          </w:p>
        </w:tc>
        <w:tc>
          <w:tcPr>
            <w:tcW w:type="dxa" w:w="6729"/>
            <w:vAlign w:val="top"/>
            <w:shd w:fill="FFFFFF"/>
          </w:tcPr>
          <w:p>
            <w:pPr>
              <w:pStyle w:val="TableText"/>
              <w:keepNext w:val="0"/>
              <w:keepLines/>
            </w:pPr>
            <w:r>
              <w:t>Occupancy and heat-load design, duct routes, fresh air, plant scope and installed electrical work.</w:t>
            </w:r>
          </w:p>
        </w:tc>
      </w:tr>
      <w:tr>
        <w:trPr>
          <w:cantSplit/>
        </w:trPr>
        <w:tc>
          <w:tcPr>
            <w:tcW w:type="dxa" w:w="3423"/>
            <w:vAlign w:val="top"/>
            <w:shd w:fill="EDF2EE"/>
          </w:tcPr>
          <w:p>
            <w:pPr>
              <w:pStyle w:val="TableText"/>
              <w:keepNext w:val="0"/>
              <w:keepLines/>
            </w:pPr>
            <w:r>
              <w:t>Q05 Electrical and data materials</w:t>
            </w:r>
          </w:p>
        </w:tc>
        <w:tc>
          <w:tcPr>
            <w:tcW w:type="dxa" w:w="6729"/>
            <w:vAlign w:val="top"/>
            <w:shd w:fill="EDF2EE"/>
          </w:tcPr>
          <w:p>
            <w:pPr>
              <w:pStyle w:val="TableText"/>
              <w:keepNext w:val="0"/>
              <w:keepLines/>
            </w:pPr>
            <w:r>
              <w:t>Confirmed points/circuits, distribution, testing, data cabling and controls. T04 is only an attendance cost example.</w:t>
            </w:r>
          </w:p>
        </w:tc>
      </w:tr>
      <w:tr>
        <w:trPr>
          <w:cantSplit/>
        </w:trPr>
        <w:tc>
          <w:tcPr>
            <w:tcW w:type="dxa" w:w="3423"/>
            <w:vAlign w:val="top"/>
            <w:shd w:fill="FFFFFF"/>
          </w:tcPr>
          <w:p>
            <w:pPr>
              <w:pStyle w:val="TableText"/>
              <w:keepNext w:val="0"/>
              <w:keepLines/>
            </w:pPr>
            <w:r>
              <w:t>Q06 Room design and content rights</w:t>
            </w:r>
          </w:p>
        </w:tc>
        <w:tc>
          <w:tcPr>
            <w:tcW w:type="dxa" w:w="6729"/>
            <w:vAlign w:val="top"/>
            <w:shd w:fill="FFFFFF"/>
          </w:tcPr>
          <w:p>
            <w:pPr>
              <w:pStyle w:val="TableText"/>
              <w:keepNext w:val="0"/>
              <w:keepLines/>
            </w:pPr>
            <w:r>
              <w:t>Room concepts and quantities to compare, independent play without hints, local story permissions, access versions, playtests, manuals and content rights. No catalogue or number of scenarios selected.</w:t>
            </w:r>
          </w:p>
        </w:tc>
      </w:tr>
      <w:tr>
        <w:trPr>
          <w:cantSplit/>
        </w:trPr>
        <w:tc>
          <w:tcPr>
            <w:tcW w:type="dxa" w:w="3423"/>
            <w:vAlign w:val="top"/>
            <w:shd w:fill="EDF2EE"/>
          </w:tcPr>
          <w:p>
            <w:pPr>
              <w:pStyle w:val="TableText"/>
              <w:keepNext w:val="0"/>
              <w:keepLines/>
            </w:pPr>
            <w:r>
              <w:t>Q07 Room kit landed cost</w:t>
            </w:r>
          </w:p>
        </w:tc>
        <w:tc>
          <w:tcPr>
            <w:tcW w:type="dxa" w:w="6729"/>
            <w:vAlign w:val="top"/>
            <w:shd w:fill="EDF2EE"/>
          </w:tcPr>
          <w:p>
            <w:pPr>
              <w:pStyle w:val="TableText"/>
              <w:keepNext w:val="0"/>
              <w:keepLines/>
            </w:pPr>
            <w:r>
              <w:t>Written configuration price, currency basis, packing, freight, customs/import GST, inland delivery and installation boundaries.</w:t>
            </w:r>
          </w:p>
        </w:tc>
      </w:tr>
      <w:tr>
        <w:trPr>
          <w:cantSplit/>
        </w:trPr>
        <w:tc>
          <w:tcPr>
            <w:tcW w:type="dxa" w:w="3423"/>
            <w:vAlign w:val="top"/>
            <w:shd w:fill="FFFFFF"/>
          </w:tcPr>
          <w:p>
            <w:pPr>
              <w:pStyle w:val="TableText"/>
              <w:keepNext w:val="0"/>
              <w:keepLines/>
            </w:pPr>
            <w:r>
              <w:t>Q08 Multi-room audio and monitoring</w:t>
            </w:r>
          </w:p>
        </w:tc>
        <w:tc>
          <w:tcPr>
            <w:tcW w:type="dxa" w:w="6729"/>
            <w:vAlign w:val="top"/>
            <w:shd w:fill="FFFFFF"/>
          </w:tcPr>
          <w:p>
            <w:pPr>
              <w:pStyle w:val="TableText"/>
              <w:keepNext w:val="0"/>
              <w:keepLines/>
            </w:pPr>
            <w:r>
              <w:t>Recording and unrecorded reflection alternatives, actual participant count, site RF/acoustics, time alignment, review workload, storage, retention and acceptance tests. Channel counts in the model are assumptions.</w:t>
            </w:r>
          </w:p>
        </w:tc>
      </w:tr>
      <w:tr>
        <w:trPr>
          <w:cantSplit/>
        </w:trPr>
        <w:tc>
          <w:tcPr>
            <w:tcW w:type="dxa" w:w="3423"/>
            <w:vAlign w:val="top"/>
            <w:shd w:fill="EDF2EE"/>
          </w:tcPr>
          <w:p>
            <w:pPr>
              <w:pStyle w:val="TableText"/>
              <w:keepNext w:val="0"/>
              <w:keepLines/>
            </w:pPr>
            <w:r>
              <w:t>Q09 Software and AI services</w:t>
            </w:r>
          </w:p>
        </w:tc>
        <w:tc>
          <w:tcPr>
            <w:tcW w:type="dxa" w:w="6729"/>
            <w:vAlign w:val="top"/>
            <w:shd w:fill="EDF2EE"/>
          </w:tcPr>
          <w:p>
            <w:pPr>
              <w:pStyle w:val="TableText"/>
              <w:keepNext w:val="0"/>
              <w:keepLines/>
            </w:pPr>
            <w:r>
              <w:t>Research and computation methods, manual and AI-assisted alternatives, booking integration if needed, usage quantities, provider rate comparisons, testing and maintenance. No agent team or workflow selected.</w:t>
            </w:r>
          </w:p>
        </w:tc>
      </w:tr>
      <w:tr>
        <w:trPr>
          <w:cantSplit/>
        </w:trPr>
        <w:tc>
          <w:tcPr>
            <w:tcW w:type="dxa" w:w="3423"/>
            <w:vAlign w:val="top"/>
            <w:shd w:fill="FFFFFF"/>
          </w:tcPr>
          <w:p>
            <w:pPr>
              <w:pStyle w:val="TableText"/>
              <w:keepNext w:val="0"/>
              <w:keepLines/>
            </w:pPr>
            <w:r>
              <w:t>Q10 Professional and insurance</w:t>
            </w:r>
          </w:p>
        </w:tc>
        <w:tc>
          <w:tcPr>
            <w:tcW w:type="dxa" w:w="6729"/>
            <w:vAlign w:val="top"/>
            <w:shd w:fill="FFFFFF"/>
          </w:tcPr>
          <w:p>
            <w:pPr>
              <w:pStyle w:val="TableText"/>
              <w:keepNext w:val="0"/>
              <w:keepLines/>
            </w:pPr>
            <w:r>
              <w:t>Legal/accounting service scope, public liability, property/contents, business interruption, cyber cover, workers compensation, applicable payroll tax and licences.</w:t>
            </w:r>
          </w:p>
        </w:tc>
      </w:tr>
      <w:tr>
        <w:trPr>
          <w:cantSplit/>
        </w:trPr>
        <w:tc>
          <w:tcPr>
            <w:tcW w:type="dxa" w:w="3423"/>
            <w:vAlign w:val="top"/>
            <w:shd w:fill="EDF2EE"/>
          </w:tcPr>
          <w:p>
            <w:pPr>
              <w:pStyle w:val="TableText"/>
              <w:keepNext w:val="0"/>
              <w:keepLines/>
            </w:pPr>
            <w:r>
              <w:t>Q11 Management and paid specialist work</w:t>
            </w:r>
          </w:p>
        </w:tc>
        <w:tc>
          <w:tcPr>
            <w:tcW w:type="dxa" w:w="6729"/>
            <w:vAlign w:val="top"/>
            <w:shd w:fill="EDF2EE"/>
          </w:tcPr>
          <w:p>
            <w:pPr>
              <w:pStyle w:val="TableText"/>
              <w:keepNext w:val="0"/>
              <w:keepLines/>
            </w:pPr>
            <w:r>
              <w:t>Luke remuneration allocation, venue manager duties/hours, specialist facilitation, breaks, child/access support, leave/relief and roster minimum-engagement effects.</w:t>
            </w:r>
          </w:p>
        </w:tc>
      </w:tr>
      <w:tr>
        <w:trPr>
          <w:cantSplit/>
        </w:trPr>
        <w:tc>
          <w:tcPr>
            <w:tcW w:type="dxa" w:w="3423"/>
            <w:vAlign w:val="top"/>
            <w:shd w:fill="FFFFFF"/>
          </w:tcPr>
          <w:p>
            <w:pPr>
              <w:pStyle w:val="TableText"/>
              <w:keepNext w:val="0"/>
              <w:keepLines/>
            </w:pPr>
            <w:r>
              <w:t>Q12 Opening and ongoing consumables</w:t>
            </w:r>
          </w:p>
        </w:tc>
        <w:tc>
          <w:tcPr>
            <w:tcW w:type="dxa" w:w="6729"/>
            <w:vAlign w:val="top"/>
            <w:shd w:fill="FFFFFF"/>
          </w:tcPr>
          <w:p>
            <w:pPr>
              <w:pStyle w:val="TableText"/>
              <w:keepNext w:val="0"/>
              <w:keepLines/>
            </w:pPr>
            <w:r>
              <w:t>Measured per-session cleaning/mic hygiene, printing, broken prop replacement, laundry and waste; quantity×actual supplier unit price.</w:t>
            </w:r>
          </w:p>
        </w:tc>
      </w:tr>
      <w:tr>
        <w:trPr>
          <w:cantSplit/>
        </w:trPr>
        <w:tc>
          <w:tcPr>
            <w:tcW w:type="dxa" w:w="3423"/>
            <w:vAlign w:val="top"/>
            <w:shd w:fill="EDF2EE"/>
          </w:tcPr>
          <w:p>
            <w:pPr>
              <w:pStyle w:val="TableText"/>
              <w:keepNext w:val="0"/>
              <w:keepLines/>
            </w:pPr>
            <w:r>
              <w:t>Q13 Utilities, connectivity and premises services</w:t>
            </w:r>
          </w:p>
        </w:tc>
        <w:tc>
          <w:tcPr>
            <w:tcW w:type="dxa" w:w="6729"/>
            <w:vAlign w:val="top"/>
            <w:shd w:fill="EDF2EE"/>
          </w:tcPr>
          <w:p>
            <w:pPr>
              <w:pStyle w:val="TableText"/>
              <w:keepNext w:val="0"/>
              <w:keepLines/>
            </w:pPr>
            <w:r>
              <w:t>Alternative utilities and connectivity tariffs, measured loads, hours, water, waste, cleaning and maintenance scope.</w:t>
            </w:r>
          </w:p>
        </w:tc>
      </w:tr>
      <w:tr>
        <w:trPr>
          <w:cantSplit/>
        </w:trPr>
        <w:tc>
          <w:tcPr>
            <w:tcW w:type="dxa" w:w="3423"/>
            <w:vAlign w:val="top"/>
            <w:shd w:fill="FFFFFF"/>
          </w:tcPr>
          <w:p>
            <w:pPr>
              <w:pStyle w:val="TableText"/>
              <w:keepNext w:val="0"/>
              <w:keepLines/>
            </w:pPr>
            <w:r>
              <w:t>Q14 Tourism distribution and promotion</w:t>
            </w:r>
          </w:p>
        </w:tc>
        <w:tc>
          <w:tcPr>
            <w:tcW w:type="dxa" w:w="6729"/>
            <w:vAlign w:val="top"/>
            <w:shd w:fill="FFFFFF"/>
          </w:tcPr>
          <w:p>
            <w:pPr>
              <w:pStyle w:val="TableText"/>
              <w:keepNext w:val="0"/>
              <w:keepLines/>
            </w:pPr>
            <w:r>
              <w:t>Actual referral agreements, portal fees, advertising quantities/rates, pass settlement administration and refunds.</w:t>
            </w:r>
          </w:p>
        </w:tc>
      </w:tr>
      <w:tr>
        <w:trPr>
          <w:cantSplit/>
        </w:trPr>
        <w:tc>
          <w:tcPr>
            <w:tcW w:type="dxa" w:w="3423"/>
            <w:vAlign w:val="top"/>
            <w:shd w:fill="EDF2EE"/>
          </w:tcPr>
          <w:p>
            <w:pPr>
              <w:pStyle w:val="TableText"/>
              <w:keepNext w:val="0"/>
              <w:keepLines/>
            </w:pPr>
            <w:r>
              <w:t>Q15 Freight, secondhand inspection and make-good</w:t>
            </w:r>
          </w:p>
        </w:tc>
        <w:tc>
          <w:tcPr>
            <w:tcW w:type="dxa" w:w="6729"/>
            <w:vAlign w:val="top"/>
            <w:shd w:fill="EDF2EE"/>
          </w:tcPr>
          <w:p>
            <w:pPr>
              <w:pStyle w:val="TableText"/>
              <w:keepNext w:val="0"/>
              <w:keepLines/>
            </w:pPr>
            <w:r>
              <w:t>Collection/delivery, repair, cleaning, assembly, anchoring, remaining service life, end-of-lease removal and waste charges.</w:t>
            </w:r>
          </w:p>
        </w:tc>
      </w:tr>
      <w:tr>
        <w:trPr>
          <w:cantSplit/>
        </w:trPr>
        <w:tc>
          <w:tcPr>
            <w:tcW w:type="dxa" w:w="3423"/>
            <w:vAlign w:val="top"/>
            <w:shd w:fill="FFFFFF"/>
          </w:tcPr>
          <w:p>
            <w:pPr>
              <w:pStyle w:val="TableText"/>
              <w:keepNext w:val="0"/>
              <w:keepLines/>
            </w:pPr>
            <w:r>
              <w:t>Q16 Contingency and financing</w:t>
            </w:r>
          </w:p>
        </w:tc>
        <w:tc>
          <w:tcPr>
            <w:tcW w:type="dxa" w:w="6729"/>
            <w:vAlign w:val="top"/>
            <w:shd w:fill="FFFFFF"/>
          </w:tcPr>
          <w:p>
            <w:pPr>
              <w:pStyle w:val="TableText"/>
              <w:keepNext w:val="0"/>
              <w:keepLines/>
            </w:pPr>
            <w:r>
              <w:t>Itemised risk register priced after scope/quotes; loan terms, fees, cash timing and tax. No invented flat percentage substituted for unresolved scope.</w:t>
            </w:r>
          </w:p>
        </w:tc>
      </w:tr>
    </w:tbl>
    <w:p>
      <w:pPr>
        <w:spacing w:after="20" w:before="0" w:line="240" w:lineRule="auto"/>
      </w:pPr>
      <w:r>
        <w:rPr>
          <w:sz w:val="6"/>
        </w:rPr>
      </w:r>
    </w:p>
    <w:p>
      <w:pPr/>
      <w:r>
        <w:t>Completed scopes, dated quotes and chosen inputs would allow a later round to calculate startup cash, monthly cash flow and operating results for the options still under consideration. The current arithmetic provides a reviewable commercial structure and a source-priced starting bill without hiding the remaining work inside invented totals.</w:t>
      </w:r>
    </w:p>
    <w:p>
      <w:bookmarkStart w:id="36" w:name="chapter_finance"/>
      <w:pPr>
        <w:pStyle w:val="Heading1"/>
        <w:pageBreakBefore/>
      </w:pPr>
      <w:r>
        <w:t>Finance, settlements and local ownership</w:t>
      </w:r>
      <w:bookmarkEnd w:id="36"/>
    </w:p>
    <w:p>
      <w:pPr>
        <w:pStyle w:val="Lead"/>
      </w:pPr>
      <w:r>
        <w:t>Use worked calculations to inspect capacity, receipts, paid work and settlement, then identify what remains unpriced.</w:t>
      </w:r>
    </w:p>
    <w:p>
      <w:bookmarkStart w:id="37" w:name="s_finance_Three_connected_accou_295e09"/>
      <w:pPr>
        <w:pStyle w:val="Heading2"/>
      </w:pPr>
      <w:r>
        <w:t>Three connected accounts</w:t>
      </w:r>
      <w:bookmarkEnd w:id="37"/>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000"/>
        <w:gridCol w:w="3947"/>
        <w:gridCol w:w="4205"/>
      </w:tblGrid>
      <w:tr>
        <w:trPr>
          <w:cantSplit/>
          <w:tblHeader w:val="true"/>
        </w:trPr>
        <w:tc>
          <w:tcPr>
            <w:tcW w:type="dxa" w:w="2000"/>
            <w:vAlign w:val="center"/>
            <w:shd w:fill="203B4C"/>
          </w:tcPr>
          <w:p>
            <w:pPr>
              <w:pStyle w:val="TableHead"/>
              <w:keepNext/>
              <w:keepLines/>
            </w:pPr>
            <w:r>
              <w:rPr>
                <w:color w:val="FFFFFF"/>
              </w:rPr>
              <w:t>Account</w:t>
            </w:r>
          </w:p>
        </w:tc>
        <w:tc>
          <w:tcPr>
            <w:tcW w:type="dxa" w:w="3947"/>
            <w:vAlign w:val="center"/>
            <w:shd w:fill="203B4C"/>
          </w:tcPr>
          <w:p>
            <w:pPr>
              <w:pStyle w:val="TableHead"/>
              <w:keepNext/>
              <w:keepLines/>
            </w:pPr>
            <w:r>
              <w:rPr>
                <w:color w:val="FFFFFF"/>
              </w:rPr>
              <w:t>Income</w:t>
            </w:r>
          </w:p>
        </w:tc>
        <w:tc>
          <w:tcPr>
            <w:tcW w:type="dxa" w:w="4205"/>
            <w:vAlign w:val="center"/>
            <w:shd w:fill="203B4C"/>
          </w:tcPr>
          <w:p>
            <w:pPr>
              <w:pStyle w:val="TableHead"/>
              <w:keepNext/>
              <w:keepLines/>
            </w:pPr>
            <w:r>
              <w:rPr>
                <w:color w:val="FFFFFF"/>
              </w:rPr>
              <w:t>Costs and obligations</w:t>
            </w:r>
          </w:p>
        </w:tc>
      </w:tr>
      <w:tr>
        <w:trPr>
          <w:cantSplit/>
        </w:trPr>
        <w:tc>
          <w:tcPr>
            <w:tcW w:type="dxa" w:w="2000"/>
            <w:vAlign w:val="top"/>
            <w:shd w:fill="EDF2EE"/>
          </w:tcPr>
          <w:p>
            <w:pPr>
              <w:pStyle w:val="TableText"/>
              <w:keepNext w:val="0"/>
              <w:keepLines/>
            </w:pPr>
            <w:r>
              <w:t>Local venue</w:t>
            </w:r>
          </w:p>
        </w:tc>
        <w:tc>
          <w:tcPr>
            <w:tcW w:type="dxa" w:w="3947"/>
            <w:vAlign w:val="top"/>
            <w:shd w:fill="EDF2EE"/>
          </w:tcPr>
          <w:p>
            <w:pPr>
              <w:pStyle w:val="TableText"/>
              <w:keepNext w:val="0"/>
              <w:keepLines/>
            </w:pPr>
            <w:r>
              <w:t>Its own admissions, workshops and agreed local services</w:t>
            </w:r>
          </w:p>
        </w:tc>
        <w:tc>
          <w:tcPr>
            <w:tcW w:type="dxa" w:w="4205"/>
            <w:vAlign w:val="top"/>
            <w:shd w:fill="EDF2EE"/>
          </w:tcPr>
          <w:p>
            <w:pPr>
              <w:pStyle w:val="TableText"/>
              <w:keepNext w:val="0"/>
              <w:keepLines/>
            </w:pPr>
            <w:r>
              <w:t>People, premises, delivery, maintenance, renewal, finance and applicable tax.</w:t>
            </w:r>
          </w:p>
        </w:tc>
      </w:tr>
      <w:tr>
        <w:trPr>
          <w:cantSplit/>
        </w:trPr>
        <w:tc>
          <w:tcPr>
            <w:tcW w:type="dxa" w:w="2000"/>
            <w:vAlign w:val="top"/>
            <w:shd w:fill="FFFFFF"/>
          </w:tcPr>
          <w:p>
            <w:pPr>
              <w:pStyle w:val="TableText"/>
              <w:keepNext w:val="0"/>
              <w:keepLines/>
            </w:pPr>
            <w:r>
              <w:t>Deployment business</w:t>
            </w:r>
          </w:p>
        </w:tc>
        <w:tc>
          <w:tcPr>
            <w:tcW w:type="dxa" w:w="3947"/>
            <w:vAlign w:val="top"/>
            <w:shd w:fill="FFFFFF"/>
          </w:tcPr>
          <w:p>
            <w:pPr>
              <w:pStyle w:val="TableText"/>
              <w:keepNext w:val="0"/>
              <w:keepLines/>
            </w:pPr>
            <w:r>
              <w:t>Agreed design, installation, commissioning, training and upgrade contracts</w:t>
            </w:r>
          </w:p>
        </w:tc>
        <w:tc>
          <w:tcPr>
            <w:tcW w:type="dxa" w:w="4205"/>
            <w:vAlign w:val="top"/>
            <w:shd w:fill="FFFFFF"/>
          </w:tcPr>
          <w:p>
            <w:pPr>
              <w:pStyle w:val="TableText"/>
              <w:keepNext w:val="0"/>
              <w:keepLines/>
            </w:pPr>
            <w:r>
              <w:t>Materials, paid labour, contractors, freight, project work and warranty obligations.</w:t>
            </w:r>
          </w:p>
        </w:tc>
      </w:tr>
      <w:tr>
        <w:trPr>
          <w:cantSplit/>
        </w:trPr>
        <w:tc>
          <w:tcPr>
            <w:tcW w:type="dxa" w:w="2000"/>
            <w:vAlign w:val="top"/>
            <w:shd w:fill="EDF2EE"/>
          </w:tcPr>
          <w:p>
            <w:pPr>
              <w:pStyle w:val="TableText"/>
              <w:keepNext w:val="0"/>
              <w:keepLines/>
            </w:pPr>
            <w:r>
              <w:t>Network service</w:t>
            </w:r>
          </w:p>
        </w:tc>
        <w:tc>
          <w:tcPr>
            <w:tcW w:type="dxa" w:w="3947"/>
            <w:vAlign w:val="top"/>
            <w:shd w:fill="EDF2EE"/>
          </w:tcPr>
          <w:p>
            <w:pPr>
              <w:pStyle w:val="TableText"/>
              <w:keepNext w:val="0"/>
              <w:keepLines/>
            </w:pPr>
            <w:r>
              <w:t>Agreed booking, support, scenario, distribution and renewal-service fees</w:t>
            </w:r>
          </w:p>
        </w:tc>
        <w:tc>
          <w:tcPr>
            <w:tcW w:type="dxa" w:w="4205"/>
            <w:vAlign w:val="top"/>
            <w:shd w:fill="EDF2EE"/>
          </w:tcPr>
          <w:p>
            <w:pPr>
              <w:pStyle w:val="TableText"/>
              <w:keepNext w:val="0"/>
              <w:keepLines/>
            </w:pPr>
            <w:r>
              <w:t>Its own people, systems, processing, customer service and contracted delivery.</w:t>
            </w:r>
          </w:p>
        </w:tc>
      </w:tr>
    </w:tbl>
    <w:p>
      <w:pPr>
        <w:spacing w:after="20" w:before="0" w:line="240" w:lineRule="auto"/>
      </w:pPr>
      <w:r>
        <w:rPr>
          <w:sz w:val="6"/>
        </w:rPr>
      </w:r>
    </w:p>
    <w:p>
      <w:pPr/>
      <w:r>
        <w:t>For any structure eventually chosen, a consolidated report would eliminate transfers between related entities. An independent partner's revenue stays with that partner. A room sale and the operator's later ticket sales are different transactions at different times.</w:t>
      </w:r>
    </w:p>
    <w:p>
      <w:pPr/>
      <w:r>
        <w:t>Customer money committed to future services is tracked through the pass-settlement ledger. Grants, loans, equity, member capital and customer receipts each retain their actual financial character. An expression of interest and a guarantee are not cash receipts.</w:t>
      </w:r>
    </w:p>
    <w:p>
      <w:pPr>
        <w:pStyle w:val="SourceNote"/>
      </w:pPr>
      <w:r>
        <w:t xml:space="preserve">Sources: </w:t>
      </w:r>
      <w:hyperlink w:anchor="source_P05">
        <w:r>
          <w:rPr>
            <w:color w:val="275E67"/>
            <w:u w:val="single"/>
          </w:rPr>
          <w:t xml:space="preserve">P05</w:t>
        </w:r>
      </w:hyperlink>
      <w:r>
        <w:t xml:space="preserve">, </w:t>
      </w:r>
      <w:hyperlink w:anchor="source_P14">
        <w:r>
          <w:rPr>
            <w:color w:val="275E67"/>
            <w:u w:val="single"/>
          </w:rPr>
          <w:t xml:space="preserve">P14</w:t>
        </w:r>
      </w:hyperlink>
    </w:p>
    <w:p>
      <w:bookmarkStart w:id="38" w:name="s_finance_Products__available_s_6caa99"/>
      <w:pPr>
        <w:pStyle w:val="Heading2"/>
      </w:pPr>
      <w:r>
        <w:t>Products, available sessions and the sales mix</w:t>
      </w:r>
      <w:bookmarkEnd w:id="38"/>
    </w:p>
    <w:p>
      <w:pPr>
        <w:pStyle w:val="SourceNote"/>
        <w:keepNext/>
      </w:pPr>
      <w:r>
        <w:t>Worked illustration | 29 October 2026 | Quantities and business inputs are assumptions for comparison.</w:t>
      </w:r>
    </w:p>
    <w:p>
      <w:pPr/>
      <w:r>
        <w:t>Worked pricing illustration, dated 29 October 2026: $39 for school and youth, $59 for public groups and $99 for a workshop, including GST under the assumed taxable-sales treatment. These inherited values have no willingness-to-pay evidence and are not chosen prices. The scenario uses booking shares of 30%, 50% and 20%, with respective paid group sizes of 6, 4.5 and 5.5. The weighted average is 5.15 paid participants and $311.85 in receipts per sold team, or $283.50 excluding GST.</w:t>
      </w:r>
    </w:p>
    <w:p>
      <w:pPr/>
      <w:r>
        <w:t xml:space="preserve">Under the assumed timetable, the four-room illustration has 9,216 nominal team sessions. One assumed closed trading day per room each quarter removes 128 slots, leaving </w:t>
      </w:r>
      <w:r>
        <w:rPr>
          <w:b/>
        </w:rPr>
        <w:t>9,088 available sessions</w:t>
      </w:r>
      <w:r>
        <w:t>. The 48-week trading calendar separately leaves four weeks for closures and major work. Further downtime reduces the calendar when it occurs.</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3074"/>
        <w:gridCol w:w="1075"/>
        <w:gridCol w:w="1702"/>
        <w:gridCol w:w="1434"/>
        <w:gridCol w:w="1254"/>
        <w:gridCol w:w="1613"/>
      </w:tblGrid>
      <w:tr>
        <w:trPr>
          <w:cantSplit/>
          <w:tblHeader w:val="true"/>
        </w:trPr>
        <w:tc>
          <w:tcPr>
            <w:tcW w:type="dxa" w:w="3074"/>
            <w:vAlign w:val="center"/>
            <w:shd w:fill="203B4C"/>
          </w:tcPr>
          <w:p>
            <w:pPr>
              <w:pStyle w:val="TableHead"/>
              <w:keepNext/>
              <w:keepLines/>
            </w:pPr>
            <w:r>
              <w:rPr>
                <w:color w:val="FFFFFF"/>
              </w:rPr>
              <w:t>Operating format</w:t>
            </w:r>
          </w:p>
        </w:tc>
        <w:tc>
          <w:tcPr>
            <w:tcW w:type="dxa" w:w="1075"/>
            <w:vAlign w:val="center"/>
            <w:shd w:fill="203B4C"/>
          </w:tcPr>
          <w:p>
            <w:pPr>
              <w:pStyle w:val="TableHead"/>
              <w:keepNext/>
              <w:keepLines/>
              <w:jc w:val="center"/>
            </w:pPr>
            <w:r>
              <w:rPr>
                <w:color w:val="FFFFFF"/>
              </w:rPr>
              <w:t>Trading days</w:t>
            </w:r>
          </w:p>
        </w:tc>
        <w:tc>
          <w:tcPr>
            <w:tcW w:type="dxa" w:w="1702"/>
            <w:vAlign w:val="center"/>
            <w:shd w:fill="203B4C"/>
          </w:tcPr>
          <w:p>
            <w:pPr>
              <w:pStyle w:val="TableHead"/>
              <w:keepNext/>
              <w:keepLines/>
              <w:jc w:val="center"/>
            </w:pPr>
            <w:r>
              <w:rPr>
                <w:color w:val="FFFFFF"/>
              </w:rPr>
              <w:t>Starts per room/day</w:t>
            </w:r>
          </w:p>
        </w:tc>
        <w:tc>
          <w:tcPr>
            <w:tcW w:type="dxa" w:w="1434"/>
            <w:vAlign w:val="center"/>
            <w:shd w:fill="203B4C"/>
          </w:tcPr>
          <w:p>
            <w:pPr>
              <w:pStyle w:val="TableHead"/>
              <w:keepNext/>
              <w:keepLines/>
              <w:jc w:val="center"/>
            </w:pPr>
            <w:r>
              <w:rPr>
                <w:color w:val="FFFFFF"/>
              </w:rPr>
              <w:t>Nominal sessions</w:t>
            </w:r>
          </w:p>
        </w:tc>
        <w:tc>
          <w:tcPr>
            <w:tcW w:type="dxa" w:w="1254"/>
            <w:vAlign w:val="center"/>
            <w:shd w:fill="203B4C"/>
          </w:tcPr>
          <w:p>
            <w:pPr>
              <w:pStyle w:val="TableHead"/>
              <w:keepNext/>
              <w:keepLines/>
              <w:jc w:val="center"/>
            </w:pPr>
            <w:r>
              <w:rPr>
                <w:color w:val="FFFFFF"/>
              </w:rPr>
              <w:t>Renewal blocks</w:t>
            </w:r>
          </w:p>
        </w:tc>
        <w:tc>
          <w:tcPr>
            <w:tcW w:type="dxa" w:w="1613"/>
            <w:vAlign w:val="center"/>
            <w:shd w:fill="203B4C"/>
          </w:tcPr>
          <w:p>
            <w:pPr>
              <w:pStyle w:val="TableHead"/>
              <w:keepNext/>
              <w:keepLines/>
              <w:jc w:val="center"/>
            </w:pPr>
            <w:r>
              <w:rPr>
                <w:color w:val="FFFFFF"/>
              </w:rPr>
              <w:t>Available sessions</w:t>
            </w:r>
          </w:p>
        </w:tc>
      </w:tr>
      <w:tr>
        <w:trPr>
          <w:cantSplit/>
        </w:trPr>
        <w:tc>
          <w:tcPr>
            <w:tcW w:type="dxa" w:w="3074"/>
            <w:vAlign w:val="top"/>
            <w:shd w:fill="EDF2EE"/>
          </w:tcPr>
          <w:p>
            <w:pPr>
              <w:pStyle w:val="TableText"/>
              <w:keepNext w:val="0"/>
              <w:keepLines/>
            </w:pPr>
            <w:r>
              <w:t>Two-room paid pilot, 8 weeks</w:t>
            </w:r>
          </w:p>
        </w:tc>
        <w:tc>
          <w:tcPr>
            <w:tcW w:type="dxa" w:w="1075"/>
            <w:vAlign w:val="center"/>
            <w:shd w:fill="EDF2EE"/>
          </w:tcPr>
          <w:p>
            <w:pPr>
              <w:pStyle w:val="TableText"/>
              <w:keepNext w:val="0"/>
              <w:keepLines/>
              <w:jc w:val="center"/>
            </w:pPr>
            <w:r>
              <w:t>40</w:t>
            </w:r>
          </w:p>
        </w:tc>
        <w:tc>
          <w:tcPr>
            <w:tcW w:type="dxa" w:w="1702"/>
            <w:vAlign w:val="center"/>
            <w:shd w:fill="EDF2EE"/>
          </w:tcPr>
          <w:p>
            <w:pPr>
              <w:pStyle w:val="TableText"/>
              <w:keepNext w:val="0"/>
              <w:keepLines/>
              <w:jc w:val="center"/>
            </w:pPr>
            <w:r>
              <w:t>6</w:t>
            </w:r>
          </w:p>
        </w:tc>
        <w:tc>
          <w:tcPr>
            <w:tcW w:type="dxa" w:w="1434"/>
            <w:vAlign w:val="center"/>
            <w:shd w:fill="EDF2EE"/>
          </w:tcPr>
          <w:p>
            <w:pPr>
              <w:pStyle w:val="TableText"/>
              <w:keepNext w:val="0"/>
              <w:keepLines/>
              <w:jc w:val="center"/>
            </w:pPr>
            <w:r>
              <w:t>480</w:t>
            </w:r>
          </w:p>
        </w:tc>
        <w:tc>
          <w:tcPr>
            <w:tcW w:type="dxa" w:w="1254"/>
            <w:vAlign w:val="center"/>
            <w:shd w:fill="EDF2EE"/>
          </w:tcPr>
          <w:p>
            <w:pPr>
              <w:pStyle w:val="TableText"/>
              <w:keepNext w:val="0"/>
              <w:keepLines/>
              <w:jc w:val="center"/>
            </w:pPr>
            <w:r>
              <w:t>12</w:t>
            </w:r>
          </w:p>
        </w:tc>
        <w:tc>
          <w:tcPr>
            <w:tcW w:type="dxa" w:w="1613"/>
            <w:vAlign w:val="center"/>
            <w:shd w:fill="EDF2EE"/>
          </w:tcPr>
          <w:p>
            <w:pPr>
              <w:pStyle w:val="TableText"/>
              <w:keepNext w:val="0"/>
              <w:keepLines/>
              <w:jc w:val="center"/>
            </w:pPr>
            <w:r>
              <w:t>468</w:t>
            </w:r>
          </w:p>
        </w:tc>
      </w:tr>
      <w:tr>
        <w:trPr>
          <w:cantSplit/>
        </w:trPr>
        <w:tc>
          <w:tcPr>
            <w:tcW w:type="dxa" w:w="3074"/>
            <w:vAlign w:val="top"/>
            <w:shd w:fill="FFFFFF"/>
          </w:tcPr>
          <w:p>
            <w:pPr>
              <w:pStyle w:val="TableText"/>
              <w:keepNext w:val="0"/>
              <w:keepLines/>
            </w:pPr>
            <w:r>
              <w:t>Two-room hosted partner, 46 weeks</w:t>
            </w:r>
          </w:p>
        </w:tc>
        <w:tc>
          <w:tcPr>
            <w:tcW w:type="dxa" w:w="1075"/>
            <w:vAlign w:val="center"/>
            <w:shd w:fill="FFFFFF"/>
          </w:tcPr>
          <w:p>
            <w:pPr>
              <w:pStyle w:val="TableText"/>
              <w:keepNext w:val="0"/>
              <w:keepLines/>
              <w:jc w:val="center"/>
            </w:pPr>
            <w:r>
              <w:t>230</w:t>
            </w:r>
          </w:p>
        </w:tc>
        <w:tc>
          <w:tcPr>
            <w:tcW w:type="dxa" w:w="1702"/>
            <w:vAlign w:val="center"/>
            <w:shd w:fill="FFFFFF"/>
          </w:tcPr>
          <w:p>
            <w:pPr>
              <w:pStyle w:val="TableText"/>
              <w:keepNext w:val="0"/>
              <w:keepLines/>
              <w:jc w:val="center"/>
            </w:pPr>
            <w:r>
              <w:t>6</w:t>
            </w:r>
          </w:p>
        </w:tc>
        <w:tc>
          <w:tcPr>
            <w:tcW w:type="dxa" w:w="1434"/>
            <w:vAlign w:val="center"/>
            <w:shd w:fill="FFFFFF"/>
          </w:tcPr>
          <w:p>
            <w:pPr>
              <w:pStyle w:val="TableText"/>
              <w:keepNext w:val="0"/>
              <w:keepLines/>
              <w:jc w:val="center"/>
            </w:pPr>
            <w:r>
              <w:t>2,760</w:t>
            </w:r>
          </w:p>
        </w:tc>
        <w:tc>
          <w:tcPr>
            <w:tcW w:type="dxa" w:w="1254"/>
            <w:vAlign w:val="center"/>
            <w:shd w:fill="FFFFFF"/>
          </w:tcPr>
          <w:p>
            <w:pPr>
              <w:pStyle w:val="TableText"/>
              <w:keepNext w:val="0"/>
              <w:keepLines/>
              <w:jc w:val="center"/>
            </w:pPr>
            <w:r>
              <w:t>48</w:t>
            </w:r>
          </w:p>
        </w:tc>
        <w:tc>
          <w:tcPr>
            <w:tcW w:type="dxa" w:w="1613"/>
            <w:vAlign w:val="center"/>
            <w:shd w:fill="FFFFFF"/>
          </w:tcPr>
          <w:p>
            <w:pPr>
              <w:pStyle w:val="TableText"/>
              <w:keepNext w:val="0"/>
              <w:keepLines/>
              <w:jc w:val="center"/>
            </w:pPr>
            <w:r>
              <w:t>2,712</w:t>
            </w:r>
          </w:p>
        </w:tc>
      </w:tr>
      <w:tr>
        <w:trPr>
          <w:cantSplit/>
        </w:trPr>
        <w:tc>
          <w:tcPr>
            <w:tcW w:type="dxa" w:w="3074"/>
            <w:vAlign w:val="top"/>
            <w:shd w:fill="EDF2EE"/>
          </w:tcPr>
          <w:p>
            <w:pPr>
              <w:pStyle w:val="TableText"/>
              <w:keepNext w:val="0"/>
              <w:keepLines/>
            </w:pPr>
            <w:r>
              <w:t>Four-room reference, 48 weeks</w:t>
            </w:r>
          </w:p>
        </w:tc>
        <w:tc>
          <w:tcPr>
            <w:tcW w:type="dxa" w:w="1075"/>
            <w:vAlign w:val="center"/>
            <w:shd w:fill="EDF2EE"/>
          </w:tcPr>
          <w:p>
            <w:pPr>
              <w:pStyle w:val="TableText"/>
              <w:keepNext w:val="0"/>
              <w:keepLines/>
              <w:jc w:val="center"/>
            </w:pPr>
            <w:r>
              <w:t>288</w:t>
            </w:r>
          </w:p>
        </w:tc>
        <w:tc>
          <w:tcPr>
            <w:tcW w:type="dxa" w:w="1702"/>
            <w:vAlign w:val="center"/>
            <w:shd w:fill="EDF2EE"/>
          </w:tcPr>
          <w:p>
            <w:pPr>
              <w:pStyle w:val="TableText"/>
              <w:keepNext w:val="0"/>
              <w:keepLines/>
              <w:jc w:val="center"/>
            </w:pPr>
            <w:r>
              <w:t>8</w:t>
            </w:r>
          </w:p>
        </w:tc>
        <w:tc>
          <w:tcPr>
            <w:tcW w:type="dxa" w:w="1434"/>
            <w:vAlign w:val="center"/>
            <w:shd w:fill="EDF2EE"/>
          </w:tcPr>
          <w:p>
            <w:pPr>
              <w:pStyle w:val="TableText"/>
              <w:keepNext w:val="0"/>
              <w:keepLines/>
              <w:jc w:val="center"/>
            </w:pPr>
            <w:r>
              <w:t>9,216</w:t>
            </w:r>
          </w:p>
        </w:tc>
        <w:tc>
          <w:tcPr>
            <w:tcW w:type="dxa" w:w="1254"/>
            <w:vAlign w:val="center"/>
            <w:shd w:fill="EDF2EE"/>
          </w:tcPr>
          <w:p>
            <w:pPr>
              <w:pStyle w:val="TableText"/>
              <w:keepNext w:val="0"/>
              <w:keepLines/>
              <w:jc w:val="center"/>
            </w:pPr>
            <w:r>
              <w:t>128</w:t>
            </w:r>
          </w:p>
        </w:tc>
        <w:tc>
          <w:tcPr>
            <w:tcW w:type="dxa" w:w="1613"/>
            <w:vAlign w:val="center"/>
            <w:shd w:fill="EDF2EE"/>
          </w:tcPr>
          <w:p>
            <w:pPr>
              <w:pStyle w:val="TableText"/>
              <w:keepNext w:val="0"/>
              <w:keepLines/>
              <w:jc w:val="center"/>
            </w:pPr>
            <w:r>
              <w:t>9,088</w:t>
            </w:r>
          </w:p>
        </w:tc>
      </w:tr>
      <w:tr>
        <w:trPr>
          <w:cantSplit/>
        </w:trPr>
        <w:tc>
          <w:tcPr>
            <w:tcW w:type="dxa" w:w="3074"/>
            <w:vAlign w:val="top"/>
            <w:shd w:fill="FFFFFF"/>
          </w:tcPr>
          <w:p>
            <w:pPr>
              <w:pStyle w:val="TableText"/>
              <w:keepNext w:val="0"/>
              <w:keepLines/>
            </w:pPr>
            <w:r>
              <w:t>Four-room alternative, 75-minute cycle</w:t>
            </w:r>
          </w:p>
        </w:tc>
        <w:tc>
          <w:tcPr>
            <w:tcW w:type="dxa" w:w="1075"/>
            <w:vAlign w:val="center"/>
            <w:shd w:fill="FFFFFF"/>
          </w:tcPr>
          <w:p>
            <w:pPr>
              <w:pStyle w:val="TableText"/>
              <w:keepNext w:val="0"/>
              <w:keepLines/>
              <w:jc w:val="center"/>
            </w:pPr>
            <w:r>
              <w:t>288</w:t>
            </w:r>
          </w:p>
        </w:tc>
        <w:tc>
          <w:tcPr>
            <w:tcW w:type="dxa" w:w="1702"/>
            <w:vAlign w:val="center"/>
            <w:shd w:fill="FFFFFF"/>
          </w:tcPr>
          <w:p>
            <w:pPr>
              <w:pStyle w:val="TableText"/>
              <w:keepNext w:val="0"/>
              <w:keepLines/>
              <w:jc w:val="center"/>
            </w:pPr>
            <w:r>
              <w:t>7</w:t>
            </w:r>
          </w:p>
        </w:tc>
        <w:tc>
          <w:tcPr>
            <w:tcW w:type="dxa" w:w="1434"/>
            <w:vAlign w:val="center"/>
            <w:shd w:fill="FFFFFF"/>
          </w:tcPr>
          <w:p>
            <w:pPr>
              <w:pStyle w:val="TableText"/>
              <w:keepNext w:val="0"/>
              <w:keepLines/>
              <w:jc w:val="center"/>
            </w:pPr>
            <w:r>
              <w:t>8,064</w:t>
            </w:r>
          </w:p>
        </w:tc>
        <w:tc>
          <w:tcPr>
            <w:tcW w:type="dxa" w:w="1254"/>
            <w:vAlign w:val="center"/>
            <w:shd w:fill="FFFFFF"/>
          </w:tcPr>
          <w:p>
            <w:pPr>
              <w:pStyle w:val="TableText"/>
              <w:keepNext w:val="0"/>
              <w:keepLines/>
              <w:jc w:val="center"/>
            </w:pPr>
            <w:r>
              <w:t>112</w:t>
            </w:r>
          </w:p>
        </w:tc>
        <w:tc>
          <w:tcPr>
            <w:tcW w:type="dxa" w:w="1613"/>
            <w:vAlign w:val="center"/>
            <w:shd w:fill="FFFFFF"/>
          </w:tcPr>
          <w:p>
            <w:pPr>
              <w:pStyle w:val="TableText"/>
              <w:keepNext w:val="0"/>
              <w:keepLines/>
              <w:jc w:val="center"/>
            </w:pPr>
            <w:r>
              <w:t>7,952</w:t>
            </w:r>
          </w:p>
        </w:tc>
      </w:tr>
    </w:tbl>
    <w:p>
      <w:pPr>
        <w:spacing w:after="20" w:before="0" w:line="240" w:lineRule="auto"/>
      </w:pPr>
      <w:r>
        <w:rPr>
          <w:sz w:val="6"/>
        </w:rPr>
      </w:r>
    </w:p>
    <w:p>
      <w:pPr/>
      <w:r>
        <w:t>These are capacity comparisons, not operating commitments or demand forecasts. The two-room examples use five ordinary-rate operating days per week. The four-room example uses five ordinary days plus Sunday. Calendar and wage treatment are changed together for an actual site.</w:t>
      </w:r>
    </w:p>
    <w:p>
      <w:bookmarkStart w:id="39" w:name="s_finance_Published_wage_inputs_e8b5de"/>
      <w:pPr>
        <w:pStyle w:val="Heading2"/>
      </w:pPr>
      <w:r>
        <w:t>Published wage inputs and paid task time</w:t>
      </w:r>
      <w:bookmarkEnd w:id="39"/>
    </w:p>
    <w:p>
      <w:pPr>
        <w:pStyle w:val="SourceNote"/>
        <w:keepNext/>
      </w:pPr>
      <w:r>
        <w:t>Worked illustration | 29 October 2026 | Quantities and business inputs are assumptions for comparison.</w:t>
      </w:r>
    </w:p>
    <w:p>
      <w:pPr/>
      <w:r>
        <w:t>Source comparison rechecked 29 October 2026: the Amusement, Events and Recreation Award publishes adult casual Grade 4 rates of $36.81 for ordinary hours and $51.54 for Sunday, and Grade 6 rates of $39.11 and $54.76. The official ATO Payday Super source states a 12% rate from 1 July 2026, with the qualifying-earnings and payment rules relevant to payroll. [</w:t>
      </w:r>
      <w:hyperlink w:anchor="source_R125">
        <w:r>
          <w:rPr>
            <w:color w:val="275E67"/>
            <w:u w:val="single"/>
          </w:rPr>
          <w:t xml:space="preserve">R125</w:t>
        </w:r>
      </w:hyperlink>
      <w:r>
        <w:t>] These two wage bands are transparent examples for estimating the roster; actual award coverage, classification, agreed pay, overtime and allowances are determined from each job. [</w:t>
      </w:r>
      <w:hyperlink w:anchor="source_R101">
        <w:r>
          <w:rPr>
            <w:color w:val="275E67"/>
            <w:u w:val="single"/>
          </w:rPr>
          <w:t xml:space="preserve">R101</w:t>
        </w:r>
      </w:hyperlink>
      <w:r>
        <w:t xml:space="preserve">, </w:t>
      </w:r>
      <w:hyperlink w:anchor="source_R102">
        <w:r>
          <w:rPr>
            <w:color w:val="275E67"/>
            <w:u w:val="single"/>
          </w:rPr>
          <w:t xml:space="preserve">R102</w:t>
        </w:r>
      </w:hyperlink>
      <w:r>
        <w:t>]</w:t>
      </w:r>
    </w:p>
    <w:p>
      <w:pPr/>
      <w:r>
        <w:t>For a six-day pattern with five ordinary days and one Sunday, the weighted rates including super are $43.9768 and $46.724533 per hour. These are wages plus super, not fully loaded contractor rates.</w:t>
      </w:r>
    </w:p>
    <w:p>
      <w:pPr/>
      <w:r>
        <w:t>The worked staffing calculation allows for two baseline roles across 11 hours a day. Across 288 days that is 3,168 hours per role. Additional paid time for each team is itemised as 35 minutes of reflection preparation, delivery and notes at the second rate, and 25 minutes of reset, handover and relief at the first rate. Premium bookings add 45 minutes at the second rate. The booking mix gives $52.588324 in additional wages plus super per sold team.</w:t>
      </w:r>
    </w:p>
    <w:p>
      <w:pPr/>
      <w:r>
        <w:t>A peak operating roster still needs reception, dedicated monitoring, reset work and two overlapping reflection facilitators, plus a premium facilitator when booked. The annual task allowance must be converted to real shifts with breaks, minimum engagements, school supervision and access support. Any additional paid shift time is an added cost. Management, Luke's programme work, insurance, payroll tax where applicable, training and specialist contractor charges are separate.</w:t>
      </w:r>
    </w:p>
    <w:p>
      <w:pPr>
        <w:pStyle w:val="SourceNote"/>
      </w:pPr>
      <w:r>
        <w:t xml:space="preserve">Sources: </w:t>
      </w:r>
      <w:hyperlink w:anchor="source_R101">
        <w:r>
          <w:rPr>
            <w:color w:val="275E67"/>
            <w:u w:val="single"/>
          </w:rPr>
          <w:t xml:space="preserve">R101</w:t>
        </w:r>
      </w:hyperlink>
      <w:r>
        <w:t xml:space="preserve">, </w:t>
      </w:r>
      <w:hyperlink w:anchor="source_R102">
        <w:r>
          <w:rPr>
            <w:color w:val="275E67"/>
            <w:u w:val="single"/>
          </w:rPr>
          <w:t xml:space="preserve">R102</w:t>
        </w:r>
      </w:hyperlink>
      <w:r>
        <w:t xml:space="preserve">, </w:t>
      </w:r>
      <w:hyperlink w:anchor="source_R125">
        <w:r>
          <w:rPr>
            <w:color w:val="275E67"/>
            <w:u w:val="single"/>
          </w:rPr>
          <w:t xml:space="preserve">R125</w:t>
        </w:r>
      </w:hyperlink>
    </w:p>
    <w:p>
      <w:bookmarkStart w:id="40" w:name="s_finance_Coverage_hours_and_ro_b787e5"/>
      <w:pPr>
        <w:pStyle w:val="Heading2"/>
      </w:pPr>
      <w:r>
        <w:t>Coverage hours and roster construction</w:t>
      </w:r>
      <w:bookmarkEnd w:id="40"/>
    </w:p>
    <w:p>
      <w:pPr>
        <w:pStyle w:val="SourceNote"/>
        <w:keepNext/>
      </w:pPr>
      <w:r>
        <w:t>Worked illustration | 29 October 2026 | Quantities and business inputs are assumptions for comparison.</w:t>
      </w:r>
    </w:p>
    <w:p>
      <w:pPr/>
      <w:r>
        <w:t>This worked labour calculation represents assumed coverage and defined tasks. It does not assume that a person works an eleven-hour ordinary casual shift. The four-room illustration assumes one monitor/control position and one host/operations position for eleven hours each trading day, shared across a roster. The extra task minutes are paid in addition to that baseline. At the 50% booking case, they reconcile as follows.</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3058"/>
        <w:gridCol w:w="3285"/>
        <w:gridCol w:w="3808"/>
      </w:tblGrid>
      <w:tr>
        <w:trPr>
          <w:cantSplit/>
          <w:tblHeader w:val="true"/>
        </w:trPr>
        <w:tc>
          <w:tcPr>
            <w:tcW w:type="dxa" w:w="3058"/>
            <w:vAlign w:val="center"/>
            <w:shd w:fill="203B4C"/>
          </w:tcPr>
          <w:p>
            <w:pPr>
              <w:pStyle w:val="TableHead"/>
              <w:keepNext/>
              <w:keepLines/>
            </w:pPr>
            <w:r>
              <w:rPr>
                <w:color w:val="FFFFFF"/>
              </w:rPr>
              <w:t>Work package</w:t>
            </w:r>
          </w:p>
        </w:tc>
        <w:tc>
          <w:tcPr>
            <w:tcW w:type="dxa" w:w="3285"/>
            <w:vAlign w:val="center"/>
            <w:shd w:fill="203B4C"/>
          </w:tcPr>
          <w:p>
            <w:pPr>
              <w:pStyle w:val="TableHead"/>
              <w:keepNext/>
              <w:keepLines/>
            </w:pPr>
            <w:r>
              <w:rPr>
                <w:color w:val="FFFFFF"/>
              </w:rPr>
              <w:t>Calculation</w:t>
            </w:r>
          </w:p>
        </w:tc>
        <w:tc>
          <w:tcPr>
            <w:tcW w:type="dxa" w:w="3808"/>
            <w:vAlign w:val="center"/>
            <w:shd w:fill="203B4C"/>
          </w:tcPr>
          <w:p>
            <w:pPr>
              <w:pStyle w:val="TableHead"/>
              <w:keepNext/>
              <w:keepLines/>
              <w:jc w:val="center"/>
            </w:pPr>
            <w:r>
              <w:rPr>
                <w:color w:val="FFFFFF"/>
              </w:rPr>
              <w:t>Annual paid hours before roster adjustment</w:t>
            </w:r>
          </w:p>
        </w:tc>
      </w:tr>
      <w:tr>
        <w:trPr>
          <w:cantSplit/>
        </w:trPr>
        <w:tc>
          <w:tcPr>
            <w:tcW w:type="dxa" w:w="3058"/>
            <w:vAlign w:val="top"/>
            <w:shd w:fill="EDF2EE"/>
          </w:tcPr>
          <w:p>
            <w:pPr>
              <w:pStyle w:val="TableText"/>
              <w:keepNext w:val="0"/>
              <w:keepLines/>
            </w:pPr>
            <w:r>
              <w:t>Baseline coverage</w:t>
            </w:r>
          </w:p>
        </w:tc>
        <w:tc>
          <w:tcPr>
            <w:tcW w:type="dxa" w:w="3285"/>
            <w:vAlign w:val="top"/>
            <w:shd w:fill="EDF2EE"/>
          </w:tcPr>
          <w:p>
            <w:pPr>
              <w:pStyle w:val="TableText"/>
              <w:keepNext w:val="0"/>
              <w:keepLines/>
            </w:pPr>
            <w:r>
              <w:t>2 positions × 11 hours × 288 days</w:t>
            </w:r>
          </w:p>
        </w:tc>
        <w:tc>
          <w:tcPr>
            <w:tcW w:type="dxa" w:w="3808"/>
            <w:vAlign w:val="center"/>
            <w:shd w:fill="EDF2EE"/>
          </w:tcPr>
          <w:p>
            <w:pPr>
              <w:pStyle w:val="TableText"/>
              <w:keepNext w:val="0"/>
              <w:keepLines/>
              <w:jc w:val="center"/>
            </w:pPr>
            <w:r>
              <w:t>6,336.00</w:t>
            </w:r>
          </w:p>
        </w:tc>
      </w:tr>
      <w:tr>
        <w:trPr>
          <w:cantSplit/>
        </w:trPr>
        <w:tc>
          <w:tcPr>
            <w:tcW w:type="dxa" w:w="3058"/>
            <w:vAlign w:val="top"/>
            <w:shd w:fill="FFFFFF"/>
          </w:tcPr>
          <w:p>
            <w:pPr>
              <w:pStyle w:val="TableText"/>
              <w:keepNext w:val="0"/>
              <w:keepLines/>
            </w:pPr>
            <w:r>
              <w:t>Reset, handover and relief</w:t>
            </w:r>
          </w:p>
        </w:tc>
        <w:tc>
          <w:tcPr>
            <w:tcW w:type="dxa" w:w="3285"/>
            <w:vAlign w:val="top"/>
            <w:shd w:fill="FFFFFF"/>
          </w:tcPr>
          <w:p>
            <w:pPr>
              <w:pStyle w:val="TableText"/>
              <w:keepNext w:val="0"/>
              <w:keepLines/>
            </w:pPr>
            <w:r>
              <w:t>4,544 teams × 25 minutes</w:t>
            </w:r>
          </w:p>
        </w:tc>
        <w:tc>
          <w:tcPr>
            <w:tcW w:type="dxa" w:w="3808"/>
            <w:vAlign w:val="center"/>
            <w:shd w:fill="FFFFFF"/>
          </w:tcPr>
          <w:p>
            <w:pPr>
              <w:pStyle w:val="TableText"/>
              <w:keepNext w:val="0"/>
              <w:keepLines/>
              <w:jc w:val="center"/>
            </w:pPr>
            <w:r>
              <w:t>1,893.33</w:t>
            </w:r>
          </w:p>
        </w:tc>
      </w:tr>
      <w:tr>
        <w:trPr>
          <w:cantSplit/>
        </w:trPr>
        <w:tc>
          <w:tcPr>
            <w:tcW w:type="dxa" w:w="3058"/>
            <w:vAlign w:val="top"/>
            <w:shd w:fill="EDF2EE"/>
          </w:tcPr>
          <w:p>
            <w:pPr>
              <w:pStyle w:val="TableText"/>
              <w:keepNext w:val="0"/>
              <w:keepLines/>
            </w:pPr>
            <w:r>
              <w:t>Reflection preparation, delivery and notes</w:t>
            </w:r>
          </w:p>
        </w:tc>
        <w:tc>
          <w:tcPr>
            <w:tcW w:type="dxa" w:w="3285"/>
            <w:vAlign w:val="top"/>
            <w:shd w:fill="EDF2EE"/>
          </w:tcPr>
          <w:p>
            <w:pPr>
              <w:pStyle w:val="TableText"/>
              <w:keepNext w:val="0"/>
              <w:keepLines/>
            </w:pPr>
            <w:r>
              <w:t>4,544 teams × 35 minutes</w:t>
            </w:r>
          </w:p>
        </w:tc>
        <w:tc>
          <w:tcPr>
            <w:tcW w:type="dxa" w:w="3808"/>
            <w:vAlign w:val="center"/>
            <w:shd w:fill="EDF2EE"/>
          </w:tcPr>
          <w:p>
            <w:pPr>
              <w:pStyle w:val="TableText"/>
              <w:keepNext w:val="0"/>
              <w:keepLines/>
              <w:jc w:val="center"/>
            </w:pPr>
            <w:r>
              <w:t>2,650.67</w:t>
            </w:r>
          </w:p>
        </w:tc>
      </w:tr>
      <w:tr>
        <w:trPr>
          <w:cantSplit/>
        </w:trPr>
        <w:tc>
          <w:tcPr>
            <w:tcW w:type="dxa" w:w="3058"/>
            <w:vAlign w:val="top"/>
            <w:shd w:fill="FFFFFF"/>
          </w:tcPr>
          <w:p>
            <w:pPr>
              <w:pStyle w:val="TableText"/>
              <w:keepNext w:val="0"/>
              <w:keepLines/>
            </w:pPr>
            <w:r>
              <w:t>Premium workshop</w:t>
            </w:r>
          </w:p>
        </w:tc>
        <w:tc>
          <w:tcPr>
            <w:tcW w:type="dxa" w:w="3285"/>
            <w:vAlign w:val="top"/>
            <w:shd w:fill="FFFFFF"/>
          </w:tcPr>
          <w:p>
            <w:pPr>
              <w:pStyle w:val="TableText"/>
              <w:keepNext w:val="0"/>
              <w:keepLines/>
            </w:pPr>
            <w:r>
              <w:t>4,544 teams × 20% × 45 minutes</w:t>
            </w:r>
          </w:p>
        </w:tc>
        <w:tc>
          <w:tcPr>
            <w:tcW w:type="dxa" w:w="3808"/>
            <w:vAlign w:val="center"/>
            <w:shd w:fill="FFFFFF"/>
          </w:tcPr>
          <w:p>
            <w:pPr>
              <w:pStyle w:val="TableText"/>
              <w:keepNext w:val="0"/>
              <w:keepLines/>
              <w:jc w:val="center"/>
            </w:pPr>
            <w:r>
              <w:t>681.60</w:t>
            </w:r>
          </w:p>
        </w:tc>
      </w:tr>
      <w:tr>
        <w:trPr>
          <w:cantSplit/>
        </w:trPr>
        <w:tc>
          <w:tcPr>
            <w:tcW w:type="dxa" w:w="3058"/>
            <w:vAlign w:val="top"/>
            <w:shd w:fill="EDF2EE"/>
          </w:tcPr>
          <w:p>
            <w:pPr>
              <w:pStyle w:val="TableText"/>
              <w:keepNext w:val="0"/>
              <w:keepLines/>
            </w:pPr>
            <w:r>
              <w:t>Total work-hour benchmark</w:t>
            </w:r>
          </w:p>
        </w:tc>
        <w:tc>
          <w:tcPr>
            <w:tcW w:type="dxa" w:w="3285"/>
            <w:vAlign w:val="top"/>
            <w:shd w:fill="EDF2EE"/>
          </w:tcPr>
          <w:p>
            <w:pPr>
              <w:pStyle w:val="TableText"/>
              <w:keepNext w:val="0"/>
              <w:keepLines/>
            </w:pPr>
            <w:r>
              <w:t>Sum of the four packages</w:t>
            </w:r>
          </w:p>
        </w:tc>
        <w:tc>
          <w:tcPr>
            <w:tcW w:type="dxa" w:w="3808"/>
            <w:vAlign w:val="center"/>
            <w:shd w:fill="EDF2EE"/>
          </w:tcPr>
          <w:p>
            <w:pPr>
              <w:pStyle w:val="TableText"/>
              <w:keepNext w:val="0"/>
              <w:keepLines/>
              <w:jc w:val="center"/>
            </w:pPr>
            <w:r>
              <w:t>11,561.60</w:t>
            </w:r>
          </w:p>
        </w:tc>
      </w:tr>
    </w:tbl>
    <w:p>
      <w:pPr>
        <w:spacing w:after="20" w:before="0" w:line="240" w:lineRule="auto"/>
      </w:pPr>
      <w:r>
        <w:rPr>
          <w:sz w:val="6"/>
        </w:rPr>
      </w:r>
    </w:p>
    <w:p>
      <w:pPr/>
      <w:r>
        <w:t>Under the award used as the published wage benchmark, casual ordinary hours are limited to ten per day and thirty-eight per week. The usual casual minimum engagement is three hours; Sunday work has a four-hour minimum. Final coverage, classification, breaks and shift construction need an actual roster. [</w:t>
      </w:r>
      <w:hyperlink w:anchor="source_R101">
        <w:r>
          <w:rPr>
            <w:color w:val="275E67"/>
            <w:u w:val="single"/>
          </w:rPr>
          <w:t xml:space="preserve">R101</w:t>
        </w:r>
      </w:hyperlink>
      <w:r>
        <w:t>]</w:t>
      </w:r>
    </w:p>
    <w:p>
      <w:pPr/>
      <w:r>
        <w:t>This is why the model does not promise that 35 task minutes can be purchased as an isolated 35-minute shift. Cluster bookings, schedule minimum-length shifts, and measure the difference between task hours and paid hours. Add simultaneous demand, break coverage beyond the relief minutes, child and accessibility support, management and other named duties where needed. These differences remain visible in the quote register, rather than being called free founder labour.</w:t>
      </w:r>
    </w:p>
    <w:p>
      <w:pPr/>
      <w:r>
        <w:t>The 75-minute cycle means 45 minutes of independent play, 15 minutes of reset and 15 minutes of timetable buffer. It adds five paid reset minutes per sold team to the standard case and reduces the offer to seven starts per room per day. The game remains 45 minutes.</w:t>
      </w:r>
    </w:p>
    <w:p>
      <w:pPr>
        <w:pStyle w:val="SourceNote"/>
      </w:pPr>
      <w:r>
        <w:t xml:space="preserve">Sources: </w:t>
      </w:r>
      <w:hyperlink w:anchor="source_R101">
        <w:r>
          <w:rPr>
            <w:color w:val="275E67"/>
            <w:u w:val="single"/>
          </w:rPr>
          <w:t xml:space="preserve">R101</w:t>
        </w:r>
      </w:hyperlink>
      <w:r>
        <w:t xml:space="preserve">, </w:t>
      </w:r>
      <w:hyperlink w:anchor="source_R102">
        <w:r>
          <w:rPr>
            <w:color w:val="275E67"/>
            <w:u w:val="single"/>
          </w:rPr>
          <w:t xml:space="preserve">R102</w:t>
        </w:r>
      </w:hyperlink>
    </w:p>
    <w:p>
      <w:bookmarkStart w:id="41" w:name="s_finance_Turnover_and_the_amou_d1be86"/>
      <w:pPr>
        <w:pStyle w:val="Heading2"/>
      </w:pPr>
      <w:r>
        <w:t>Turnover and the amount available for remaining costs</w:t>
      </w:r>
      <w:bookmarkEnd w:id="41"/>
    </w:p>
    <w:p>
      <w:pPr>
        <w:pStyle w:val="SourceNote"/>
        <w:keepNext/>
      </w:pPr>
      <w:r>
        <w:t>Worked illustration | 29 October 2026 | Quantities and business inputs are assumptions for comparison.</w:t>
      </w:r>
    </w:p>
    <w:p>
      <w:pPr/>
      <w:r>
        <w:t>Worked illustration, 29 October 2026: the table calculates the amount remaining after only the stated labour and payment-processing assumptions. The 30%, 50% and 70% sold shares are sensitivity inputs without demand evidence. It cannot be called profit while the named site and service packages remain unquoted.</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4646"/>
        <w:gridCol w:w="2984"/>
        <w:gridCol w:w="1261"/>
        <w:gridCol w:w="1261"/>
      </w:tblGrid>
      <w:tr>
        <w:trPr>
          <w:cantSplit/>
          <w:tblHeader w:val="true"/>
        </w:trPr>
        <w:tc>
          <w:tcPr>
            <w:tcW w:type="dxa" w:w="4646"/>
            <w:vAlign w:val="center"/>
            <w:shd w:fill="203B4C"/>
          </w:tcPr>
          <w:p>
            <w:pPr>
              <w:pStyle w:val="TableHead"/>
              <w:keepNext/>
              <w:keepLines/>
            </w:pPr>
            <w:r>
              <w:rPr>
                <w:color w:val="FFFFFF"/>
              </w:rPr>
              <w:t>Four-room reference</w:t>
            </w:r>
          </w:p>
        </w:tc>
        <w:tc>
          <w:tcPr>
            <w:tcW w:type="dxa" w:w="2984"/>
            <w:vAlign w:val="center"/>
            <w:shd w:fill="203B4C"/>
          </w:tcPr>
          <w:p>
            <w:pPr>
              <w:pStyle w:val="TableHead"/>
              <w:keepNext/>
              <w:keepLines/>
              <w:jc w:val="center"/>
            </w:pPr>
            <w:r>
              <w:rPr>
                <w:color w:val="FFFFFF"/>
              </w:rPr>
              <w:t>30% of available sessions sold</w:t>
            </w:r>
          </w:p>
        </w:tc>
        <w:tc>
          <w:tcPr>
            <w:tcW w:type="dxa" w:w="1261"/>
            <w:vAlign w:val="center"/>
            <w:shd w:fill="203B4C"/>
          </w:tcPr>
          <w:p>
            <w:pPr>
              <w:pStyle w:val="TableHead"/>
              <w:keepNext/>
              <w:keepLines/>
              <w:jc w:val="center"/>
            </w:pPr>
            <w:r>
              <w:rPr>
                <w:color w:val="FFFFFF"/>
              </w:rPr>
              <w:t>50% sold</w:t>
            </w:r>
          </w:p>
        </w:tc>
        <w:tc>
          <w:tcPr>
            <w:tcW w:type="dxa" w:w="1261"/>
            <w:vAlign w:val="center"/>
            <w:shd w:fill="203B4C"/>
          </w:tcPr>
          <w:p>
            <w:pPr>
              <w:pStyle w:val="TableHead"/>
              <w:keepNext/>
              <w:keepLines/>
              <w:jc w:val="center"/>
            </w:pPr>
            <w:r>
              <w:rPr>
                <w:color w:val="FFFFFF"/>
              </w:rPr>
              <w:t>70% sold</w:t>
            </w:r>
          </w:p>
        </w:tc>
      </w:tr>
      <w:tr>
        <w:trPr>
          <w:cantSplit/>
        </w:trPr>
        <w:tc>
          <w:tcPr>
            <w:tcW w:type="dxa" w:w="4646"/>
            <w:vAlign w:val="top"/>
            <w:shd w:fill="EDF2EE"/>
          </w:tcPr>
          <w:p>
            <w:pPr>
              <w:pStyle w:val="TableText"/>
              <w:keepNext w:val="0"/>
              <w:keepLines/>
            </w:pPr>
            <w:r>
              <w:t>Sold team sessions</w:t>
            </w:r>
          </w:p>
        </w:tc>
        <w:tc>
          <w:tcPr>
            <w:tcW w:type="dxa" w:w="2984"/>
            <w:vAlign w:val="center"/>
            <w:shd w:fill="EDF2EE"/>
          </w:tcPr>
          <w:p>
            <w:pPr>
              <w:pStyle w:val="TableText"/>
              <w:keepNext w:val="0"/>
              <w:keepLines/>
              <w:jc w:val="center"/>
            </w:pPr>
            <w:r>
              <w:t>2,726</w:t>
            </w:r>
          </w:p>
        </w:tc>
        <w:tc>
          <w:tcPr>
            <w:tcW w:type="dxa" w:w="1261"/>
            <w:vAlign w:val="center"/>
            <w:shd w:fill="EDF2EE"/>
          </w:tcPr>
          <w:p>
            <w:pPr>
              <w:pStyle w:val="TableText"/>
              <w:keepNext w:val="0"/>
              <w:keepLines/>
              <w:jc w:val="center"/>
            </w:pPr>
            <w:r>
              <w:t>4,544</w:t>
            </w:r>
          </w:p>
        </w:tc>
        <w:tc>
          <w:tcPr>
            <w:tcW w:type="dxa" w:w="1261"/>
            <w:vAlign w:val="center"/>
            <w:shd w:fill="EDF2EE"/>
          </w:tcPr>
          <w:p>
            <w:pPr>
              <w:pStyle w:val="TableText"/>
              <w:keepNext w:val="0"/>
              <w:keepLines/>
              <w:jc w:val="center"/>
            </w:pPr>
            <w:r>
              <w:t>6,362</w:t>
            </w:r>
          </w:p>
        </w:tc>
      </w:tr>
      <w:tr>
        <w:trPr>
          <w:cantSplit/>
        </w:trPr>
        <w:tc>
          <w:tcPr>
            <w:tcW w:type="dxa" w:w="4646"/>
            <w:vAlign w:val="top"/>
            <w:shd w:fill="FFFFFF"/>
          </w:tcPr>
          <w:p>
            <w:pPr>
              <w:pStyle w:val="TableText"/>
              <w:keepNext w:val="0"/>
              <w:keepLines/>
            </w:pPr>
            <w:r>
              <w:t>Paid visits</w:t>
            </w:r>
          </w:p>
        </w:tc>
        <w:tc>
          <w:tcPr>
            <w:tcW w:type="dxa" w:w="2984"/>
            <w:vAlign w:val="center"/>
            <w:shd w:fill="FFFFFF"/>
          </w:tcPr>
          <w:p>
            <w:pPr>
              <w:pStyle w:val="TableText"/>
              <w:keepNext w:val="0"/>
              <w:keepLines/>
              <w:jc w:val="center"/>
            </w:pPr>
            <w:r>
              <w:t>14,041</w:t>
            </w:r>
          </w:p>
        </w:tc>
        <w:tc>
          <w:tcPr>
            <w:tcW w:type="dxa" w:w="1261"/>
            <w:vAlign w:val="center"/>
            <w:shd w:fill="FFFFFF"/>
          </w:tcPr>
          <w:p>
            <w:pPr>
              <w:pStyle w:val="TableText"/>
              <w:keepNext w:val="0"/>
              <w:keepLines/>
              <w:jc w:val="center"/>
            </w:pPr>
            <w:r>
              <w:t>23,402</w:t>
            </w:r>
          </w:p>
        </w:tc>
        <w:tc>
          <w:tcPr>
            <w:tcW w:type="dxa" w:w="1261"/>
            <w:vAlign w:val="center"/>
            <w:shd w:fill="FFFFFF"/>
          </w:tcPr>
          <w:p>
            <w:pPr>
              <w:pStyle w:val="TableText"/>
              <w:keepNext w:val="0"/>
              <w:keepLines/>
              <w:jc w:val="center"/>
            </w:pPr>
            <w:r>
              <w:t>32,762</w:t>
            </w:r>
          </w:p>
        </w:tc>
      </w:tr>
      <w:tr>
        <w:trPr>
          <w:cantSplit/>
        </w:trPr>
        <w:tc>
          <w:tcPr>
            <w:tcW w:type="dxa" w:w="4646"/>
            <w:vAlign w:val="top"/>
            <w:shd w:fill="EDF2EE"/>
          </w:tcPr>
          <w:p>
            <w:pPr>
              <w:pStyle w:val="TableText"/>
              <w:keepNext w:val="0"/>
              <w:keepLines/>
            </w:pPr>
            <w:r>
              <w:t>Receipts including GST</w:t>
            </w:r>
          </w:p>
        </w:tc>
        <w:tc>
          <w:tcPr>
            <w:tcW w:type="dxa" w:w="2984"/>
            <w:vAlign w:val="center"/>
            <w:shd w:fill="EDF2EE"/>
          </w:tcPr>
          <w:p>
            <w:pPr>
              <w:pStyle w:val="TableText"/>
              <w:keepNext w:val="0"/>
              <w:keepLines/>
              <w:jc w:val="center"/>
            </w:pPr>
            <w:r>
              <w:t>$850,228</w:t>
            </w:r>
          </w:p>
        </w:tc>
        <w:tc>
          <w:tcPr>
            <w:tcW w:type="dxa" w:w="1261"/>
            <w:vAlign w:val="center"/>
            <w:shd w:fill="EDF2EE"/>
          </w:tcPr>
          <w:p>
            <w:pPr>
              <w:pStyle w:val="TableText"/>
              <w:keepNext w:val="0"/>
              <w:keepLines/>
              <w:jc w:val="center"/>
            </w:pPr>
            <w:r>
              <w:t>$1,417,046</w:t>
            </w:r>
          </w:p>
        </w:tc>
        <w:tc>
          <w:tcPr>
            <w:tcW w:type="dxa" w:w="1261"/>
            <w:vAlign w:val="center"/>
            <w:shd w:fill="EDF2EE"/>
          </w:tcPr>
          <w:p>
            <w:pPr>
              <w:pStyle w:val="TableText"/>
              <w:keepNext w:val="0"/>
              <w:keepLines/>
              <w:jc w:val="center"/>
            </w:pPr>
            <w:r>
              <w:t>$1,983,865</w:t>
            </w:r>
          </w:p>
        </w:tc>
      </w:tr>
      <w:tr>
        <w:trPr>
          <w:cantSplit/>
        </w:trPr>
        <w:tc>
          <w:tcPr>
            <w:tcW w:type="dxa" w:w="4646"/>
            <w:vAlign w:val="top"/>
            <w:shd w:fill="FFFFFF"/>
          </w:tcPr>
          <w:p>
            <w:pPr>
              <w:pStyle w:val="TableText"/>
              <w:keepNext w:val="0"/>
              <w:keepLines/>
            </w:pPr>
            <w:r>
              <w:t>Sales excluding GST</w:t>
            </w:r>
          </w:p>
        </w:tc>
        <w:tc>
          <w:tcPr>
            <w:tcW w:type="dxa" w:w="2984"/>
            <w:vAlign w:val="center"/>
            <w:shd w:fill="FFFFFF"/>
          </w:tcPr>
          <w:p>
            <w:pPr>
              <w:pStyle w:val="TableText"/>
              <w:keepNext w:val="0"/>
              <w:keepLines/>
              <w:jc w:val="center"/>
            </w:pPr>
            <w:r>
              <w:t>$772,934</w:t>
            </w:r>
          </w:p>
        </w:tc>
        <w:tc>
          <w:tcPr>
            <w:tcW w:type="dxa" w:w="1261"/>
            <w:vAlign w:val="center"/>
            <w:shd w:fill="FFFFFF"/>
          </w:tcPr>
          <w:p>
            <w:pPr>
              <w:pStyle w:val="TableText"/>
              <w:keepNext w:val="0"/>
              <w:keepLines/>
              <w:jc w:val="center"/>
            </w:pPr>
            <w:r>
              <w:t>$1,288,224</w:t>
            </w:r>
          </w:p>
        </w:tc>
        <w:tc>
          <w:tcPr>
            <w:tcW w:type="dxa" w:w="1261"/>
            <w:vAlign w:val="center"/>
            <w:shd w:fill="FFFFFF"/>
          </w:tcPr>
          <w:p>
            <w:pPr>
              <w:pStyle w:val="TableText"/>
              <w:keepNext w:val="0"/>
              <w:keepLines/>
              <w:jc w:val="center"/>
            </w:pPr>
            <w:r>
              <w:t>$1,803,514</w:t>
            </w:r>
          </w:p>
        </w:tc>
      </w:tr>
      <w:tr>
        <w:trPr>
          <w:cantSplit/>
        </w:trPr>
        <w:tc>
          <w:tcPr>
            <w:tcW w:type="dxa" w:w="4646"/>
            <w:vAlign w:val="top"/>
            <w:shd w:fill="EDF2EE"/>
          </w:tcPr>
          <w:p>
            <w:pPr>
              <w:pStyle w:val="TableText"/>
              <w:keepNext w:val="0"/>
              <w:keepLines/>
            </w:pPr>
            <w:r>
              <w:t>Example roster wages plus super</w:t>
            </w:r>
          </w:p>
        </w:tc>
        <w:tc>
          <w:tcPr>
            <w:tcW w:type="dxa" w:w="2984"/>
            <w:vAlign w:val="center"/>
            <w:shd w:fill="EDF2EE"/>
          </w:tcPr>
          <w:p>
            <w:pPr>
              <w:pStyle w:val="TableText"/>
              <w:keepNext w:val="0"/>
              <w:keepLines/>
              <w:jc w:val="center"/>
            </w:pPr>
            <w:r>
              <w:t>$430,719</w:t>
            </w:r>
          </w:p>
        </w:tc>
        <w:tc>
          <w:tcPr>
            <w:tcW w:type="dxa" w:w="1261"/>
            <w:vAlign w:val="center"/>
            <w:shd w:fill="EDF2EE"/>
          </w:tcPr>
          <w:p>
            <w:pPr>
              <w:pStyle w:val="TableText"/>
              <w:keepNext w:val="0"/>
              <w:keepLines/>
              <w:jc w:val="center"/>
            </w:pPr>
            <w:r>
              <w:t>$526,303</w:t>
            </w:r>
          </w:p>
        </w:tc>
        <w:tc>
          <w:tcPr>
            <w:tcW w:type="dxa" w:w="1261"/>
            <w:vAlign w:val="center"/>
            <w:shd w:fill="EDF2EE"/>
          </w:tcPr>
          <w:p>
            <w:pPr>
              <w:pStyle w:val="TableText"/>
              <w:keepNext w:val="0"/>
              <w:keepLines/>
              <w:jc w:val="center"/>
            </w:pPr>
            <w:r>
              <w:t>$621,888</w:t>
            </w:r>
          </w:p>
        </w:tc>
      </w:tr>
      <w:tr>
        <w:trPr>
          <w:cantSplit/>
        </w:trPr>
        <w:tc>
          <w:tcPr>
            <w:tcW w:type="dxa" w:w="4646"/>
            <w:vAlign w:val="top"/>
            <w:shd w:fill="FFFFFF"/>
          </w:tcPr>
          <w:p>
            <w:pPr>
              <w:pStyle w:val="TableText"/>
              <w:keepNext w:val="0"/>
              <w:keepLines/>
            </w:pPr>
            <w:r>
              <w:t>Domestic card processing, excluding recoverable GST</w:t>
            </w:r>
          </w:p>
        </w:tc>
        <w:tc>
          <w:tcPr>
            <w:tcW w:type="dxa" w:w="2984"/>
            <w:vAlign w:val="center"/>
            <w:shd w:fill="FFFFFF"/>
          </w:tcPr>
          <w:p>
            <w:pPr>
              <w:pStyle w:val="TableText"/>
              <w:keepNext w:val="0"/>
              <w:keepLines/>
              <w:jc w:val="center"/>
            </w:pPr>
            <w:r>
              <w:t>$13,497</w:t>
            </w:r>
          </w:p>
        </w:tc>
        <w:tc>
          <w:tcPr>
            <w:tcW w:type="dxa" w:w="1261"/>
            <w:vAlign w:val="center"/>
            <w:shd w:fill="FFFFFF"/>
          </w:tcPr>
          <w:p>
            <w:pPr>
              <w:pStyle w:val="TableText"/>
              <w:keepNext w:val="0"/>
              <w:keepLines/>
              <w:jc w:val="center"/>
            </w:pPr>
            <w:r>
              <w:t>$22,495</w:t>
            </w:r>
          </w:p>
        </w:tc>
        <w:tc>
          <w:tcPr>
            <w:tcW w:type="dxa" w:w="1261"/>
            <w:vAlign w:val="center"/>
            <w:shd w:fill="FFFFFF"/>
          </w:tcPr>
          <w:p>
            <w:pPr>
              <w:pStyle w:val="TableText"/>
              <w:keepNext w:val="0"/>
              <w:keepLines/>
              <w:jc w:val="center"/>
            </w:pPr>
            <w:r>
              <w:t>$31,493</w:t>
            </w:r>
          </w:p>
        </w:tc>
      </w:tr>
      <w:tr>
        <w:trPr>
          <w:cantSplit/>
        </w:trPr>
        <w:tc>
          <w:tcPr>
            <w:tcW w:type="dxa" w:w="4646"/>
            <w:vAlign w:val="top"/>
            <w:shd w:fill="EDF2EE"/>
          </w:tcPr>
          <w:p>
            <w:pPr>
              <w:pStyle w:val="TableText"/>
              <w:keepNext w:val="0"/>
              <w:keepLines/>
            </w:pPr>
            <w:r>
              <w:t>Available for all other costs and operating result</w:t>
            </w:r>
          </w:p>
        </w:tc>
        <w:tc>
          <w:tcPr>
            <w:tcW w:type="dxa" w:w="2984"/>
            <w:vAlign w:val="center"/>
            <w:shd w:fill="EDF2EE"/>
          </w:tcPr>
          <w:p>
            <w:pPr>
              <w:pStyle w:val="TableText"/>
              <w:keepNext w:val="0"/>
              <w:keepLines/>
              <w:jc w:val="center"/>
            </w:pPr>
            <w:r>
              <w:t>$328,719</w:t>
            </w:r>
          </w:p>
        </w:tc>
        <w:tc>
          <w:tcPr>
            <w:tcW w:type="dxa" w:w="1261"/>
            <w:vAlign w:val="center"/>
            <w:shd w:fill="EDF2EE"/>
          </w:tcPr>
          <w:p>
            <w:pPr>
              <w:pStyle w:val="TableText"/>
              <w:keepNext w:val="0"/>
              <w:keepLines/>
              <w:jc w:val="center"/>
            </w:pPr>
            <w:r>
              <w:t>$739,426</w:t>
            </w:r>
          </w:p>
        </w:tc>
        <w:tc>
          <w:tcPr>
            <w:tcW w:type="dxa" w:w="1261"/>
            <w:vAlign w:val="center"/>
            <w:shd w:fill="EDF2EE"/>
          </w:tcPr>
          <w:p>
            <w:pPr>
              <w:pStyle w:val="TableText"/>
              <w:keepNext w:val="0"/>
              <w:keepLines/>
              <w:jc w:val="center"/>
            </w:pPr>
            <w:r>
              <w:t>$1,150,133</w:t>
            </w:r>
          </w:p>
        </w:tc>
      </w:tr>
    </w:tbl>
    <w:p>
      <w:pPr>
        <w:spacing w:after="20" w:before="0" w:line="240" w:lineRule="auto"/>
      </w:pPr>
      <w:r>
        <w:rPr>
          <w:sz w:val="6"/>
        </w:rPr>
      </w:r>
    </w:p>
    <w:p>
      <w:pPr/>
      <w:r>
        <w:t>Counts and dollar amounts are rounded independently for presentation. Calculations use the unrounded annual scenario values; these are planning averages, not confirmed bookings.</w:t>
      </w:r>
    </w:p>
    <w:p>
      <w:pPr/>
      <w:r>
        <w:t>The Stripe Australia source comparison, rechecked 29 October 2026, shows domestic online card pricing of 1.65% plus $0.30 per successful payment, with fees including GST. The calculation assumes one domestic-card payment per team, and eligible recovery of the GST on the fee. International cards, refunds, chargebacks, multiple individual payments and other payment channels need their own row. [</w:t>
      </w:r>
      <w:hyperlink w:anchor="source_R103">
        <w:r>
          <w:rPr>
            <w:color w:val="275E67"/>
            <w:u w:val="single"/>
          </w:rPr>
          <w:t xml:space="preserve">R103</w:t>
        </w:r>
      </w:hyperlink>
      <w:r>
        <w:t>]</w:t>
      </w:r>
    </w:p>
    <w:p>
      <w:pPr/>
      <w:r>
        <w:t>From the final row, subtract actual rent and outgoings, management and founder remuneration, insurance and remaining employment costs, utilities, software and inference use, consumables, marketing, distribution commissions, maintenance, professional services and a costed renewal provision for the option being examined. Financing, depreciation and income tax then have their own treatment.</w:t>
      </w:r>
    </w:p>
    <w:p>
      <w:pPr/>
      <w:r>
        <w:t>For the 75-minute cycle at 50% sold, the corresponding results are:</w:t>
      </w:r>
    </w:p>
    <w:p>
      <w:pPr>
        <w:pStyle w:val="ListBullet"/>
      </w:pPr>
      <w:r>
        <w:t>3,976 sold teams and 20,476 paid visits.</w:t>
      </w:r>
    </w:p>
    <w:p>
      <w:pPr>
        <w:pStyle w:val="ListBullet"/>
      </w:pPr>
      <w:r>
        <w:t>$1,239,915.60 receipts including GST and $1,127,196.00 sales excluding GST.</w:t>
      </w:r>
    </w:p>
    <w:p>
      <w:pPr>
        <w:pStyle w:val="ListBullet"/>
      </w:pPr>
      <w:r>
        <w:t>$596,508.92 available for the remaining costs after the specified wages, super and domestic-card fees.</w:t>
      </w:r>
    </w:p>
    <w:p>
      <w:pPr/>
      <w:r>
        <w:t>A complete break-even calculation becomes available once those costs are entered. The formula is annual fixed costs and renewal provision divided by contribution per sold team, then divided by available annual slots. Contribution includes all variable labour, consumables, distribution and payment fees.</w:t>
      </w:r>
    </w:p>
    <w:p>
      <w:pPr>
        <w:pStyle w:val="SourceNote"/>
      </w:pPr>
      <w:r>
        <w:t xml:space="preserve">Sources: </w:t>
      </w:r>
      <w:hyperlink w:anchor="source_R103">
        <w:r>
          <w:rPr>
            <w:color w:val="275E67"/>
            <w:u w:val="single"/>
          </w:rPr>
          <w:t xml:space="preserve">R103</w:t>
        </w:r>
      </w:hyperlink>
    </w:p>
    <w:p>
      <w:bookmarkStart w:id="42" w:name="s_finance_Tourism_pass__settlem_a86c21"/>
      <w:pPr>
        <w:pStyle w:val="Heading2"/>
      </w:pPr>
      <w:r>
        <w:t>Tourism pass: settlement without double counting</w:t>
      </w:r>
      <w:bookmarkEnd w:id="42"/>
    </w:p>
    <w:p>
      <w:pPr>
        <w:pStyle w:val="SourceNote"/>
        <w:keepNext/>
      </w:pPr>
      <w:r>
        <w:t>Worked illustration | 29 October 2026 | Quantities and business inputs are assumptions for comparison.</w:t>
      </w:r>
    </w:p>
    <w:p>
      <w:pPr/>
      <w:r>
        <w:t xml:space="preserve">The worked direct three-room pass illustration is </w:t>
      </w:r>
      <w:r>
        <w:rPr>
          <w:b/>
        </w:rPr>
        <w:t>$169 per person including GST</w:t>
      </w:r>
      <w:r>
        <w:t>, compared with three ordinary $59 visits at $177. Allocate $53 to each of three venue redemptions and $10 to the network service. Each venue knows its realised tariff before accepting pass inventory. This is arithmetic dated 29 October 2026, not a chosen tariff or an agreement with any venue.</w:t>
      </w:r>
    </w:p>
    <w:p>
      <w:pPr/>
      <w:r>
        <w:t>For five passes bought together:</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4180"/>
        <w:gridCol w:w="5972"/>
      </w:tblGrid>
      <w:tr>
        <w:trPr>
          <w:cantSplit/>
          <w:tblHeader w:val="true"/>
        </w:trPr>
        <w:tc>
          <w:tcPr>
            <w:tcW w:type="dxa" w:w="4180"/>
            <w:vAlign w:val="center"/>
            <w:shd w:fill="203B4C"/>
          </w:tcPr>
          <w:p>
            <w:pPr>
              <w:pStyle w:val="TableHead"/>
              <w:keepNext/>
              <w:keepLines/>
            </w:pPr>
            <w:r>
              <w:rPr>
                <w:color w:val="FFFFFF"/>
              </w:rPr>
              <w:t>Settlement item</w:t>
            </w:r>
          </w:p>
        </w:tc>
        <w:tc>
          <w:tcPr>
            <w:tcW w:type="dxa" w:w="5972"/>
            <w:vAlign w:val="center"/>
            <w:shd w:fill="203B4C"/>
          </w:tcPr>
          <w:p>
            <w:pPr>
              <w:pStyle w:val="TableHead"/>
              <w:keepNext/>
              <w:keepLines/>
              <w:jc w:val="center"/>
            </w:pPr>
            <w:r>
              <w:rPr>
                <w:color w:val="FFFFFF"/>
              </w:rPr>
              <w:t>Amount</w:t>
            </w:r>
          </w:p>
        </w:tc>
      </w:tr>
      <w:tr>
        <w:trPr>
          <w:cantSplit/>
        </w:trPr>
        <w:tc>
          <w:tcPr>
            <w:tcW w:type="dxa" w:w="4180"/>
            <w:vAlign w:val="top"/>
            <w:shd w:fill="EDF2EE"/>
          </w:tcPr>
          <w:p>
            <w:pPr>
              <w:pStyle w:val="TableText"/>
              <w:keepNext w:val="0"/>
              <w:keepLines/>
            </w:pPr>
            <w:r>
              <w:t>Customer payment</w:t>
            </w:r>
          </w:p>
        </w:tc>
        <w:tc>
          <w:tcPr>
            <w:tcW w:type="dxa" w:w="5972"/>
            <w:vAlign w:val="center"/>
            <w:shd w:fill="EDF2EE"/>
          </w:tcPr>
          <w:p>
            <w:pPr>
              <w:pStyle w:val="TableText"/>
              <w:keepNext w:val="0"/>
              <w:keepLines/>
              <w:jc w:val="center"/>
            </w:pPr>
            <w:r>
              <w:t>$845.00</w:t>
            </w:r>
          </w:p>
        </w:tc>
      </w:tr>
      <w:tr>
        <w:trPr>
          <w:cantSplit/>
        </w:trPr>
        <w:tc>
          <w:tcPr>
            <w:tcW w:type="dxa" w:w="4180"/>
            <w:vAlign w:val="top"/>
            <w:shd w:fill="FFFFFF"/>
          </w:tcPr>
          <w:p>
            <w:pPr>
              <w:pStyle w:val="TableText"/>
              <w:keepNext w:val="0"/>
              <w:keepLines/>
            </w:pPr>
            <w:r>
              <w:t>Three-venue allocations, including GST</w:t>
            </w:r>
          </w:p>
        </w:tc>
        <w:tc>
          <w:tcPr>
            <w:tcW w:type="dxa" w:w="5972"/>
            <w:vAlign w:val="center"/>
            <w:shd w:fill="FFFFFF"/>
          </w:tcPr>
          <w:p>
            <w:pPr>
              <w:pStyle w:val="TableText"/>
              <w:keepNext w:val="0"/>
              <w:keepLines/>
              <w:jc w:val="center"/>
            </w:pPr>
            <w:r>
              <w:t>$795.00</w:t>
            </w:r>
          </w:p>
        </w:tc>
      </w:tr>
      <w:tr>
        <w:trPr>
          <w:cantSplit/>
        </w:trPr>
        <w:tc>
          <w:tcPr>
            <w:tcW w:type="dxa" w:w="4180"/>
            <w:vAlign w:val="top"/>
            <w:shd w:fill="EDF2EE"/>
          </w:tcPr>
          <w:p>
            <w:pPr>
              <w:pStyle w:val="TableText"/>
              <w:keepNext w:val="0"/>
              <w:keepLines/>
            </w:pPr>
            <w:r>
              <w:t>Network service component, including GST</w:t>
            </w:r>
          </w:p>
        </w:tc>
        <w:tc>
          <w:tcPr>
            <w:tcW w:type="dxa" w:w="5972"/>
            <w:vAlign w:val="center"/>
            <w:shd w:fill="EDF2EE"/>
          </w:tcPr>
          <w:p>
            <w:pPr>
              <w:pStyle w:val="TableText"/>
              <w:keepNext w:val="0"/>
              <w:keepLines/>
              <w:jc w:val="center"/>
            </w:pPr>
            <w:r>
              <w:t>$50.00</w:t>
            </w:r>
          </w:p>
        </w:tc>
      </w:tr>
      <w:tr>
        <w:trPr>
          <w:cantSplit/>
        </w:trPr>
        <w:tc>
          <w:tcPr>
            <w:tcW w:type="dxa" w:w="4180"/>
            <w:vAlign w:val="top"/>
            <w:shd w:fill="FFFFFF"/>
          </w:tcPr>
          <w:p>
            <w:pPr>
              <w:pStyle w:val="TableText"/>
              <w:keepNext w:val="0"/>
              <w:keepLines/>
            </w:pPr>
            <w:r>
              <w:t>Network service revenue, excluding GST</w:t>
            </w:r>
          </w:p>
        </w:tc>
        <w:tc>
          <w:tcPr>
            <w:tcW w:type="dxa" w:w="5972"/>
            <w:vAlign w:val="center"/>
            <w:shd w:fill="FFFFFF"/>
          </w:tcPr>
          <w:p>
            <w:pPr>
              <w:pStyle w:val="TableText"/>
              <w:keepNext w:val="0"/>
              <w:keepLines/>
              <w:jc w:val="center"/>
            </w:pPr>
            <w:r>
              <w:t>$45.45</w:t>
            </w:r>
          </w:p>
        </w:tc>
      </w:tr>
      <w:tr>
        <w:trPr>
          <w:cantSplit/>
        </w:trPr>
        <w:tc>
          <w:tcPr>
            <w:tcW w:type="dxa" w:w="4180"/>
            <w:vAlign w:val="top"/>
            <w:shd w:fill="EDF2EE"/>
          </w:tcPr>
          <w:p>
            <w:pPr>
              <w:pStyle w:val="TableText"/>
              <w:keepNext w:val="0"/>
              <w:keepLines/>
            </w:pPr>
            <w:r>
              <w:t>Domestic-card processor cash charge</w:t>
            </w:r>
          </w:p>
        </w:tc>
        <w:tc>
          <w:tcPr>
            <w:tcW w:type="dxa" w:w="5972"/>
            <w:vAlign w:val="center"/>
            <w:shd w:fill="EDF2EE"/>
          </w:tcPr>
          <w:p>
            <w:pPr>
              <w:pStyle w:val="TableText"/>
              <w:keepNext w:val="0"/>
              <w:keepLines/>
              <w:jc w:val="center"/>
            </w:pPr>
            <w:r>
              <w:t>$14.2425</w:t>
            </w:r>
          </w:p>
        </w:tc>
      </w:tr>
      <w:tr>
        <w:trPr>
          <w:cantSplit/>
        </w:trPr>
        <w:tc>
          <w:tcPr>
            <w:tcW w:type="dxa" w:w="4180"/>
            <w:vAlign w:val="top"/>
            <w:shd w:fill="FFFFFF"/>
          </w:tcPr>
          <w:p>
            <w:pPr>
              <w:pStyle w:val="TableText"/>
              <w:keepNext w:val="0"/>
              <w:keepLines/>
            </w:pPr>
            <w:r>
              <w:t>Processor cost excluding GST if credit eligible</w:t>
            </w:r>
          </w:p>
        </w:tc>
        <w:tc>
          <w:tcPr>
            <w:tcW w:type="dxa" w:w="5972"/>
            <w:vAlign w:val="center"/>
            <w:shd w:fill="FFFFFF"/>
          </w:tcPr>
          <w:p>
            <w:pPr>
              <w:pStyle w:val="TableText"/>
              <w:keepNext w:val="0"/>
              <w:keepLines/>
              <w:jc w:val="center"/>
            </w:pPr>
            <w:r>
              <w:t>$12.947727</w:t>
            </w:r>
          </w:p>
        </w:tc>
      </w:tr>
      <w:tr>
        <w:trPr>
          <w:cantSplit/>
        </w:trPr>
        <w:tc>
          <w:tcPr>
            <w:tcW w:type="dxa" w:w="4180"/>
            <w:vAlign w:val="top"/>
            <w:shd w:fill="EDF2EE"/>
          </w:tcPr>
          <w:p>
            <w:pPr>
              <w:pStyle w:val="TableText"/>
              <w:keepNext w:val="0"/>
              <w:keepLines/>
            </w:pPr>
            <w:r>
              <w:t>Network amount after processing, before its other costs</w:t>
            </w:r>
          </w:p>
        </w:tc>
        <w:tc>
          <w:tcPr>
            <w:tcW w:type="dxa" w:w="5972"/>
            <w:vAlign w:val="center"/>
            <w:shd w:fill="EDF2EE"/>
          </w:tcPr>
          <w:p>
            <w:pPr>
              <w:pStyle w:val="TableText"/>
              <w:keepNext w:val="0"/>
              <w:keepLines/>
              <w:jc w:val="center"/>
            </w:pPr>
            <w:r>
              <w:t>$32.51</w:t>
            </w:r>
          </w:p>
        </w:tc>
      </w:tr>
    </w:tbl>
    <w:p>
      <w:pPr>
        <w:spacing w:after="20" w:before="0" w:line="240" w:lineRule="auto"/>
      </w:pPr>
      <w:r>
        <w:rPr>
          <w:sz w:val="6"/>
        </w:rPr>
      </w:r>
    </w:p>
    <w:p>
      <w:pPr/>
      <w:r>
        <w:t>The illustration assigns $795 to venue settlement. A real arrangement would need to track undelivered entitlements and determine recognition from its actual principal or agency terms. The central service would retain approximately $6.50 per pass in this illustration after the example processing charge, before support, software, marketing, refunds and administration. Without claiming GST credit on processor fees, the five-pass amount is $31.21. [</w:t>
      </w:r>
      <w:hyperlink w:anchor="source_R103">
        <w:r>
          <w:rPr>
            <w:color w:val="275E67"/>
            <w:u w:val="single"/>
          </w:rPr>
          <w:t xml:space="preserve">R103</w:t>
        </w:r>
      </w:hyperlink>
      <w:r>
        <w:t>]</w:t>
      </w:r>
    </w:p>
    <w:p>
      <w:pPr/>
      <w:r>
        <w:t>At 1,000 passes sold in groups of five, the same tariff produces approximately $6,501 after processing and before other network costs. This illustrates the need to test whether any network service fee covers its own costs, alongside separately priced design, installation, training and renewal services. A large aggregate ticket flow does not itself fund the whole central operation.</w:t>
      </w:r>
    </w:p>
    <w:p>
      <w:pPr/>
      <w:r>
        <w:t>An agent or online distributor commission would consume part of this small direct service margin. Build a separate wholesale tariff or negotiate a separately priced marketing service. Do not silently stack a second commission onto the same direct pass.</w:t>
      </w:r>
    </w:p>
    <w:p>
      <w:pPr/>
      <w:r>
        <w:t>Rooms on an itinerary should offer different challenges and local stories. Booking availability, travel time and partner opening days determine the route. Accommodation, meals, transport, cultural experiences and other attractions retain their own prices, payments and responsibilities. Count the additional visits and local spending observed through agreed referral records; do not count all tourism spending as escape-network revenue. Skill transfer follows the participant's chosen learning across different rooms without requiring broad sharing of their private recordings.</w:t>
      </w:r>
    </w:p>
    <w:p>
      <w:pPr>
        <w:pStyle w:val="SourceNote"/>
      </w:pPr>
      <w:r>
        <w:t xml:space="preserve">Sources: </w:t>
      </w:r>
      <w:hyperlink w:anchor="source_R103">
        <w:r>
          <w:rPr>
            <w:color w:val="275E67"/>
            <w:u w:val="single"/>
          </w:rPr>
          <w:t xml:space="preserve">R103</w:t>
        </w:r>
      </w:hyperlink>
      <w:r>
        <w:t xml:space="preserve">, </w:t>
      </w:r>
      <w:hyperlink w:anchor="source_M05">
        <w:r>
          <w:rPr>
            <w:color w:val="275E67"/>
            <w:u w:val="single"/>
          </w:rPr>
          <w:t xml:space="preserve">M05</w:t>
        </w:r>
      </w:hyperlink>
    </w:p>
    <w:p>
      <w:bookmarkStart w:id="43" w:name="s_finance_Capital_that_supports_34d3fd"/>
      <w:pPr>
        <w:pStyle w:val="Heading2"/>
      </w:pPr>
      <w:r>
        <w:t>Capital that supports continuing local capability</w:t>
      </w:r>
      <w:bookmarkEnd w:id="43"/>
    </w:p>
    <w:p>
      <w:pPr/>
      <w:r>
        <w:t>Funding can combine founder capital, host contributions, customer contracts, debt, co-operative member capital, public-benefit funding and separately negotiated investment. Each proposed source is tied to an eligible applicant, a defined use and its actual terms. The initial cash plan does not assume a grant award or a partner commitment.</w:t>
      </w:r>
    </w:p>
    <w:p>
      <w:pPr/>
      <w:r>
        <w:t>Where external capital finances a room for later local acquisition, define its purchase basis, repayment, agreed return, end point and ownership transfer. The deployment margin, investor return and operating surplus are recorded separately. A co-operative can acquire its room or venue assets while continuing to buy network services on agreed terms.</w:t>
      </w:r>
    </w:p>
    <w:p>
      <w:pPr/>
      <w:r>
        <w:t>Any future local operating comparison needs to account for renewal from the start. Paying off the first fitout does not fund a later replacement automatically. A new upgrade has its own scope, price and ownership record.</w:t>
      </w:r>
    </w:p>
    <w:p>
      <w:pPr>
        <w:pStyle w:val="SourceNote"/>
      </w:pPr>
      <w:r>
        <w:t xml:space="preserve">Sources: </w:t>
      </w:r>
      <w:hyperlink w:anchor="source_D01">
        <w:r>
          <w:rPr>
            <w:color w:val="275E67"/>
            <w:u w:val="single"/>
          </w:rPr>
          <w:t xml:space="preserve">D01</w:t>
        </w:r>
      </w:hyperlink>
      <w:r>
        <w:t xml:space="preserve">, </w:t>
      </w:r>
      <w:hyperlink w:anchor="source_D10">
        <w:r>
          <w:rPr>
            <w:color w:val="275E67"/>
            <w:u w:val="single"/>
          </w:rPr>
          <w:t xml:space="preserve">D10</w:t>
        </w:r>
      </w:hyperlink>
      <w:r>
        <w:t xml:space="preserve">, </w:t>
      </w:r>
      <w:hyperlink w:anchor="source_D12">
        <w:r>
          <w:rPr>
            <w:color w:val="275E67"/>
            <w:u w:val="single"/>
          </w:rPr>
          <w:t xml:space="preserve">D12</w:t>
        </w:r>
      </w:hyperlink>
      <w:r>
        <w:t xml:space="preserve">, </w:t>
      </w:r>
      <w:hyperlink w:anchor="source_P03">
        <w:r>
          <w:rPr>
            <w:color w:val="275E67"/>
            <w:u w:val="single"/>
          </w:rPr>
          <w:t xml:space="preserve">P03</w:t>
        </w:r>
      </w:hyperlink>
      <w:r>
        <w:t xml:space="preserve">, </w:t>
      </w:r>
      <w:hyperlink w:anchor="source_P04">
        <w:r>
          <w:rPr>
            <w:color w:val="275E67"/>
            <w:u w:val="single"/>
          </w:rPr>
          <w:t xml:space="preserve">P04</w:t>
        </w:r>
      </w:hyperlink>
      <w:r>
        <w:t xml:space="preserve">, </w:t>
      </w:r>
      <w:hyperlink w:anchor="source_P05">
        <w:r>
          <w:rPr>
            <w:color w:val="275E67"/>
            <w:u w:val="single"/>
          </w:rPr>
          <w:t xml:space="preserve">P05</w:t>
        </w:r>
      </w:hyperlink>
    </w:p>
    <w:p>
      <w:bookmarkStart w:id="44" w:name="s_finance_Cash_timing_and_comme_9e185b"/>
      <w:pPr>
        <w:pStyle w:val="Heading2"/>
      </w:pPr>
      <w:r>
        <w:t>Cash timing and commercial protection</w:t>
      </w:r>
      <w:bookmarkEnd w:id="44"/>
    </w:p>
    <w:p>
      <w:pPr/>
      <w:r>
        <w:t>A cash comparison would follow supplier deposits, delivery, site works, commissioning, payroll, booking receipts, partner settlement, refunds, taxes and renewal funding. Milestone amounts come from the accepted contracts. Once the remaining scopes and payment terms are quoted, the completed cash forecast will show the cash required before opening and the lowest cash balance during the sales ramp.</w:t>
      </w:r>
    </w:p>
    <w:p>
      <w:pPr/>
      <w:r>
        <w:t>A staged contract can separate paid discovery, detailed design, procurement, installation, acceptance and support. Each stage has an output that can be reviewed and accepted. Variations identify their cost and effect on the timetable before the work proceeds under the agreed authority.</w:t>
      </w:r>
    </w:p>
    <w:p>
      <w:pPr/>
      <w:r>
        <w:t>C-Hour remains non-monetary recognition of voluntary contribution. Paid work, investor returns and ownership interests use their own agreements and accounts. Voluntary participation does not supply an assumed wage saving in the commercial budget.</w:t>
      </w:r>
    </w:p>
    <w:p>
      <w:pPr>
        <w:pStyle w:val="SourceNote"/>
      </w:pPr>
      <w:r>
        <w:t xml:space="preserve">Sources: </w:t>
      </w:r>
      <w:hyperlink w:anchor="source_D15">
        <w:r>
          <w:rPr>
            <w:color w:val="275E67"/>
            <w:u w:val="single"/>
          </w:rPr>
          <w:t xml:space="preserve">D15</w:t>
        </w:r>
      </w:hyperlink>
      <w:r>
        <w:t xml:space="preserve">, </w:t>
      </w:r>
      <w:hyperlink w:anchor="source_P09">
        <w:r>
          <w:rPr>
            <w:color w:val="275E67"/>
            <w:u w:val="single"/>
          </w:rPr>
          <w:t xml:space="preserve">P09</w:t>
        </w:r>
      </w:hyperlink>
      <w:r>
        <w:t xml:space="preserve">, </w:t>
      </w:r>
      <w:hyperlink w:anchor="source_P14">
        <w:r>
          <w:rPr>
            <w:color w:val="275E67"/>
            <w:u w:val="single"/>
          </w:rPr>
          <w:t xml:space="preserve">P14</w:t>
        </w:r>
      </w:hyperlink>
    </w:p>
    <w:p>
      <w:bookmarkStart w:id="45" w:name="chapter_learning"/>
      <w:pPr>
        <w:pStyle w:val="Heading1"/>
        <w:pageBreakBefore/>
      </w:pPr>
      <w:r>
        <w:t>Language, teamwork and whole-life learning</w:t>
      </w:r>
      <w:bookmarkEnd w:id="45"/>
    </w:p>
    <w:p>
      <w:pPr>
        <w:pStyle w:val="Lead"/>
      </w:pPr>
      <w:r>
        <w:t>Explore how enjoyable independent play, reflection and later practice could support communication and transferable skills.</w:t>
      </w:r>
    </w:p>
    <w:p>
      <w:bookmarkStart w:id="46" w:name="s_learning_The_learning_product_d75de8"/>
      <w:pPr>
        <w:pStyle w:val="Heading2"/>
      </w:pPr>
      <w:r>
        <w:t>The learning product inside the business</w:t>
      </w:r>
      <w:bookmarkEnd w:id="46"/>
    </w:p>
    <w:p>
      <w:pPr/>
      <w:r>
        <w:t>The learning concept begins with people experiencing a challenge together. Selected recordings or task events could support reflection afterwards; the capture method and level of facilitation remain options. Reflection would help participants understand how their words, decisions and responses affected the experience, recognise something worth keeping, and practise something they want to change.</w:t>
      </w:r>
    </w:p>
    <w:p>
      <w:pPr/>
      <w:r>
        <w:t>The intended whole-life scope extends from primary school through adolescence, working life, family relationships and later life. Returning customers encounter new stories and tasks. The repeated capability might be listening, explaining, handling uncertainty, negotiating a boundary, sharing work or repairing an exchange.</w:t>
      </w:r>
    </w:p>
    <w:p>
      <w:pPr/>
      <w:r>
        <w:t>The game runs without hints. Learning support happens in the reflection and any separately booked workshop. A later room creates another opportunity to use the skill independently.</w:t>
      </w:r>
    </w:p>
    <w:p>
      <w:pPr>
        <w:pStyle w:val="SourceNote"/>
      </w:pPr>
      <w:r>
        <w:t xml:space="preserve">Sources: </w:t>
      </w:r>
      <w:hyperlink w:anchor="source_D03">
        <w:r>
          <w:rPr>
            <w:color w:val="275E67"/>
            <w:u w:val="single"/>
          </w:rPr>
          <w:t xml:space="preserve">D03</w:t>
        </w:r>
      </w:hyperlink>
      <w:r>
        <w:t xml:space="preserve">, </w:t>
      </w:r>
      <w:hyperlink w:anchor="source_D05">
        <w:r>
          <w:rPr>
            <w:color w:val="275E67"/>
            <w:u w:val="single"/>
          </w:rPr>
          <w:t xml:space="preserve">D05</w:t>
        </w:r>
      </w:hyperlink>
      <w:r>
        <w:t xml:space="preserve">, </w:t>
      </w:r>
      <w:hyperlink w:anchor="source_D06">
        <w:r>
          <w:rPr>
            <w:color w:val="275E67"/>
            <w:u w:val="single"/>
          </w:rPr>
          <w:t xml:space="preserve">D06</w:t>
        </w:r>
      </w:hyperlink>
      <w:r>
        <w:t xml:space="preserve">, </w:t>
      </w:r>
      <w:hyperlink w:anchor="source_D07">
        <w:r>
          <w:rPr>
            <w:color w:val="275E67"/>
            <w:u w:val="single"/>
          </w:rPr>
          <w:t xml:space="preserve">D07</w:t>
        </w:r>
      </w:hyperlink>
    </w:p>
    <w:p>
      <w:bookmarkStart w:id="47" w:name="s_learning_Noticing_destructive_42ea31"/>
      <w:pPr>
        <w:pStyle w:val="Heading2"/>
      </w:pPr>
      <w:r>
        <w:t>Noticing destructive language and useful repair</w:t>
      </w:r>
      <w:bookmarkEnd w:id="47"/>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774"/>
        <w:gridCol w:w="2836"/>
        <w:gridCol w:w="4542"/>
      </w:tblGrid>
      <w:tr>
        <w:trPr>
          <w:cantSplit/>
          <w:tblHeader w:val="true"/>
        </w:trPr>
        <w:tc>
          <w:tcPr>
            <w:tcW w:type="dxa" w:w="2774"/>
            <w:vAlign w:val="center"/>
            <w:shd w:fill="203B4C"/>
          </w:tcPr>
          <w:p>
            <w:pPr>
              <w:pStyle w:val="TableHead"/>
              <w:keepNext/>
              <w:keepLines/>
            </w:pPr>
            <w:r>
              <w:rPr>
                <w:color w:val="FFFFFF"/>
              </w:rPr>
              <w:t>Pattern</w:t>
            </w:r>
          </w:p>
        </w:tc>
        <w:tc>
          <w:tcPr>
            <w:tcW w:type="dxa" w:w="2836"/>
            <w:vAlign w:val="center"/>
            <w:shd w:fill="203B4C"/>
          </w:tcPr>
          <w:p>
            <w:pPr>
              <w:pStyle w:val="TableHead"/>
              <w:keepNext/>
              <w:keepLines/>
            </w:pPr>
            <w:r>
              <w:rPr>
                <w:color w:val="FFFFFF"/>
              </w:rPr>
              <w:t>Illustrative expression</w:t>
            </w:r>
          </w:p>
        </w:tc>
        <w:tc>
          <w:tcPr>
            <w:tcW w:type="dxa" w:w="4542"/>
            <w:vAlign w:val="center"/>
            <w:shd w:fill="203B4C"/>
          </w:tcPr>
          <w:p>
            <w:pPr>
              <w:pStyle w:val="TableHead"/>
              <w:keepNext/>
              <w:keepLines/>
            </w:pPr>
            <w:r>
              <w:rPr>
                <w:color w:val="FFFFFF"/>
              </w:rPr>
              <w:t>Question for reflection</w:t>
            </w:r>
          </w:p>
        </w:tc>
      </w:tr>
      <w:tr>
        <w:trPr>
          <w:cantSplit/>
        </w:trPr>
        <w:tc>
          <w:tcPr>
            <w:tcW w:type="dxa" w:w="2774"/>
            <w:vAlign w:val="top"/>
            <w:shd w:fill="EDF2EE"/>
          </w:tcPr>
          <w:p>
            <w:pPr>
              <w:pStyle w:val="TableText"/>
              <w:keepNext w:val="0"/>
              <w:keepLines/>
            </w:pPr>
            <w:r>
              <w:t>Blame</w:t>
            </w:r>
          </w:p>
        </w:tc>
        <w:tc>
          <w:tcPr>
            <w:tcW w:type="dxa" w:w="2836"/>
            <w:vAlign w:val="top"/>
            <w:shd w:fill="EDF2EE"/>
          </w:tcPr>
          <w:p>
            <w:pPr>
              <w:pStyle w:val="TableText"/>
              <w:keepNext w:val="0"/>
              <w:keepLines/>
            </w:pPr>
            <w:r>
              <w:t>This is all your fault.</w:t>
            </w:r>
          </w:p>
        </w:tc>
        <w:tc>
          <w:tcPr>
            <w:tcW w:type="dxa" w:w="4542"/>
            <w:vAlign w:val="top"/>
            <w:shd w:fill="EDF2EE"/>
          </w:tcPr>
          <w:p>
            <w:pPr>
              <w:pStyle w:val="TableText"/>
              <w:keepNext w:val="0"/>
              <w:keepLines/>
            </w:pPr>
            <w:r>
              <w:t>What happened, who knew what, and how was responsibility distributed?</w:t>
            </w:r>
          </w:p>
        </w:tc>
      </w:tr>
      <w:tr>
        <w:trPr>
          <w:cantSplit/>
        </w:trPr>
        <w:tc>
          <w:tcPr>
            <w:tcW w:type="dxa" w:w="2774"/>
            <w:vAlign w:val="top"/>
            <w:shd w:fill="FFFFFF"/>
          </w:tcPr>
          <w:p>
            <w:pPr>
              <w:pStyle w:val="TableText"/>
              <w:keepNext w:val="0"/>
              <w:keepLines/>
            </w:pPr>
            <w:r>
              <w:t>Contempt or humiliation</w:t>
            </w:r>
          </w:p>
        </w:tc>
        <w:tc>
          <w:tcPr>
            <w:tcW w:type="dxa" w:w="2836"/>
            <w:vAlign w:val="top"/>
            <w:shd w:fill="FFFFFF"/>
          </w:tcPr>
          <w:p>
            <w:pPr>
              <w:pStyle w:val="TableText"/>
              <w:keepNext w:val="0"/>
              <w:keepLines/>
            </w:pPr>
            <w:r>
              <w:t>You are useless.</w:t>
            </w:r>
          </w:p>
        </w:tc>
        <w:tc>
          <w:tcPr>
            <w:tcW w:type="dxa" w:w="4542"/>
            <w:vAlign w:val="top"/>
            <w:shd w:fill="FFFFFF"/>
          </w:tcPr>
          <w:p>
            <w:pPr>
              <w:pStyle w:val="TableText"/>
              <w:keepNext w:val="0"/>
              <w:keepLines/>
            </w:pPr>
            <w:r>
              <w:t>What did the personal judgement do to the exchange?</w:t>
            </w:r>
          </w:p>
        </w:tc>
      </w:tr>
      <w:tr>
        <w:trPr>
          <w:cantSplit/>
        </w:trPr>
        <w:tc>
          <w:tcPr>
            <w:tcW w:type="dxa" w:w="2774"/>
            <w:vAlign w:val="top"/>
            <w:shd w:fill="EDF2EE"/>
          </w:tcPr>
          <w:p>
            <w:pPr>
              <w:pStyle w:val="TableText"/>
              <w:keepNext w:val="0"/>
              <w:keepLines/>
            </w:pPr>
            <w:r>
              <w:t>Global labels</w:t>
            </w:r>
          </w:p>
        </w:tc>
        <w:tc>
          <w:tcPr>
            <w:tcW w:type="dxa" w:w="2836"/>
            <w:vAlign w:val="top"/>
            <w:shd w:fill="EDF2EE"/>
          </w:tcPr>
          <w:p>
            <w:pPr>
              <w:pStyle w:val="TableText"/>
              <w:keepNext w:val="0"/>
              <w:keepLines/>
            </w:pPr>
            <w:r>
              <w:t>You always ruin everything.</w:t>
            </w:r>
          </w:p>
        </w:tc>
        <w:tc>
          <w:tcPr>
            <w:tcW w:type="dxa" w:w="4542"/>
            <w:vAlign w:val="top"/>
            <w:shd w:fill="EDF2EE"/>
          </w:tcPr>
          <w:p>
            <w:pPr>
              <w:pStyle w:val="TableText"/>
              <w:keepNext w:val="0"/>
              <w:keepLines/>
            </w:pPr>
            <w:r>
              <w:t>Which specific event became a claim about the whole person?</w:t>
            </w:r>
          </w:p>
        </w:tc>
      </w:tr>
      <w:tr>
        <w:trPr>
          <w:cantSplit/>
        </w:trPr>
        <w:tc>
          <w:tcPr>
            <w:tcW w:type="dxa" w:w="2774"/>
            <w:vAlign w:val="top"/>
            <w:shd w:fill="FFFFFF"/>
          </w:tcPr>
          <w:p>
            <w:pPr>
              <w:pStyle w:val="TableText"/>
              <w:keepNext w:val="0"/>
              <w:keepLines/>
            </w:pPr>
            <w:r>
              <w:t>Dismissal or exclusion</w:t>
            </w:r>
          </w:p>
        </w:tc>
        <w:tc>
          <w:tcPr>
            <w:tcW w:type="dxa" w:w="2836"/>
            <w:vAlign w:val="top"/>
            <w:shd w:fill="FFFFFF"/>
          </w:tcPr>
          <w:p>
            <w:pPr>
              <w:pStyle w:val="TableText"/>
              <w:keepNext w:val="0"/>
              <w:keepLines/>
            </w:pPr>
            <w:r>
              <w:t>Nobody asked you.</w:t>
            </w:r>
          </w:p>
        </w:tc>
        <w:tc>
          <w:tcPr>
            <w:tcW w:type="dxa" w:w="4542"/>
            <w:vAlign w:val="top"/>
            <w:shd w:fill="FFFFFF"/>
          </w:tcPr>
          <w:p>
            <w:pPr>
              <w:pStyle w:val="TableText"/>
              <w:keepNext w:val="0"/>
              <w:keepLines/>
            </w:pPr>
            <w:r>
              <w:t>What contribution was attempted and was it considered?</w:t>
            </w:r>
          </w:p>
        </w:tc>
      </w:tr>
      <w:tr>
        <w:trPr>
          <w:cantSplit/>
        </w:trPr>
        <w:tc>
          <w:tcPr>
            <w:tcW w:type="dxa" w:w="2774"/>
            <w:vAlign w:val="top"/>
            <w:shd w:fill="EDF2EE"/>
          </w:tcPr>
          <w:p>
            <w:pPr>
              <w:pStyle w:val="TableText"/>
              <w:keepNext w:val="0"/>
              <w:keepLines/>
            </w:pPr>
            <w:r>
              <w:t>Pressure</w:t>
            </w:r>
          </w:p>
        </w:tc>
        <w:tc>
          <w:tcPr>
            <w:tcW w:type="dxa" w:w="2836"/>
            <w:vAlign w:val="top"/>
            <w:shd w:fill="EDF2EE"/>
          </w:tcPr>
          <w:p>
            <w:pPr>
              <w:pStyle w:val="TableText"/>
              <w:keepNext w:val="0"/>
              <w:keepLines/>
            </w:pPr>
            <w:r>
              <w:t>Do it my way or you are out.</w:t>
            </w:r>
          </w:p>
        </w:tc>
        <w:tc>
          <w:tcPr>
            <w:tcW w:type="dxa" w:w="4542"/>
            <w:vAlign w:val="top"/>
            <w:shd w:fill="EDF2EE"/>
          </w:tcPr>
          <w:p>
            <w:pPr>
              <w:pStyle w:val="TableText"/>
              <w:keepNext w:val="0"/>
              <w:keepLines/>
            </w:pPr>
            <w:r>
              <w:t>What choices and boundaries were available?</w:t>
            </w:r>
          </w:p>
        </w:tc>
      </w:tr>
      <w:tr>
        <w:trPr>
          <w:cantSplit/>
        </w:trPr>
        <w:tc>
          <w:tcPr>
            <w:tcW w:type="dxa" w:w="2774"/>
            <w:vAlign w:val="top"/>
            <w:shd w:fill="FFFFFF"/>
          </w:tcPr>
          <w:p>
            <w:pPr>
              <w:pStyle w:val="TableText"/>
              <w:keepNext w:val="0"/>
              <w:keepLines/>
            </w:pPr>
            <w:r>
              <w:t>Destructive self-talk</w:t>
            </w:r>
          </w:p>
        </w:tc>
        <w:tc>
          <w:tcPr>
            <w:tcW w:type="dxa" w:w="2836"/>
            <w:vAlign w:val="top"/>
            <w:shd w:fill="FFFFFF"/>
          </w:tcPr>
          <w:p>
            <w:pPr>
              <w:pStyle w:val="TableText"/>
              <w:keepNext w:val="0"/>
              <w:keepLines/>
            </w:pPr>
            <w:r>
              <w:t>I am stupid.</w:t>
            </w:r>
          </w:p>
        </w:tc>
        <w:tc>
          <w:tcPr>
            <w:tcW w:type="dxa" w:w="4542"/>
            <w:vAlign w:val="top"/>
            <w:shd w:fill="FFFFFF"/>
          </w:tcPr>
          <w:p>
            <w:pPr>
              <w:pStyle w:val="TableText"/>
              <w:keepNext w:val="0"/>
              <w:keepLines/>
            </w:pPr>
            <w:r>
              <w:t>What difficulty became an identity judgement?</w:t>
            </w:r>
          </w:p>
        </w:tc>
      </w:tr>
      <w:tr>
        <w:trPr>
          <w:cantSplit/>
        </w:trPr>
        <w:tc>
          <w:tcPr>
            <w:tcW w:type="dxa" w:w="2774"/>
            <w:vAlign w:val="top"/>
            <w:shd w:fill="EDF2EE"/>
          </w:tcPr>
          <w:p>
            <w:pPr>
              <w:pStyle w:val="TableText"/>
              <w:keepNext w:val="0"/>
              <w:keepLines/>
            </w:pPr>
            <w:r>
              <w:t>Premature hopelessness</w:t>
            </w:r>
          </w:p>
        </w:tc>
        <w:tc>
          <w:tcPr>
            <w:tcW w:type="dxa" w:w="2836"/>
            <w:vAlign w:val="top"/>
            <w:shd w:fill="EDF2EE"/>
          </w:tcPr>
          <w:p>
            <w:pPr>
              <w:pStyle w:val="TableText"/>
              <w:keepNext w:val="0"/>
              <w:keepLines/>
            </w:pPr>
            <w:r>
              <w:t>Nothing will work.</w:t>
            </w:r>
          </w:p>
        </w:tc>
        <w:tc>
          <w:tcPr>
            <w:tcW w:type="dxa" w:w="4542"/>
            <w:vAlign w:val="top"/>
            <w:shd w:fill="EDF2EE"/>
          </w:tcPr>
          <w:p>
            <w:pPr>
              <w:pStyle w:val="TableText"/>
              <w:keepNext w:val="0"/>
              <w:keepLines/>
            </w:pPr>
            <w:r>
              <w:t>What options and support remained?</w:t>
            </w:r>
          </w:p>
        </w:tc>
      </w:tr>
      <w:tr>
        <w:trPr>
          <w:cantSplit/>
        </w:trPr>
        <w:tc>
          <w:tcPr>
            <w:tcW w:type="dxa" w:w="2774"/>
            <w:vAlign w:val="top"/>
            <w:shd w:fill="FFFFFF"/>
          </w:tcPr>
          <w:p>
            <w:pPr>
              <w:pStyle w:val="TableText"/>
              <w:keepNext w:val="0"/>
              <w:keepLines/>
            </w:pPr>
            <w:r>
              <w:t>Certainty that silences</w:t>
            </w:r>
          </w:p>
        </w:tc>
        <w:tc>
          <w:tcPr>
            <w:tcW w:type="dxa" w:w="2836"/>
            <w:vAlign w:val="top"/>
            <w:shd w:fill="FFFFFF"/>
          </w:tcPr>
          <w:p>
            <w:pPr>
              <w:pStyle w:val="TableText"/>
              <w:keepNext w:val="0"/>
              <w:keepLines/>
            </w:pPr>
            <w:r>
              <w:t>Obviously I am right.</w:t>
            </w:r>
          </w:p>
        </w:tc>
        <w:tc>
          <w:tcPr>
            <w:tcW w:type="dxa" w:w="4542"/>
            <w:vAlign w:val="top"/>
            <w:shd w:fill="FFFFFF"/>
          </w:tcPr>
          <w:p>
            <w:pPr>
              <w:pStyle w:val="TableText"/>
              <w:keepNext w:val="0"/>
              <w:keepLines/>
            </w:pPr>
            <w:r>
              <w:t>What evidence and alternative explanations were considered?</w:t>
            </w:r>
          </w:p>
        </w:tc>
      </w:tr>
      <w:tr>
        <w:trPr>
          <w:cantSplit/>
        </w:trPr>
        <w:tc>
          <w:tcPr>
            <w:tcW w:type="dxa" w:w="2774"/>
            <w:vAlign w:val="top"/>
            <w:shd w:fill="EDF2EE"/>
          </w:tcPr>
          <w:p>
            <w:pPr>
              <w:pStyle w:val="TableText"/>
              <w:keepNext w:val="0"/>
              <w:keepLines/>
            </w:pPr>
            <w:r>
              <w:t>Deflection after harm</w:t>
            </w:r>
          </w:p>
        </w:tc>
        <w:tc>
          <w:tcPr>
            <w:tcW w:type="dxa" w:w="2836"/>
            <w:vAlign w:val="top"/>
            <w:shd w:fill="EDF2EE"/>
          </w:tcPr>
          <w:p>
            <w:pPr>
              <w:pStyle w:val="TableText"/>
              <w:keepNext w:val="0"/>
              <w:keepLines/>
            </w:pPr>
            <w:r>
              <w:t>It was only a joke.</w:t>
            </w:r>
          </w:p>
        </w:tc>
        <w:tc>
          <w:tcPr>
            <w:tcW w:type="dxa" w:w="4542"/>
            <w:vAlign w:val="top"/>
            <w:shd w:fill="EDF2EE"/>
          </w:tcPr>
          <w:p>
            <w:pPr>
              <w:pStyle w:val="TableText"/>
              <w:keepNext w:val="0"/>
              <w:keepLines/>
            </w:pPr>
            <w:r>
              <w:t>How did intention, reception and responsibility relate?</w:t>
            </w:r>
          </w:p>
        </w:tc>
      </w:tr>
    </w:tbl>
    <w:p>
      <w:pPr>
        <w:spacing w:after="20" w:before="0" w:line="240" w:lineRule="auto"/>
      </w:pPr>
      <w:r>
        <w:rPr>
          <w:sz w:val="6"/>
        </w:rPr>
      </w:r>
    </w:p>
    <w:p>
      <w:pPr/>
      <w:r>
        <w:t>The analysis examines an exchange in context. Anger, criticism, refusal and firm boundaries can be useful and appropriate. Profanity alone does not determine the meaning: 'This is fucking frustrating' expresses frustration, while 'You are fucking useless' directs degradation at a person. Banter, personal language, culture and the participants' accounts matter.</w:t>
      </w:r>
    </w:p>
    <w:p>
      <w:pPr/>
      <w:r>
        <w:t>Retain the words, surrounding turns, task state, observed response, possible repair and participants' interpretations. A quiet person may be reading, assembling, observing or thinking. Any computational analysis would identify candidate moments for human review; attribution and context need checking before discussion. Participants can correct the record.</w:t>
      </w:r>
    </w:p>
    <w:p>
      <w:pPr/>
      <w:r>
        <w:t>Useful progress includes noticing a pattern, making a more specific request, accepting a boundary, hearing a different explanation, repairing harm and using the skill later. The record describes behaviour in a situation and the person's chosen learning.</w:t>
      </w:r>
    </w:p>
    <w:p>
      <w:pPr>
        <w:pStyle w:val="SourceNote"/>
      </w:pPr>
      <w:r>
        <w:t xml:space="preserve">Sources: </w:t>
      </w:r>
      <w:hyperlink w:anchor="source_D05">
        <w:r>
          <w:rPr>
            <w:color w:val="275E67"/>
            <w:u w:val="single"/>
          </w:rPr>
          <w:t xml:space="preserve">D05</w:t>
        </w:r>
      </w:hyperlink>
    </w:p>
    <w:p>
      <w:bookmarkStart w:id="48" w:name="s_learning_Vocabulary_that_give_1f7691"/>
      <w:pPr>
        <w:pStyle w:val="Heading2"/>
      </w:pPr>
      <w:r>
        <w:t>Vocabulary that gives people more choices</w:t>
      </w:r>
      <w:bookmarkEnd w:id="48"/>
    </w:p>
    <w:p>
      <w:pPr>
        <w:pStyle w:val="SourceNote"/>
        <w:keepNext/>
      </w:pPr>
      <w:r>
        <w:t>Worked illustration | 29 October 2026 | Quantities and business inputs are assumptions for comparison.</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402"/>
        <w:gridCol w:w="2916"/>
        <w:gridCol w:w="4835"/>
      </w:tblGrid>
      <w:tr>
        <w:trPr>
          <w:cantSplit/>
          <w:tblHeader w:val="true"/>
        </w:trPr>
        <w:tc>
          <w:tcPr>
            <w:tcW w:type="dxa" w:w="2402"/>
            <w:vAlign w:val="center"/>
            <w:shd w:fill="203B4C"/>
          </w:tcPr>
          <w:p>
            <w:pPr>
              <w:pStyle w:val="TableHead"/>
              <w:keepNext/>
              <w:keepLines/>
            </w:pPr>
            <w:r>
              <w:rPr>
                <w:color w:val="FFFFFF"/>
              </w:rPr>
              <w:t>Starting expression</w:t>
            </w:r>
          </w:p>
        </w:tc>
        <w:tc>
          <w:tcPr>
            <w:tcW w:type="dxa" w:w="2916"/>
            <w:vAlign w:val="center"/>
            <w:shd w:fill="203B4C"/>
          </w:tcPr>
          <w:p>
            <w:pPr>
              <w:pStyle w:val="TableHead"/>
              <w:keepNext/>
              <w:keepLines/>
            </w:pPr>
            <w:r>
              <w:rPr>
                <w:color w:val="FFFFFF"/>
              </w:rPr>
              <w:t>Useful distinction</w:t>
            </w:r>
          </w:p>
        </w:tc>
        <w:tc>
          <w:tcPr>
            <w:tcW w:type="dxa" w:w="4835"/>
            <w:vAlign w:val="center"/>
            <w:shd w:fill="203B4C"/>
          </w:tcPr>
          <w:p>
            <w:pPr>
              <w:pStyle w:val="TableHead"/>
              <w:keepNext/>
              <w:keepLines/>
            </w:pPr>
            <w:r>
              <w:rPr>
                <w:color w:val="FFFFFF"/>
              </w:rPr>
              <w:t>An alternative to rehearse afterwards</w:t>
            </w:r>
          </w:p>
        </w:tc>
      </w:tr>
      <w:tr>
        <w:trPr>
          <w:cantSplit/>
        </w:trPr>
        <w:tc>
          <w:tcPr>
            <w:tcW w:type="dxa" w:w="2402"/>
            <w:vAlign w:val="top"/>
            <w:shd w:fill="EDF2EE"/>
          </w:tcPr>
          <w:p>
            <w:pPr>
              <w:pStyle w:val="TableText"/>
              <w:keepNext w:val="0"/>
              <w:keepLines/>
            </w:pPr>
            <w:r>
              <w:t>You never listen.</w:t>
            </w:r>
          </w:p>
        </w:tc>
        <w:tc>
          <w:tcPr>
            <w:tcW w:type="dxa" w:w="2916"/>
            <w:vAlign w:val="top"/>
            <w:shd w:fill="EDF2EE"/>
          </w:tcPr>
          <w:p>
            <w:pPr>
              <w:pStyle w:val="TableText"/>
              <w:keepNext w:val="0"/>
              <w:keepLines/>
            </w:pPr>
            <w:r>
              <w:t>Observation and request</w:t>
            </w:r>
          </w:p>
        </w:tc>
        <w:tc>
          <w:tcPr>
            <w:tcW w:type="dxa" w:w="4835"/>
            <w:vAlign w:val="top"/>
            <w:shd w:fill="EDF2EE"/>
          </w:tcPr>
          <w:p>
            <w:pPr>
              <w:pStyle w:val="TableText"/>
              <w:keepNext w:val="0"/>
              <w:keepLines/>
            </w:pPr>
            <w:r>
              <w:t>I have not finished the second instruction. Can I finish, then hear your idea?</w:t>
            </w:r>
          </w:p>
        </w:tc>
      </w:tr>
      <w:tr>
        <w:trPr>
          <w:cantSplit/>
        </w:trPr>
        <w:tc>
          <w:tcPr>
            <w:tcW w:type="dxa" w:w="2402"/>
            <w:vAlign w:val="top"/>
            <w:shd w:fill="FFFFFF"/>
          </w:tcPr>
          <w:p>
            <w:pPr>
              <w:pStyle w:val="TableText"/>
              <w:keepNext w:val="0"/>
              <w:keepLines/>
            </w:pPr>
            <w:r>
              <w:t>I cannot do anything.</w:t>
            </w:r>
          </w:p>
        </w:tc>
        <w:tc>
          <w:tcPr>
            <w:tcW w:type="dxa" w:w="2916"/>
            <w:vAlign w:val="top"/>
            <w:shd w:fill="FFFFFF"/>
          </w:tcPr>
          <w:p>
            <w:pPr>
              <w:pStyle w:val="TableText"/>
              <w:keepNext w:val="0"/>
              <w:keepLines/>
            </w:pPr>
            <w:r>
              <w:t>Difficulty and capability</w:t>
            </w:r>
          </w:p>
        </w:tc>
        <w:tc>
          <w:tcPr>
            <w:tcW w:type="dxa" w:w="4835"/>
            <w:vAlign w:val="top"/>
            <w:shd w:fill="FFFFFF"/>
          </w:tcPr>
          <w:p>
            <w:pPr>
              <w:pStyle w:val="TableText"/>
              <w:keepNext w:val="0"/>
              <w:keepLines/>
            </w:pPr>
            <w:r>
              <w:t>I am stuck on this step. I can explain what I have tried.</w:t>
            </w:r>
          </w:p>
        </w:tc>
      </w:tr>
      <w:tr>
        <w:trPr>
          <w:cantSplit/>
        </w:trPr>
        <w:tc>
          <w:tcPr>
            <w:tcW w:type="dxa" w:w="2402"/>
            <w:vAlign w:val="top"/>
            <w:shd w:fill="EDF2EE"/>
          </w:tcPr>
          <w:p>
            <w:pPr>
              <w:pStyle w:val="TableText"/>
              <w:keepNext w:val="0"/>
              <w:keepLines/>
            </w:pPr>
            <w:r>
              <w:t>That is stupid.</w:t>
            </w:r>
          </w:p>
        </w:tc>
        <w:tc>
          <w:tcPr>
            <w:tcW w:type="dxa" w:w="2916"/>
            <w:vAlign w:val="top"/>
            <w:shd w:fill="EDF2EE"/>
          </w:tcPr>
          <w:p>
            <w:pPr>
              <w:pStyle w:val="TableText"/>
              <w:keepNext w:val="0"/>
              <w:keepLines/>
            </w:pPr>
            <w:r>
              <w:t>Assumption and consequence</w:t>
            </w:r>
          </w:p>
        </w:tc>
        <w:tc>
          <w:tcPr>
            <w:tcW w:type="dxa" w:w="4835"/>
            <w:vAlign w:val="top"/>
            <w:shd w:fill="EDF2EE"/>
          </w:tcPr>
          <w:p>
            <w:pPr>
              <w:pStyle w:val="TableText"/>
              <w:keepNext w:val="0"/>
              <w:keepLines/>
            </w:pPr>
            <w:r>
              <w:t>I see a problem with the timing. What happens if the first step takes longer?</w:t>
            </w:r>
          </w:p>
        </w:tc>
      </w:tr>
      <w:tr>
        <w:trPr>
          <w:cantSplit/>
        </w:trPr>
        <w:tc>
          <w:tcPr>
            <w:tcW w:type="dxa" w:w="2402"/>
            <w:vAlign w:val="top"/>
            <w:shd w:fill="FFFFFF"/>
          </w:tcPr>
          <w:p>
            <w:pPr>
              <w:pStyle w:val="TableText"/>
              <w:keepNext w:val="0"/>
              <w:keepLines/>
            </w:pPr>
            <w:r>
              <w:t>Just do it.</w:t>
            </w:r>
          </w:p>
        </w:tc>
        <w:tc>
          <w:tcPr>
            <w:tcW w:type="dxa" w:w="2916"/>
            <w:vAlign w:val="top"/>
            <w:shd w:fill="FFFFFF"/>
          </w:tcPr>
          <w:p>
            <w:pPr>
              <w:pStyle w:val="TableText"/>
              <w:keepNext w:val="0"/>
              <w:keepLines/>
            </w:pPr>
            <w:r>
              <w:t>Agreement and responsibility</w:t>
            </w:r>
          </w:p>
        </w:tc>
        <w:tc>
          <w:tcPr>
            <w:tcW w:type="dxa" w:w="4835"/>
            <w:vAlign w:val="top"/>
            <w:shd w:fill="FFFFFF"/>
          </w:tcPr>
          <w:p>
            <w:pPr>
              <w:pStyle w:val="TableText"/>
              <w:keepNext w:val="0"/>
              <w:keepLines/>
            </w:pPr>
            <w:r>
              <w:t>Are you willing to take this part? What do you need from us?</w:t>
            </w:r>
          </w:p>
        </w:tc>
      </w:tr>
      <w:tr>
        <w:trPr>
          <w:cantSplit/>
        </w:trPr>
        <w:tc>
          <w:tcPr>
            <w:tcW w:type="dxa" w:w="2402"/>
            <w:vAlign w:val="top"/>
            <w:shd w:fill="EDF2EE"/>
          </w:tcPr>
          <w:p>
            <w:pPr>
              <w:pStyle w:val="TableText"/>
              <w:keepNext w:val="0"/>
              <w:keepLines/>
            </w:pPr>
            <w:r>
              <w:t>Fine, whatever.</w:t>
            </w:r>
          </w:p>
        </w:tc>
        <w:tc>
          <w:tcPr>
            <w:tcW w:type="dxa" w:w="2916"/>
            <w:vAlign w:val="top"/>
            <w:shd w:fill="EDF2EE"/>
          </w:tcPr>
          <w:p>
            <w:pPr>
              <w:pStyle w:val="TableText"/>
              <w:keepNext w:val="0"/>
              <w:keepLines/>
            </w:pPr>
            <w:r>
              <w:t>Preference and unresolved concern</w:t>
            </w:r>
          </w:p>
        </w:tc>
        <w:tc>
          <w:tcPr>
            <w:tcW w:type="dxa" w:w="4835"/>
            <w:vAlign w:val="top"/>
            <w:shd w:fill="EDF2EE"/>
          </w:tcPr>
          <w:p>
            <w:pPr>
              <w:pStyle w:val="TableText"/>
              <w:keepNext w:val="0"/>
              <w:keepLines/>
            </w:pPr>
            <w:r>
              <w:t>I will support that choice, and I want to record one concern.</w:t>
            </w:r>
          </w:p>
        </w:tc>
      </w:tr>
    </w:tbl>
    <w:p>
      <w:pPr>
        <w:spacing w:after="20" w:before="0" w:line="240" w:lineRule="auto"/>
      </w:pPr>
      <w:r>
        <w:rPr>
          <w:sz w:val="6"/>
        </w:rPr>
      </w:r>
    </w:p>
    <w:p>
      <w:pPr/>
      <w:r>
        <w:t>Words such as assumption, evidence, perspective, uncertainty, reciprocity, contingency, consent and repair become useful through the event the group has just experienced. Emotional vocabulary can improve precision: frustrated, overwhelmed, hesitant, disappointed, relieved or reassured. Participants choose wording that fits their own voice.</w:t>
      </w:r>
    </w:p>
    <w:p>
      <w:pPr/>
      <w:r>
        <w:t>One worked reflection format selects two or three moments, checks what happened, explores meanings and consequences, introduces a useful distinction, rehearses an alternative and chooses an application. Sensitive individual material receives a suitable private setting.</w:t>
      </w:r>
    </w:p>
    <w:p>
      <w:pPr>
        <w:pStyle w:val="SourceNote"/>
      </w:pPr>
      <w:r>
        <w:t xml:space="preserve">Sources: </w:t>
      </w:r>
      <w:hyperlink w:anchor="source_D05">
        <w:r>
          <w:rPr>
            <w:color w:val="275E67"/>
            <w:u w:val="single"/>
          </w:rPr>
          <w:t xml:space="preserve">D05</w:t>
        </w:r>
      </w:hyperlink>
    </w:p>
    <w:p>
      <w:bookmarkStart w:id="49" w:name="s_learning_Progression_across_l_b936a6"/>
      <w:pPr>
        <w:pStyle w:val="Heading2"/>
      </w:pPr>
      <w:r>
        <w:t>Progression across life</w:t>
      </w:r>
      <w:bookmarkEnd w:id="49"/>
    </w:p>
    <w:p>
      <w:pPr>
        <w:pStyle w:val="SourceNote"/>
        <w:keepNext/>
      </w:pPr>
      <w:r>
        <w:t>Worked illustration | 29 October 2026 | Quantities and business inputs are assumptions for comparison.</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461"/>
        <w:gridCol w:w="3370"/>
        <w:gridCol w:w="4321"/>
      </w:tblGrid>
      <w:tr>
        <w:trPr>
          <w:cantSplit/>
          <w:tblHeader w:val="true"/>
        </w:trPr>
        <w:tc>
          <w:tcPr>
            <w:tcW w:type="dxa" w:w="2461"/>
            <w:vAlign w:val="center"/>
            <w:shd w:fill="203B4C"/>
          </w:tcPr>
          <w:p>
            <w:pPr>
              <w:pStyle w:val="TableHead"/>
              <w:keepNext/>
              <w:keepLines/>
            </w:pPr>
            <w:r>
              <w:rPr>
                <w:color w:val="FFFFFF"/>
              </w:rPr>
              <w:t>Stage</w:t>
            </w:r>
          </w:p>
        </w:tc>
        <w:tc>
          <w:tcPr>
            <w:tcW w:type="dxa" w:w="3370"/>
            <w:vAlign w:val="center"/>
            <w:shd w:fill="203B4C"/>
          </w:tcPr>
          <w:p>
            <w:pPr>
              <w:pStyle w:val="TableHead"/>
              <w:keepNext/>
              <w:keepLines/>
            </w:pPr>
            <w:r>
              <w:rPr>
                <w:color w:val="FFFFFF"/>
              </w:rPr>
              <w:t>Experience direction</w:t>
            </w:r>
          </w:p>
        </w:tc>
        <w:tc>
          <w:tcPr>
            <w:tcW w:type="dxa" w:w="4321"/>
            <w:vAlign w:val="center"/>
            <w:shd w:fill="203B4C"/>
          </w:tcPr>
          <w:p>
            <w:pPr>
              <w:pStyle w:val="TableHead"/>
              <w:keepNext/>
              <w:keepLines/>
            </w:pPr>
            <w:r>
              <w:rPr>
                <w:color w:val="FFFFFF"/>
              </w:rPr>
              <w:t>Transfer into everyday life</w:t>
            </w:r>
          </w:p>
        </w:tc>
      </w:tr>
      <w:tr>
        <w:trPr>
          <w:cantSplit/>
        </w:trPr>
        <w:tc>
          <w:tcPr>
            <w:tcW w:type="dxa" w:w="2461"/>
            <w:vAlign w:val="top"/>
            <w:shd w:fill="EDF2EE"/>
          </w:tcPr>
          <w:p>
            <w:pPr>
              <w:pStyle w:val="TableText"/>
              <w:keepNext w:val="0"/>
              <w:keepLines/>
            </w:pPr>
            <w:r>
              <w:t>Prep to Year 2</w:t>
            </w:r>
          </w:p>
        </w:tc>
        <w:tc>
          <w:tcPr>
            <w:tcW w:type="dxa" w:w="3370"/>
            <w:vAlign w:val="top"/>
            <w:shd w:fill="EDF2EE"/>
          </w:tcPr>
          <w:p>
            <w:pPr>
              <w:pStyle w:val="TableText"/>
              <w:keepNext w:val="0"/>
              <w:keepLines/>
            </w:pPr>
            <w:r>
              <w:t>Short tactile adventures and visual sequences</w:t>
            </w:r>
          </w:p>
        </w:tc>
        <w:tc>
          <w:tcPr>
            <w:tcW w:type="dxa" w:w="4321"/>
            <w:vAlign w:val="top"/>
            <w:shd w:fill="EDF2EE"/>
          </w:tcPr>
          <w:p>
            <w:pPr>
              <w:pStyle w:val="TableText"/>
              <w:keepNext w:val="0"/>
              <w:keepLines/>
            </w:pPr>
            <w:r>
              <w:t>Naming needs, taking turns, inviting others and recovering from a mistake.</w:t>
            </w:r>
          </w:p>
        </w:tc>
      </w:tr>
      <w:tr>
        <w:trPr>
          <w:cantSplit/>
        </w:trPr>
        <w:tc>
          <w:tcPr>
            <w:tcW w:type="dxa" w:w="2461"/>
            <w:vAlign w:val="top"/>
            <w:shd w:fill="FFFFFF"/>
          </w:tcPr>
          <w:p>
            <w:pPr>
              <w:pStyle w:val="TableText"/>
              <w:keepNext w:val="0"/>
              <w:keepLines/>
            </w:pPr>
            <w:r>
              <w:t>Years 3 and 4</w:t>
            </w:r>
          </w:p>
        </w:tc>
        <w:tc>
          <w:tcPr>
            <w:tcW w:type="dxa" w:w="3370"/>
            <w:vAlign w:val="top"/>
            <w:shd w:fill="FFFFFF"/>
          </w:tcPr>
          <w:p>
            <w:pPr>
              <w:pStyle w:val="TableText"/>
              <w:keepNext w:val="0"/>
              <w:keepLines/>
            </w:pPr>
            <w:r>
              <w:t>Distributed clues and shared construction</w:t>
            </w:r>
          </w:p>
        </w:tc>
        <w:tc>
          <w:tcPr>
            <w:tcW w:type="dxa" w:w="4321"/>
            <w:vAlign w:val="top"/>
            <w:shd w:fill="FFFFFF"/>
          </w:tcPr>
          <w:p>
            <w:pPr>
              <w:pStyle w:val="TableText"/>
              <w:keepNext w:val="0"/>
              <w:keepLines/>
            </w:pPr>
            <w:r>
              <w:t>Explaining, asking specifically, noticing put-downs and acknowledging help.</w:t>
            </w:r>
          </w:p>
        </w:tc>
      </w:tr>
      <w:tr>
        <w:trPr>
          <w:cantSplit/>
        </w:trPr>
        <w:tc>
          <w:tcPr>
            <w:tcW w:type="dxa" w:w="2461"/>
            <w:vAlign w:val="top"/>
            <w:shd w:fill="EDF2EE"/>
          </w:tcPr>
          <w:p>
            <w:pPr>
              <w:pStyle w:val="TableText"/>
              <w:keepNext w:val="0"/>
              <w:keepLines/>
            </w:pPr>
            <w:r>
              <w:t>Years 5 and 6</w:t>
            </w:r>
          </w:p>
        </w:tc>
        <w:tc>
          <w:tcPr>
            <w:tcW w:type="dxa" w:w="3370"/>
            <w:vAlign w:val="top"/>
            <w:shd w:fill="EDF2EE"/>
          </w:tcPr>
          <w:p>
            <w:pPr>
              <w:pStyle w:val="TableText"/>
              <w:keepNext w:val="0"/>
              <w:keepLines/>
            </w:pPr>
            <w:r>
              <w:t>Shared resources and changed conditions</w:t>
            </w:r>
          </w:p>
        </w:tc>
        <w:tc>
          <w:tcPr>
            <w:tcW w:type="dxa" w:w="4321"/>
            <w:vAlign w:val="top"/>
            <w:shd w:fill="EDF2EE"/>
          </w:tcPr>
          <w:p>
            <w:pPr>
              <w:pStyle w:val="TableText"/>
              <w:keepNext w:val="0"/>
              <w:keepLines/>
            </w:pPr>
            <w:r>
              <w:t>Fairness, assumptions, planning, exclusion and repair.</w:t>
            </w:r>
          </w:p>
        </w:tc>
      </w:tr>
      <w:tr>
        <w:trPr>
          <w:cantSplit/>
        </w:trPr>
        <w:tc>
          <w:tcPr>
            <w:tcW w:type="dxa" w:w="2461"/>
            <w:vAlign w:val="top"/>
            <w:shd w:fill="FFFFFF"/>
          </w:tcPr>
          <w:p>
            <w:pPr>
              <w:pStyle w:val="TableText"/>
              <w:keepNext w:val="0"/>
              <w:keepLines/>
            </w:pPr>
            <w:r>
              <w:t>Years 7 to 10</w:t>
            </w:r>
          </w:p>
        </w:tc>
        <w:tc>
          <w:tcPr>
            <w:tcW w:type="dxa" w:w="3370"/>
            <w:vAlign w:val="top"/>
            <w:shd w:fill="FFFFFF"/>
          </w:tcPr>
          <w:p>
            <w:pPr>
              <w:pStyle w:val="TableText"/>
              <w:keepNext w:val="0"/>
              <w:keepLines/>
            </w:pPr>
            <w:r>
              <w:t>Disputed information and peer situations</w:t>
            </w:r>
          </w:p>
        </w:tc>
        <w:tc>
          <w:tcPr>
            <w:tcW w:type="dxa" w:w="4321"/>
            <w:vAlign w:val="top"/>
            <w:shd w:fill="FFFFFF"/>
          </w:tcPr>
          <w:p>
            <w:pPr>
              <w:pStyle w:val="TableText"/>
              <w:keepNext w:val="0"/>
              <w:keepLines/>
            </w:pPr>
            <w:r>
              <w:t>Evidence, pressure, boundaries, persuasion and constructive disagreement.</w:t>
            </w:r>
          </w:p>
        </w:tc>
      </w:tr>
      <w:tr>
        <w:trPr>
          <w:cantSplit/>
        </w:trPr>
        <w:tc>
          <w:tcPr>
            <w:tcW w:type="dxa" w:w="2461"/>
            <w:vAlign w:val="top"/>
            <w:shd w:fill="EDF2EE"/>
          </w:tcPr>
          <w:p>
            <w:pPr>
              <w:pStyle w:val="TableText"/>
              <w:keepNext w:val="0"/>
              <w:keepLines/>
            </w:pPr>
            <w:r>
              <w:t>Later teens and young adults</w:t>
            </w:r>
          </w:p>
        </w:tc>
        <w:tc>
          <w:tcPr>
            <w:tcW w:type="dxa" w:w="3370"/>
            <w:vAlign w:val="top"/>
            <w:shd w:fill="EDF2EE"/>
          </w:tcPr>
          <w:p>
            <w:pPr>
              <w:pStyle w:val="TableText"/>
              <w:keepNext w:val="0"/>
              <w:keepLines/>
            </w:pPr>
            <w:r>
              <w:t>Work, travel, housing and unfamiliar services</w:t>
            </w:r>
          </w:p>
        </w:tc>
        <w:tc>
          <w:tcPr>
            <w:tcW w:type="dxa" w:w="4321"/>
            <w:vAlign w:val="top"/>
            <w:shd w:fill="EDF2EE"/>
          </w:tcPr>
          <w:p>
            <w:pPr>
              <w:pStyle w:val="TableText"/>
              <w:keepNext w:val="0"/>
              <w:keepLines/>
            </w:pPr>
            <w:r>
              <w:t>Negotiating, checking requirements, agreements, deadlines and useful help.</w:t>
            </w:r>
          </w:p>
        </w:tc>
      </w:tr>
      <w:tr>
        <w:trPr>
          <w:cantSplit/>
        </w:trPr>
        <w:tc>
          <w:tcPr>
            <w:tcW w:type="dxa" w:w="2461"/>
            <w:vAlign w:val="top"/>
            <w:shd w:fill="FFFFFF"/>
          </w:tcPr>
          <w:p>
            <w:pPr>
              <w:pStyle w:val="TableText"/>
              <w:keepNext w:val="0"/>
              <w:keepLines/>
            </w:pPr>
            <w:r>
              <w:t>Working adults</w:t>
            </w:r>
          </w:p>
        </w:tc>
        <w:tc>
          <w:tcPr>
            <w:tcW w:type="dxa" w:w="3370"/>
            <w:vAlign w:val="top"/>
            <w:shd w:fill="FFFFFF"/>
          </w:tcPr>
          <w:p>
            <w:pPr>
              <w:pStyle w:val="TableText"/>
              <w:keepNext w:val="0"/>
              <w:keepLines/>
            </w:pPr>
            <w:r>
              <w:t>Handover, enterprise and competing priorities</w:t>
            </w:r>
          </w:p>
        </w:tc>
        <w:tc>
          <w:tcPr>
            <w:tcW w:type="dxa" w:w="4321"/>
            <w:vAlign w:val="top"/>
            <w:shd w:fill="FFFFFF"/>
          </w:tcPr>
          <w:p>
            <w:pPr>
              <w:pStyle w:val="TableText"/>
              <w:keepNext w:val="0"/>
              <w:keepLines/>
            </w:pPr>
            <w:r>
              <w:t>Delegation, feedback, accountability and workload negotiation.</w:t>
            </w:r>
          </w:p>
        </w:tc>
      </w:tr>
      <w:tr>
        <w:trPr>
          <w:cantSplit/>
        </w:trPr>
        <w:tc>
          <w:tcPr>
            <w:tcW w:type="dxa" w:w="2461"/>
            <w:vAlign w:val="top"/>
            <w:shd w:fill="EDF2EE"/>
          </w:tcPr>
          <w:p>
            <w:pPr>
              <w:pStyle w:val="TableText"/>
              <w:keepNext w:val="0"/>
              <w:keepLines/>
            </w:pPr>
            <w:r>
              <w:t>Families and generations</w:t>
            </w:r>
          </w:p>
        </w:tc>
        <w:tc>
          <w:tcPr>
            <w:tcW w:type="dxa" w:w="3370"/>
            <w:vAlign w:val="top"/>
            <w:shd w:fill="EDF2EE"/>
          </w:tcPr>
          <w:p>
            <w:pPr>
              <w:pStyle w:val="TableText"/>
              <w:keepNext w:val="0"/>
              <w:keepLines/>
            </w:pPr>
            <w:r>
              <w:t>Shared plans, care preferences and practical knowledge</w:t>
            </w:r>
          </w:p>
        </w:tc>
        <w:tc>
          <w:tcPr>
            <w:tcW w:type="dxa" w:w="4321"/>
            <w:vAlign w:val="top"/>
            <w:shd w:fill="EDF2EE"/>
          </w:tcPr>
          <w:p>
            <w:pPr>
              <w:pStyle w:val="TableText"/>
              <w:keepNext w:val="0"/>
              <w:keepLines/>
            </w:pPr>
            <w:r>
              <w:t>Listening across differences, fair contribution and repairing habitual blame.</w:t>
            </w:r>
          </w:p>
        </w:tc>
      </w:tr>
      <w:tr>
        <w:trPr>
          <w:cantSplit/>
        </w:trPr>
        <w:tc>
          <w:tcPr>
            <w:tcW w:type="dxa" w:w="2461"/>
            <w:vAlign w:val="top"/>
            <w:shd w:fill="FFFFFF"/>
          </w:tcPr>
          <w:p>
            <w:pPr>
              <w:pStyle w:val="TableText"/>
              <w:keepNext w:val="0"/>
              <w:keepLines/>
            </w:pPr>
            <w:r>
              <w:t>Later life and changing needs</w:t>
            </w:r>
          </w:p>
        </w:tc>
        <w:tc>
          <w:tcPr>
            <w:tcW w:type="dxa" w:w="3370"/>
            <w:vAlign w:val="top"/>
            <w:shd w:fill="FFFFFF"/>
          </w:tcPr>
          <w:p>
            <w:pPr>
              <w:pStyle w:val="TableText"/>
              <w:keepNext w:val="0"/>
              <w:keepLines/>
            </w:pPr>
            <w:r>
              <w:t>Community decisions, changed routines and new systems</w:t>
            </w:r>
          </w:p>
        </w:tc>
        <w:tc>
          <w:tcPr>
            <w:tcW w:type="dxa" w:w="4321"/>
            <w:vAlign w:val="top"/>
            <w:shd w:fill="FFFFFF"/>
          </w:tcPr>
          <w:p>
            <w:pPr>
              <w:pStyle w:val="TableText"/>
              <w:keepNext w:val="0"/>
              <w:keepLines/>
            </w:pPr>
            <w:r>
              <w:t>Expressing wishes, directing assistance, adapting, mentoring and agency.</w:t>
            </w:r>
          </w:p>
        </w:tc>
      </w:tr>
    </w:tbl>
    <w:p>
      <w:pPr>
        <w:spacing w:after="20" w:before="0" w:line="240" w:lineRule="auto"/>
      </w:pPr>
      <w:r>
        <w:rPr>
          <w:sz w:val="6"/>
        </w:rPr>
      </w:r>
    </w:p>
    <w:p>
      <w:pPr/>
      <w:r>
        <w:t>Age guides the catalogue. Interests, readiness, communication and access needs determine the version. Adults retain adult themes when sensory load, text, pace or interaction methods are adjusted. Spoken, written, AAC and nonverbal contributions can all matter.</w:t>
      </w:r>
    </w:p>
    <w:p>
      <w:pPr/>
      <w:r>
        <w:t>A school-module design could map relevant outcomes to the Australian Curriculum Personal and Social capability continuum. The booking information describes the actual activities, timetable, group sizes and supervision arrangements so teachers can judge the fit.</w:t>
      </w:r>
    </w:p>
    <w:p>
      <w:pPr>
        <w:pStyle w:val="SourceNote"/>
      </w:pPr>
      <w:r>
        <w:t xml:space="preserve">Sources: </w:t>
      </w:r>
      <w:hyperlink w:anchor="source_D03">
        <w:r>
          <w:rPr>
            <w:color w:val="275E67"/>
            <w:u w:val="single"/>
          </w:rPr>
          <w:t xml:space="preserve">D03</w:t>
        </w:r>
      </w:hyperlink>
      <w:r>
        <w:t xml:space="preserve">, </w:t>
      </w:r>
      <w:hyperlink w:anchor="source_D06">
        <w:r>
          <w:rPr>
            <w:color w:val="275E67"/>
            <w:u w:val="single"/>
          </w:rPr>
          <w:t xml:space="preserve">D06</w:t>
        </w:r>
      </w:hyperlink>
      <w:r>
        <w:t xml:space="preserve">, </w:t>
      </w:r>
      <w:hyperlink w:anchor="source_D07">
        <w:r>
          <w:rPr>
            <w:color w:val="275E67"/>
            <w:u w:val="single"/>
          </w:rPr>
          <w:t xml:space="preserve">D07</w:t>
        </w:r>
      </w:hyperlink>
      <w:r>
        <w:t xml:space="preserve">, </w:t>
      </w:r>
      <w:hyperlink w:anchor="source_M24">
        <w:r>
          <w:rPr>
            <w:color w:val="275E67"/>
            <w:u w:val="single"/>
          </w:rPr>
          <w:t xml:space="preserve">M24</w:t>
        </w:r>
      </w:hyperlink>
      <w:r>
        <w:t xml:space="preserve">, </w:t>
      </w:r>
      <w:hyperlink w:anchor="source_M25">
        <w:r>
          <w:rPr>
            <w:color w:val="275E67"/>
            <w:u w:val="single"/>
          </w:rPr>
          <w:t xml:space="preserve">M25</w:t>
        </w:r>
      </w:hyperlink>
    </w:p>
    <w:p>
      <w:bookmarkStart w:id="50" w:name="s_learning_Skill_transfer_and_p_3d69a7"/>
      <w:pPr>
        <w:pStyle w:val="Heading2"/>
      </w:pPr>
      <w:r>
        <w:t>Skill transfer and personal Aura continuity</w:t>
      </w:r>
      <w:bookmarkEnd w:id="50"/>
    </w:p>
    <w:p>
      <w:pPr/>
      <w:r>
        <w:t>A participant chooses a concrete application: 'When a plan changes, I will separate what we know, what we assume and what we can try next.' A different room or real-life event then offers a fresh occasion to use it. The next reflection asks what the person noticed and what changed.</w:t>
      </w:r>
    </w:p>
    <w:p>
      <w:pPr/>
      <w:r>
        <w:t>Aura can retain a small, purposeful starting context: preferred communication, relevant access needs, the chosen goal and examples the person wants to keep. People own their data and digital twins. Recording a session, retaining an excerpt, developing a personal model, research and publication are separate choices. A group clip includes other people and needs the corresponding permissions.</w:t>
      </w:r>
    </w:p>
    <w:p>
      <w:pPr/>
      <w:r>
        <w:t>The tourism network supplies varied contexts for practice. A later room, a shared journey, a workplace task or a community project can develop the same skill with different people and conditions. Research could examine repeat use, participant-selected learning and independent application, alongside enjoyment. A later transfer task would need to show use in a new setting; an enjoyable debrief alone would not establish skill transfer.</w:t>
      </w:r>
    </w:p>
    <w:p>
      <w:pPr>
        <w:pStyle w:val="SourceNote"/>
      </w:pPr>
      <w:r>
        <w:t xml:space="preserve">Sources: </w:t>
      </w:r>
      <w:hyperlink w:anchor="source_D05">
        <w:r>
          <w:rPr>
            <w:color w:val="275E67"/>
            <w:u w:val="single"/>
          </w:rPr>
          <w:t xml:space="preserve">D05</w:t>
        </w:r>
      </w:hyperlink>
      <w:r>
        <w:t xml:space="preserve">, </w:t>
      </w:r>
      <w:hyperlink w:anchor="source_D06">
        <w:r>
          <w:rPr>
            <w:color w:val="275E67"/>
            <w:u w:val="single"/>
          </w:rPr>
          <w:t xml:space="preserve">D06</w:t>
        </w:r>
      </w:hyperlink>
      <w:r>
        <w:t xml:space="preserve">, </w:t>
      </w:r>
      <w:hyperlink w:anchor="source_D07">
        <w:r>
          <w:rPr>
            <w:color w:val="275E67"/>
            <w:u w:val="single"/>
          </w:rPr>
          <w:t xml:space="preserve">D07</w:t>
        </w:r>
      </w:hyperlink>
      <w:r>
        <w:t xml:space="preserve">, </w:t>
      </w:r>
      <w:hyperlink w:anchor="source_P11">
        <w:r>
          <w:rPr>
            <w:color w:val="275E67"/>
            <w:u w:val="single"/>
          </w:rPr>
          <w:t xml:space="preserve">P11</w:t>
        </w:r>
      </w:hyperlink>
    </w:p>
    <w:p>
      <w:bookmarkStart w:id="51" w:name="chapter_agent_roles"/>
      <w:pPr>
        <w:pStyle w:val="Heading1"/>
        <w:pageBreakBefore/>
      </w:pPr>
      <w:r>
        <w:t>Research computation and paid work</w:t>
      </w:r>
      <w:bookmarkEnd w:id="51"/>
    </w:p>
    <w:p>
      <w:pPr>
        <w:pStyle w:val="Lead"/>
      </w:pPr>
      <w:r>
        <w:t>Extend the founder's research and computational ability while keeping business decisions with the founder and skilled work with people.</w:t>
      </w:r>
    </w:p>
    <w:p>
      <w:bookmarkStart w:id="52" w:name="s_agent_roles_organisation_and__3bd216"/>
      <w:pPr>
        <w:pStyle w:val="Heading2"/>
      </w:pPr>
      <w:r>
        <w:t>Research support and founder decisions</w:t>
      </w:r>
      <w:bookmarkEnd w:id="52"/>
    </w:p>
    <w:p>
      <w:pPr/>
      <w:r>
        <w:t>The business plan is for Luke Nathan Hayes to examine and develop. AI can help retrieve sources, compare alternatives, itemise costs, calculate scenarios and prepare questions. Those outputs need evidence and review. A model's recommendation is not a business decision.</w:t>
      </w:r>
    </w:p>
    <w:p>
      <w:pPr/>
      <w:r>
        <w:t>No agent suite, reporting hierarchy or operating structure is a conclusion of ROUND ONE. The useful question at this stage is which research and computation tasks improve the evidence, how their outputs can be checked, and what they cost. The founder retains the direction, interpretation and choice of any next work.</w:t>
      </w:r>
    </w:p>
    <w:p>
      <w:pPr>
        <w:pStyle w:val="SourceNote"/>
      </w:pPr>
      <w:r>
        <w:t xml:space="preserve">Sources: </w:t>
      </w:r>
      <w:hyperlink w:anchor="source_P14">
        <w:r>
          <w:rPr>
            <w:color w:val="275E67"/>
            <w:u w:val="single"/>
          </w:rPr>
          <w:t xml:space="preserve">P14</w:t>
        </w:r>
      </w:hyperlink>
    </w:p>
    <w:p>
      <w:bookmarkStart w:id="53" w:name="s_agent_roles_proposed_roles_an_95641e"/>
      <w:pPr>
        <w:pStyle w:val="Heading2"/>
      </w:pPr>
      <w:r>
        <w:t>Research tasks and reviewable outputs</w:t>
      </w:r>
      <w:bookmarkEnd w:id="53"/>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458"/>
        <w:gridCol w:w="3782"/>
        <w:gridCol w:w="3912"/>
      </w:tblGrid>
      <w:tr>
        <w:trPr>
          <w:cantSplit/>
          <w:tblHeader w:val="true"/>
        </w:trPr>
        <w:tc>
          <w:tcPr>
            <w:tcW w:type="dxa" w:w="2458"/>
            <w:vAlign w:val="center"/>
            <w:shd w:fill="203B4C"/>
          </w:tcPr>
          <w:p>
            <w:pPr>
              <w:pStyle w:val="TableHead"/>
              <w:keepNext/>
              <w:keepLines/>
            </w:pPr>
            <w:r>
              <w:rPr>
                <w:color w:val="FFFFFF"/>
              </w:rPr>
              <w:t>Research or computation task</w:t>
            </w:r>
          </w:p>
        </w:tc>
        <w:tc>
          <w:tcPr>
            <w:tcW w:type="dxa" w:w="3782"/>
            <w:vAlign w:val="center"/>
            <w:shd w:fill="203B4C"/>
          </w:tcPr>
          <w:p>
            <w:pPr>
              <w:pStyle w:val="TableHead"/>
              <w:keepNext/>
              <w:keepLines/>
            </w:pPr>
            <w:r>
              <w:rPr>
                <w:color w:val="FFFFFF"/>
              </w:rPr>
              <w:t>Material for review</w:t>
            </w:r>
          </w:p>
        </w:tc>
        <w:tc>
          <w:tcPr>
            <w:tcW w:type="dxa" w:w="3912"/>
            <w:vAlign w:val="center"/>
            <w:shd w:fill="203B4C"/>
          </w:tcPr>
          <w:p>
            <w:pPr>
              <w:pStyle w:val="TableHead"/>
              <w:keepNext/>
              <w:keepLines/>
            </w:pPr>
            <w:r>
              <w:rPr>
                <w:color w:val="FFFFFF"/>
              </w:rPr>
              <w:t>Human judgment or evidence needed</w:t>
            </w:r>
          </w:p>
        </w:tc>
      </w:tr>
      <w:tr>
        <w:trPr>
          <w:cantSplit/>
        </w:trPr>
        <w:tc>
          <w:tcPr>
            <w:tcW w:type="dxa" w:w="2458"/>
            <w:vAlign w:val="top"/>
            <w:shd w:fill="EDF2EE"/>
          </w:tcPr>
          <w:p>
            <w:pPr>
              <w:pStyle w:val="TableText"/>
              <w:keepNext w:val="0"/>
              <w:keepLines/>
            </w:pPr>
            <w:r>
              <w:t>Compare markets and premises</w:t>
            </w:r>
          </w:p>
        </w:tc>
        <w:tc>
          <w:tcPr>
            <w:tcW w:type="dxa" w:w="3782"/>
            <w:vAlign w:val="top"/>
            <w:shd w:fill="EDF2EE"/>
          </w:tcPr>
          <w:p>
            <w:pPr>
              <w:pStyle w:val="TableText"/>
              <w:keepNext w:val="0"/>
              <w:keepLines/>
            </w:pPr>
            <w:r>
              <w:t>Cited operator offers, catchments, room counts and measured site questions</w:t>
            </w:r>
          </w:p>
        </w:tc>
        <w:tc>
          <w:tcPr>
            <w:tcW w:type="dxa" w:w="3912"/>
            <w:vAlign w:val="top"/>
            <w:shd w:fill="EDF2EE"/>
          </w:tcPr>
          <w:p>
            <w:pPr>
              <w:pStyle w:val="TableText"/>
              <w:keepNext w:val="0"/>
              <w:keepLines/>
            </w:pPr>
            <w:r>
              <w:t>Whether an opportunity fits the business and warrants further investigation.</w:t>
            </w:r>
          </w:p>
        </w:tc>
      </w:tr>
      <w:tr>
        <w:trPr>
          <w:cantSplit/>
        </w:trPr>
        <w:tc>
          <w:tcPr>
            <w:tcW w:type="dxa" w:w="2458"/>
            <w:vAlign w:val="top"/>
            <w:shd w:fill="FFFFFF"/>
          </w:tcPr>
          <w:p>
            <w:pPr>
              <w:pStyle w:val="TableText"/>
              <w:keepNext w:val="0"/>
              <w:keepLines/>
            </w:pPr>
            <w:r>
              <w:t>Explore room concepts</w:t>
            </w:r>
          </w:p>
        </w:tc>
        <w:tc>
          <w:tcPr>
            <w:tcW w:type="dxa" w:w="3782"/>
            <w:vAlign w:val="top"/>
            <w:shd w:fill="FFFFFF"/>
          </w:tcPr>
          <w:p>
            <w:pPr>
              <w:pStyle w:val="TableText"/>
              <w:keepNext w:val="0"/>
              <w:keepLines/>
            </w:pPr>
            <w:r>
              <w:t>Alternative stories, puzzle dependencies, reset methods and parts lists</w:t>
            </w:r>
          </w:p>
        </w:tc>
        <w:tc>
          <w:tcPr>
            <w:tcW w:type="dxa" w:w="3912"/>
            <w:vAlign w:val="top"/>
            <w:shd w:fill="FFFFFF"/>
          </w:tcPr>
          <w:p>
            <w:pPr>
              <w:pStyle w:val="TableText"/>
              <w:keepNext w:val="0"/>
              <w:keepLines/>
            </w:pPr>
            <w:r>
              <w:t>Creative direction, playtesting, access needs and cultural authority.</w:t>
            </w:r>
          </w:p>
        </w:tc>
      </w:tr>
      <w:tr>
        <w:trPr>
          <w:cantSplit/>
        </w:trPr>
        <w:tc>
          <w:tcPr>
            <w:tcW w:type="dxa" w:w="2458"/>
            <w:vAlign w:val="top"/>
            <w:shd w:fill="EDF2EE"/>
          </w:tcPr>
          <w:p>
            <w:pPr>
              <w:pStyle w:val="TableText"/>
              <w:keepNext w:val="0"/>
              <w:keepLines/>
            </w:pPr>
            <w:r>
              <w:t>Compare new and used purchases</w:t>
            </w:r>
          </w:p>
        </w:tc>
        <w:tc>
          <w:tcPr>
            <w:tcW w:type="dxa" w:w="3782"/>
            <w:vAlign w:val="top"/>
            <w:shd w:fill="EDF2EE"/>
          </w:tcPr>
          <w:p>
            <w:pPr>
              <w:pStyle w:val="TableText"/>
              <w:keepNext w:val="0"/>
              <w:keepLines/>
            </w:pPr>
            <w:r>
              <w:t>Itemised delivered-cost comparisons with dates and missing fields</w:t>
            </w:r>
          </w:p>
        </w:tc>
        <w:tc>
          <w:tcPr>
            <w:tcW w:type="dxa" w:w="3912"/>
            <w:vAlign w:val="top"/>
            <w:shd w:fill="EDF2EE"/>
          </w:tcPr>
          <w:p>
            <w:pPr>
              <w:pStyle w:val="TableText"/>
              <w:keepNext w:val="0"/>
              <w:keepLines/>
            </w:pPr>
            <w:r>
              <w:t>Fitness, condition, actual quantities, availability and purchase choice.</w:t>
            </w:r>
          </w:p>
        </w:tc>
      </w:tr>
      <w:tr>
        <w:trPr>
          <w:cantSplit/>
        </w:trPr>
        <w:tc>
          <w:tcPr>
            <w:tcW w:type="dxa" w:w="2458"/>
            <w:vAlign w:val="top"/>
            <w:shd w:fill="FFFFFF"/>
          </w:tcPr>
          <w:p>
            <w:pPr>
              <w:pStyle w:val="TableText"/>
              <w:keepNext w:val="0"/>
              <w:keepLines/>
            </w:pPr>
            <w:r>
              <w:t>Calculate delivery and operation</w:t>
            </w:r>
          </w:p>
        </w:tc>
        <w:tc>
          <w:tcPr>
            <w:tcW w:type="dxa" w:w="3782"/>
            <w:vAlign w:val="top"/>
            <w:shd w:fill="FFFFFF"/>
          </w:tcPr>
          <w:p>
            <w:pPr>
              <w:pStyle w:val="TableText"/>
              <w:keepNext w:val="0"/>
              <w:keepLines/>
            </w:pPr>
            <w:r>
              <w:t>Editable hours, capacities, cash movements and sensitivity results</w:t>
            </w:r>
          </w:p>
        </w:tc>
        <w:tc>
          <w:tcPr>
            <w:tcW w:type="dxa" w:w="3912"/>
            <w:vAlign w:val="top"/>
            <w:shd w:fill="FFFFFF"/>
          </w:tcPr>
          <w:p>
            <w:pPr>
              <w:pStyle w:val="TableText"/>
              <w:keepNext w:val="0"/>
              <w:keepLines/>
            </w:pPr>
            <w:r>
              <w:t>Appropriate scope, actual contractor quotes and feasible staffing.</w:t>
            </w:r>
          </w:p>
        </w:tc>
      </w:tr>
      <w:tr>
        <w:trPr>
          <w:cantSplit/>
        </w:trPr>
        <w:tc>
          <w:tcPr>
            <w:tcW w:type="dxa" w:w="2458"/>
            <w:vAlign w:val="top"/>
            <w:shd w:fill="EDF2EE"/>
          </w:tcPr>
          <w:p>
            <w:pPr>
              <w:pStyle w:val="TableText"/>
              <w:keepNext w:val="0"/>
              <w:keepLines/>
            </w:pPr>
            <w:r>
              <w:t>Develop JIT learning material</w:t>
            </w:r>
          </w:p>
        </w:tc>
        <w:tc>
          <w:tcPr>
            <w:tcW w:type="dxa" w:w="3782"/>
            <w:vAlign w:val="top"/>
            <w:shd w:fill="EDF2EE"/>
          </w:tcPr>
          <w:p>
            <w:pPr>
              <w:pStyle w:val="TableText"/>
              <w:keepNext w:val="0"/>
              <w:keepLines/>
            </w:pPr>
            <w:r>
              <w:t>Draft task explanations, checklists and lesson sequences</w:t>
            </w:r>
          </w:p>
        </w:tc>
        <w:tc>
          <w:tcPr>
            <w:tcW w:type="dxa" w:w="3912"/>
            <w:vAlign w:val="top"/>
            <w:shd w:fill="EDF2EE"/>
          </w:tcPr>
          <w:p>
            <w:pPr>
              <w:pStyle w:val="TableText"/>
              <w:keepNext w:val="0"/>
              <w:keepLines/>
            </w:pPr>
            <w:r>
              <w:t>Skilled workers' methods, paid teaching time and observed task performance.</w:t>
            </w:r>
          </w:p>
        </w:tc>
      </w:tr>
      <w:tr>
        <w:trPr>
          <w:cantSplit/>
        </w:trPr>
        <w:tc>
          <w:tcPr>
            <w:tcW w:type="dxa" w:w="2458"/>
            <w:vAlign w:val="top"/>
            <w:shd w:fill="FFFFFF"/>
          </w:tcPr>
          <w:p>
            <w:pPr>
              <w:pStyle w:val="TableText"/>
              <w:keepNext w:val="0"/>
              <w:keepLines/>
            </w:pPr>
            <w:r>
              <w:t>Examine tourism connections</w:t>
            </w:r>
          </w:p>
        </w:tc>
        <w:tc>
          <w:tcPr>
            <w:tcW w:type="dxa" w:w="3782"/>
            <w:vAlign w:val="top"/>
            <w:shd w:fill="FFFFFF"/>
          </w:tcPr>
          <w:p>
            <w:pPr>
              <w:pStyle w:val="TableText"/>
              <w:keepNext w:val="0"/>
              <w:keepLines/>
            </w:pPr>
            <w:r>
              <w:t>Route concepts, booking alternatives and settlement arithmetic</w:t>
            </w:r>
          </w:p>
        </w:tc>
        <w:tc>
          <w:tcPr>
            <w:tcW w:type="dxa" w:w="3912"/>
            <w:vAlign w:val="top"/>
            <w:shd w:fill="FFFFFF"/>
          </w:tcPr>
          <w:p>
            <w:pPr>
              <w:pStyle w:val="TableText"/>
              <w:keepNext w:val="0"/>
              <w:keepLines/>
            </w:pPr>
            <w:r>
              <w:t>Actual partner interest, visitor demand and chosen commercial relationships.</w:t>
            </w:r>
          </w:p>
        </w:tc>
      </w:tr>
      <w:tr>
        <w:trPr>
          <w:cantSplit/>
        </w:trPr>
        <w:tc>
          <w:tcPr>
            <w:tcW w:type="dxa" w:w="2458"/>
            <w:vAlign w:val="top"/>
            <w:shd w:fill="EDF2EE"/>
          </w:tcPr>
          <w:p>
            <w:pPr>
              <w:pStyle w:val="TableText"/>
              <w:keepNext w:val="0"/>
              <w:keepLines/>
            </w:pPr>
            <w:r>
              <w:t>Examine language and learning</w:t>
            </w:r>
          </w:p>
        </w:tc>
        <w:tc>
          <w:tcPr>
            <w:tcW w:type="dxa" w:w="3782"/>
            <w:vAlign w:val="top"/>
            <w:shd w:fill="EDF2EE"/>
          </w:tcPr>
          <w:p>
            <w:pPr>
              <w:pStyle w:val="TableText"/>
              <w:keepNext w:val="0"/>
              <w:keepLines/>
            </w:pPr>
            <w:r>
              <w:t>Contextual examples and alternative interpretations</w:t>
            </w:r>
          </w:p>
        </w:tc>
        <w:tc>
          <w:tcPr>
            <w:tcW w:type="dxa" w:w="3912"/>
            <w:vAlign w:val="top"/>
            <w:shd w:fill="EDF2EE"/>
          </w:tcPr>
          <w:p>
            <w:pPr>
              <w:pStyle w:val="TableText"/>
              <w:keepNext w:val="0"/>
              <w:keepLines/>
            </w:pPr>
            <w:r>
              <w:t>Participant accounts, human review and evidence of transfer.</w:t>
            </w:r>
          </w:p>
        </w:tc>
      </w:tr>
    </w:tbl>
    <w:p>
      <w:pPr>
        <w:spacing w:after="20" w:before="0" w:line="240" w:lineRule="auto"/>
      </w:pPr>
      <w:r>
        <w:rPr>
          <w:sz w:val="6"/>
        </w:rPr>
      </w:r>
    </w:p>
    <w:p>
      <w:pPr/>
      <w:r>
        <w:t>These are types of work, not job appointments, contractor assignments or named software agents. They could be combined, divided or handled without AI according to what proves useful.</w:t>
      </w:r>
    </w:p>
    <w:p>
      <w:pPr>
        <w:pStyle w:val="SourceNote"/>
      </w:pPr>
      <w:r>
        <w:t xml:space="preserve">Sources: </w:t>
      </w:r>
      <w:hyperlink w:anchor="source_D05">
        <w:r>
          <w:rPr>
            <w:color w:val="275E67"/>
            <w:u w:val="single"/>
          </w:rPr>
          <w:t xml:space="preserve">D05</w:t>
        </w:r>
      </w:hyperlink>
      <w:r>
        <w:t xml:space="preserve">, </w:t>
      </w:r>
      <w:hyperlink w:anchor="source_D07">
        <w:r>
          <w:rPr>
            <w:color w:val="275E67"/>
            <w:u w:val="single"/>
          </w:rPr>
          <w:t xml:space="preserve">D07</w:t>
        </w:r>
      </w:hyperlink>
      <w:r>
        <w:t xml:space="preserve">, </w:t>
      </w:r>
      <w:hyperlink w:anchor="source_D08">
        <w:r>
          <w:rPr>
            <w:color w:val="275E67"/>
            <w:u w:val="single"/>
          </w:rPr>
          <w:t xml:space="preserve">D08</w:t>
        </w:r>
      </w:hyperlink>
    </w:p>
    <w:p>
      <w:bookmarkStart w:id="54" w:name="s_agent_roles_hiring_paid_labou_d6e69e"/>
      <w:pPr>
        <w:pStyle w:val="Heading2"/>
      </w:pPr>
      <w:r>
        <w:t>Paid labour contractors and specialist knowledge</w:t>
      </w:r>
      <w:bookmarkEnd w:id="54"/>
    </w:p>
    <w:p>
      <w:pPr/>
      <w:r>
        <w:t>Contractors, tradespeople, designers, educators and other specialists are part of the intended delivery capability. Their exact work, employment or contracting arrangements, and responsibilities need to follow the scope being considered. No provider or staffing model is selected here.</w:t>
      </w:r>
    </w:p>
    <w:p>
      <w:pPr/>
      <w:r>
        <w:t>An itemised comparison would include preparation, setup, any agreed travel, paid learning, specialist tasks, supervision, testing and handover. AI-generated hours remain assumptions until a scoped quote or observation supports them. Skilled judgment and qualified sign-off remain with the relevant people.</w:t>
      </w:r>
    </w:p>
    <w:p>
      <w:pPr/>
      <w:r>
        <w:t>JIT learning can help carry useful knowledge between paid crews. Comparing drawings, demonstrations, task rehearsal and recorded explanations would show which methods actually help a new team do the work. Filming, editing and mentoring also consume paid time and need their own cost lines.</w:t>
      </w:r>
    </w:p>
    <w:p>
      <w:pPr>
        <w:pStyle w:val="SourceNote"/>
      </w:pPr>
      <w:r>
        <w:t xml:space="preserve">Sources: </w:t>
      </w:r>
      <w:hyperlink w:anchor="source_D05">
        <w:r>
          <w:rPr>
            <w:color w:val="275E67"/>
            <w:u w:val="single"/>
          </w:rPr>
          <w:t xml:space="preserve">D05</w:t>
        </w:r>
      </w:hyperlink>
      <w:r>
        <w:t xml:space="preserve">, </w:t>
      </w:r>
      <w:hyperlink w:anchor="source_D13">
        <w:r>
          <w:rPr>
            <w:color w:val="275E67"/>
            <w:u w:val="single"/>
          </w:rPr>
          <w:t xml:space="preserve">D13</w:t>
        </w:r>
      </w:hyperlink>
      <w:r>
        <w:t xml:space="preserve">, </w:t>
      </w:r>
      <w:hyperlink w:anchor="source_P03">
        <w:r>
          <w:rPr>
            <w:color w:val="275E67"/>
            <w:u w:val="single"/>
          </w:rPr>
          <w:t xml:space="preserve">P03</w:t>
        </w:r>
      </w:hyperlink>
      <w:r>
        <w:t xml:space="preserve">, </w:t>
      </w:r>
      <w:hyperlink w:anchor="source_P05">
        <w:r>
          <w:rPr>
            <w:color w:val="275E67"/>
            <w:u w:val="single"/>
          </w:rPr>
          <w:t xml:space="preserve">P05</w:t>
        </w:r>
      </w:hyperlink>
    </w:p>
    <w:p>
      <w:bookmarkStart w:id="55" w:name="s_agent_roles_a_complete_approv_94c4ca"/>
      <w:pPr>
        <w:pStyle w:val="Heading2"/>
      </w:pPr>
      <w:r>
        <w:t>Questions for the next research round</w:t>
      </w:r>
      <w:bookmarkEnd w:id="55"/>
    </w:p>
    <w:p>
      <w:pPr/>
      <w:r>
        <w:t>The next useful outputs are clearer alternatives and better evidence: which customers value the concept, which room formats fit them, which costs can be supported, and how design, tourism and renewal could work together. The research decision register records those questions and the founder's actual choices when made.</w:t>
      </w:r>
    </w:p>
    <w:p>
      <w:pPr/>
      <w:r>
        <w:t>Software comparisons can include manual methods, individual AI-assisted tasks and more structured tools. Any future workflow design is a separate question to evaluate when there is a defined need. ROUND ONE establishes no delegated authority to contact, contract, purchase, schedule or operate customer services.</w:t>
      </w:r>
    </w:p>
    <w:p>
      <w:pPr>
        <w:pStyle w:val="SourceNote"/>
      </w:pPr>
      <w:r>
        <w:t xml:space="preserve">Sources: </w:t>
      </w:r>
      <w:hyperlink w:anchor="source_P14">
        <w:r>
          <w:rPr>
            <w:color w:val="275E67"/>
            <w:u w:val="single"/>
          </w:rPr>
          <w:t xml:space="preserve">P14</w:t>
        </w:r>
      </w:hyperlink>
    </w:p>
    <w:p>
      <w:bookmarkStart w:id="56" w:name="chapter_renewal"/>
      <w:pPr>
        <w:pStyle w:val="Heading1"/>
        <w:spacing w:before="360"/>
      </w:pPr>
      <w:r>
        <w:t>Renewal, rotation and useful asset life</w:t>
      </w:r>
      <w:bookmarkEnd w:id="56"/>
    </w:p>
    <w:p>
      <w:pPr>
        <w:pStyle w:val="Lead"/>
      </w:pPr>
      <w:r>
        <w:t>Compare renewal and rotation methods that could keep rooms useful, support repeat visits and make future costs visible.</w:t>
      </w:r>
    </w:p>
    <w:p>
      <w:bookmarkStart w:id="57" w:name="s_renewal_Four_lifecycles_to_ma_321517"/>
      <w:pPr>
        <w:pStyle w:val="Heading2"/>
      </w:pPr>
      <w:r>
        <w:t>Four lifecycles to manage</w:t>
      </w:r>
      <w:bookmarkEnd w:id="57"/>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688"/>
        <w:gridCol w:w="3515"/>
        <w:gridCol w:w="3949"/>
      </w:tblGrid>
      <w:tr>
        <w:trPr>
          <w:cantSplit/>
          <w:tblHeader w:val="true"/>
        </w:trPr>
        <w:tc>
          <w:tcPr>
            <w:tcW w:type="dxa" w:w="2688"/>
            <w:vAlign w:val="center"/>
            <w:shd w:fill="203B4C"/>
          </w:tcPr>
          <w:p>
            <w:pPr>
              <w:pStyle w:val="TableHead"/>
              <w:keepNext/>
              <w:keepLines/>
            </w:pPr>
            <w:r>
              <w:rPr>
                <w:color w:val="FFFFFF"/>
              </w:rPr>
              <w:t>Asset layer</w:t>
            </w:r>
          </w:p>
        </w:tc>
        <w:tc>
          <w:tcPr>
            <w:tcW w:type="dxa" w:w="3515"/>
            <w:vAlign w:val="center"/>
            <w:shd w:fill="203B4C"/>
          </w:tcPr>
          <w:p>
            <w:pPr>
              <w:pStyle w:val="TableHead"/>
              <w:keepNext/>
              <w:keepLines/>
            </w:pPr>
            <w:r>
              <w:rPr>
                <w:color w:val="FFFFFF"/>
              </w:rPr>
              <w:t>Review and service pattern</w:t>
            </w:r>
          </w:p>
        </w:tc>
        <w:tc>
          <w:tcPr>
            <w:tcW w:type="dxa" w:w="3949"/>
            <w:vAlign w:val="center"/>
            <w:shd w:fill="203B4C"/>
          </w:tcPr>
          <w:p>
            <w:pPr>
              <w:pStyle w:val="TableHead"/>
              <w:keepNext/>
              <w:keepLines/>
            </w:pPr>
            <w:r>
              <w:rPr>
                <w:color w:val="FFFFFF"/>
              </w:rPr>
              <w:t>Renewal decision</w:t>
            </w:r>
          </w:p>
        </w:tc>
      </w:tr>
      <w:tr>
        <w:trPr>
          <w:cantSplit/>
        </w:trPr>
        <w:tc>
          <w:tcPr>
            <w:tcW w:type="dxa" w:w="2688"/>
            <w:vAlign w:val="top"/>
            <w:shd w:fill="EDF2EE"/>
          </w:tcPr>
          <w:p>
            <w:pPr>
              <w:pStyle w:val="TableText"/>
              <w:keepNext w:val="0"/>
              <w:keepLines/>
            </w:pPr>
            <w:r>
              <w:t>Story, evidence and facilitator material</w:t>
            </w:r>
          </w:p>
        </w:tc>
        <w:tc>
          <w:tcPr>
            <w:tcW w:type="dxa" w:w="3515"/>
            <w:vAlign w:val="top"/>
            <w:shd w:fill="EDF2EE"/>
          </w:tcPr>
          <w:p>
            <w:pPr>
              <w:pStyle w:val="TableText"/>
              <w:keepNext w:val="0"/>
              <w:keepLines/>
            </w:pPr>
            <w:r>
              <w:t>Review after sessions and at a quarterly content meeting</w:t>
            </w:r>
          </w:p>
        </w:tc>
        <w:tc>
          <w:tcPr>
            <w:tcW w:type="dxa" w:w="3949"/>
            <w:vAlign w:val="top"/>
            <w:shd w:fill="EDF2EE"/>
          </w:tcPr>
          <w:p>
            <w:pPr>
              <w:pStyle w:val="TableText"/>
              <w:keepNext w:val="0"/>
              <w:keepLines/>
            </w:pPr>
            <w:r>
              <w:t>Revise unclear elements, add variants and retire familiar or weak scenarios.</w:t>
            </w:r>
          </w:p>
        </w:tc>
      </w:tr>
      <w:tr>
        <w:trPr>
          <w:cantSplit/>
        </w:trPr>
        <w:tc>
          <w:tcPr>
            <w:tcW w:type="dxa" w:w="2688"/>
            <w:vAlign w:val="top"/>
            <w:shd w:fill="FFFFFF"/>
          </w:tcPr>
          <w:p>
            <w:pPr>
              <w:pStyle w:val="TableText"/>
              <w:keepNext w:val="0"/>
              <w:keepLines/>
            </w:pPr>
            <w:r>
              <w:t>Props, furniture and moving mechanisms</w:t>
            </w:r>
          </w:p>
        </w:tc>
        <w:tc>
          <w:tcPr>
            <w:tcW w:type="dxa" w:w="3515"/>
            <w:vAlign w:val="top"/>
            <w:shd w:fill="FFFFFF"/>
          </w:tcPr>
          <w:p>
            <w:pPr>
              <w:pStyle w:val="TableText"/>
              <w:keepNext w:val="0"/>
              <w:keepLines/>
            </w:pPr>
            <w:r>
              <w:t>Reset checks, scheduled condition checks and recorded repairs</w:t>
            </w:r>
          </w:p>
        </w:tc>
        <w:tc>
          <w:tcPr>
            <w:tcW w:type="dxa" w:w="3949"/>
            <w:vAlign w:val="top"/>
            <w:shd w:fill="FFFFFF"/>
          </w:tcPr>
          <w:p>
            <w:pPr>
              <w:pStyle w:val="TableText"/>
              <w:keepNext w:val="0"/>
              <w:keepLines/>
            </w:pPr>
            <w:r>
              <w:t>Repair, refurbish or replace individual components against actual condition.</w:t>
            </w:r>
          </w:p>
        </w:tc>
      </w:tr>
      <w:tr>
        <w:trPr>
          <w:cantSplit/>
        </w:trPr>
        <w:tc>
          <w:tcPr>
            <w:tcW w:type="dxa" w:w="2688"/>
            <w:vAlign w:val="top"/>
            <w:shd w:fill="EDF2EE"/>
          </w:tcPr>
          <w:p>
            <w:pPr>
              <w:pStyle w:val="TableText"/>
              <w:keepNext w:val="0"/>
              <w:keepLines/>
            </w:pPr>
            <w:r>
              <w:t>Audio, controls, compute and network</w:t>
            </w:r>
          </w:p>
        </w:tc>
        <w:tc>
          <w:tcPr>
            <w:tcW w:type="dxa" w:w="3515"/>
            <w:vAlign w:val="top"/>
            <w:shd w:fill="EDF2EE"/>
          </w:tcPr>
          <w:p>
            <w:pPr>
              <w:pStyle w:val="TableText"/>
              <w:keepNext w:val="0"/>
              <w:keepLines/>
            </w:pPr>
            <w:r>
              <w:t>Functional checks, supported-version reviews and fault monitoring</w:t>
            </w:r>
          </w:p>
        </w:tc>
        <w:tc>
          <w:tcPr>
            <w:tcW w:type="dxa" w:w="3949"/>
            <w:vAlign w:val="top"/>
            <w:shd w:fill="EDF2EE"/>
          </w:tcPr>
          <w:p>
            <w:pPr>
              <w:pStyle w:val="TableText"/>
              <w:keepNext w:val="0"/>
              <w:keepLines/>
            </w:pPr>
            <w:r>
              <w:t>Replace unsupported or unreliable equipment and test integration before reopening.</w:t>
            </w:r>
          </w:p>
        </w:tc>
      </w:tr>
      <w:tr>
        <w:trPr>
          <w:cantSplit/>
        </w:trPr>
        <w:tc>
          <w:tcPr>
            <w:tcW w:type="dxa" w:w="2688"/>
            <w:vAlign w:val="top"/>
            <w:shd w:fill="FFFFFF"/>
          </w:tcPr>
          <w:p>
            <w:pPr>
              <w:pStyle w:val="TableText"/>
              <w:keepNext w:val="0"/>
              <w:keepLines/>
            </w:pPr>
            <w:r>
              <w:t>Building and fixed services</w:t>
            </w:r>
          </w:p>
        </w:tc>
        <w:tc>
          <w:tcPr>
            <w:tcW w:type="dxa" w:w="3515"/>
            <w:vAlign w:val="top"/>
            <w:shd w:fill="FFFFFF"/>
          </w:tcPr>
          <w:p>
            <w:pPr>
              <w:pStyle w:val="TableText"/>
              <w:keepNext w:val="0"/>
              <w:keepLines/>
            </w:pPr>
            <w:r>
              <w:t>Inspections and maintenance required by the actual premises and installations</w:t>
            </w:r>
          </w:p>
        </w:tc>
        <w:tc>
          <w:tcPr>
            <w:tcW w:type="dxa" w:w="3949"/>
            <w:vAlign w:val="top"/>
            <w:shd w:fill="FFFFFF"/>
          </w:tcPr>
          <w:p>
            <w:pPr>
              <w:pStyle w:val="TableText"/>
              <w:keepNext w:val="0"/>
              <w:keepLines/>
            </w:pPr>
            <w:r>
              <w:t>Fund the specific landlord or operator responsibilities in the lease and asset plan.</w:t>
            </w:r>
          </w:p>
        </w:tc>
      </w:tr>
    </w:tbl>
    <w:p>
      <w:pPr>
        <w:spacing w:after="20" w:before="0" w:line="240" w:lineRule="auto"/>
      </w:pPr>
      <w:r>
        <w:rPr>
          <w:sz w:val="6"/>
        </w:rPr>
      </w:r>
    </w:p>
    <w:p>
      <w:pPr/>
      <w:r>
        <w:t>The worked financial schedule ties replacement arithmetic to assumed asset quantities, benchmark prices and illustrative reserve horizons. Those horizons are modelling inputs to compare against actual condition and support. They do not claim that every item fails on a particular birthday.</w:t>
      </w:r>
    </w:p>
    <w:p>
      <w:pPr>
        <w:pStyle w:val="SourceNote"/>
      </w:pPr>
      <w:r>
        <w:t xml:space="preserve">Sources: </w:t>
      </w:r>
      <w:hyperlink w:anchor="source_D05">
        <w:r>
          <w:rPr>
            <w:color w:val="275E67"/>
            <w:u w:val="single"/>
          </w:rPr>
          <w:t xml:space="preserve">D05</w:t>
        </w:r>
      </w:hyperlink>
      <w:r>
        <w:t xml:space="preserve">, </w:t>
      </w:r>
      <w:hyperlink w:anchor="source_P14">
        <w:r>
          <w:rPr>
            <w:color w:val="275E67"/>
            <w:u w:val="single"/>
          </w:rPr>
          <w:t xml:space="preserve">P14</w:t>
        </w:r>
      </w:hyperlink>
    </w:p>
    <w:p>
      <w:bookmarkStart w:id="58" w:name="s_renewal_Itemised_renewal_prov_f9c229"/>
      <w:pPr>
        <w:pStyle w:val="Heading2"/>
      </w:pPr>
      <w:r>
        <w:t>Itemised renewal provision and timing</w:t>
      </w:r>
      <w:bookmarkEnd w:id="58"/>
    </w:p>
    <w:p>
      <w:pPr>
        <w:pStyle w:val="SourceNote"/>
        <w:keepNext/>
      </w:pPr>
      <w:r>
        <w:t>Worked illustration | 29 October 2026 | Quantities and business inputs are assumptions for comparison.</w:t>
      </w:r>
    </w:p>
    <w:p>
      <w:pPr/>
      <w:r>
        <w:t>For the priced prototype and furniture, the following renewal periods are inherited worked assumptions, not manufacturer promises: microphones and cables three years; control computer and UPS four; mixer five; used chairs three remaining years; used desks/cupboards five; new armchairs/tables seven. Review condition and service support annually. Reuse equipment where it remains suitable.</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172"/>
        <w:gridCol w:w="1637"/>
        <w:gridCol w:w="1959"/>
        <w:gridCol w:w="2090"/>
        <w:gridCol w:w="1147"/>
        <w:gridCol w:w="1147"/>
      </w:tblGrid>
      <w:tr>
        <w:trPr>
          <w:cantSplit/>
          <w:tblHeader w:val="true"/>
        </w:trPr>
        <w:tc>
          <w:tcPr>
            <w:tcW w:type="dxa" w:w="2172"/>
            <w:vAlign w:val="center"/>
            <w:shd w:fill="203B4C"/>
          </w:tcPr>
          <w:p>
            <w:pPr>
              <w:pStyle w:val="TableHead"/>
              <w:keepNext/>
              <w:keepLines/>
            </w:pPr>
            <w:r>
              <w:rPr>
                <w:color w:val="FFFFFF"/>
              </w:rPr>
              <w:t>Priced group</w:t>
            </w:r>
          </w:p>
        </w:tc>
        <w:tc>
          <w:tcPr>
            <w:tcW w:type="dxa" w:w="1637"/>
            <w:vAlign w:val="center"/>
            <w:shd w:fill="203B4C"/>
          </w:tcPr>
          <w:p>
            <w:pPr>
              <w:pStyle w:val="TableHead"/>
              <w:keepNext/>
              <w:keepLines/>
              <w:jc w:val="center"/>
            </w:pPr>
            <w:r>
              <w:rPr>
                <w:color w:val="FFFFFF"/>
              </w:rPr>
              <w:t>Initial displayed-price cost</w:t>
            </w:r>
          </w:p>
        </w:tc>
        <w:tc>
          <w:tcPr>
            <w:tcW w:type="dxa" w:w="1959"/>
            <w:vAlign w:val="center"/>
            <w:shd w:fill="203B4C"/>
          </w:tcPr>
          <w:p>
            <w:pPr>
              <w:pStyle w:val="TableHead"/>
              <w:keepNext/>
              <w:keepLines/>
              <w:jc w:val="center"/>
            </w:pPr>
            <w:r>
              <w:rPr>
                <w:color w:val="FFFFFF"/>
              </w:rPr>
              <w:t>Annual provision at current prices</w:t>
            </w:r>
          </w:p>
        </w:tc>
        <w:tc>
          <w:tcPr>
            <w:tcW w:type="dxa" w:w="2090"/>
            <w:vAlign w:val="center"/>
            <w:shd w:fill="203B4C"/>
          </w:tcPr>
          <w:p>
            <w:pPr>
              <w:pStyle w:val="TableHead"/>
              <w:keepNext/>
              <w:keepLines/>
              <w:jc w:val="center"/>
            </w:pPr>
            <w:r>
              <w:rPr>
                <w:color w:val="FFFFFF"/>
              </w:rPr>
              <w:t>Replacement purchases through year 3</w:t>
            </w:r>
          </w:p>
        </w:tc>
        <w:tc>
          <w:tcPr>
            <w:tcW w:type="dxa" w:w="1147"/>
            <w:vAlign w:val="center"/>
            <w:shd w:fill="203B4C"/>
          </w:tcPr>
          <w:p>
            <w:pPr>
              <w:pStyle w:val="TableHead"/>
              <w:keepNext/>
              <w:keepLines/>
              <w:jc w:val="center"/>
            </w:pPr>
            <w:r>
              <w:rPr>
                <w:color w:val="FFFFFF"/>
              </w:rPr>
              <w:t>Through year 5</w:t>
            </w:r>
          </w:p>
        </w:tc>
        <w:tc>
          <w:tcPr>
            <w:tcW w:type="dxa" w:w="1147"/>
            <w:vAlign w:val="center"/>
            <w:shd w:fill="203B4C"/>
          </w:tcPr>
          <w:p>
            <w:pPr>
              <w:pStyle w:val="TableHead"/>
              <w:keepNext/>
              <w:keepLines/>
              <w:jc w:val="center"/>
            </w:pPr>
            <w:r>
              <w:rPr>
                <w:color w:val="FFFFFF"/>
              </w:rPr>
              <w:t>Through year 10</w:t>
            </w:r>
          </w:p>
        </w:tc>
      </w:tr>
      <w:tr>
        <w:trPr>
          <w:cantSplit/>
        </w:trPr>
        <w:tc>
          <w:tcPr>
            <w:tcW w:type="dxa" w:w="2172"/>
            <w:vAlign w:val="top"/>
            <w:shd w:fill="EDF2EE"/>
          </w:tcPr>
          <w:p>
            <w:pPr>
              <w:pStyle w:val="TableText"/>
              <w:keepNext w:val="0"/>
              <w:keepLines/>
            </w:pPr>
            <w:r>
              <w:t>One-room capture/control prototype</w:t>
            </w:r>
          </w:p>
        </w:tc>
        <w:tc>
          <w:tcPr>
            <w:tcW w:type="dxa" w:w="1637"/>
            <w:vAlign w:val="center"/>
            <w:shd w:fill="EDF2EE"/>
          </w:tcPr>
          <w:p>
            <w:pPr>
              <w:pStyle w:val="TableText"/>
              <w:keepNext w:val="0"/>
              <w:keepLines/>
              <w:jc w:val="center"/>
            </w:pPr>
            <w:r>
              <w:t>$3,041.00</w:t>
            </w:r>
          </w:p>
        </w:tc>
        <w:tc>
          <w:tcPr>
            <w:tcW w:type="dxa" w:w="1959"/>
            <w:vAlign w:val="center"/>
            <w:shd w:fill="EDF2EE"/>
          </w:tcPr>
          <w:p>
            <w:pPr>
              <w:pStyle w:val="TableText"/>
              <w:keepNext w:val="0"/>
              <w:keepLines/>
              <w:jc w:val="center"/>
            </w:pPr>
            <w:r>
              <w:t>$860.17</w:t>
            </w:r>
          </w:p>
        </w:tc>
        <w:tc>
          <w:tcPr>
            <w:tcW w:type="dxa" w:w="2090"/>
            <w:vAlign w:val="center"/>
            <w:shd w:fill="EDF2EE"/>
          </w:tcPr>
          <w:p>
            <w:pPr>
              <w:pStyle w:val="TableText"/>
              <w:keepNext w:val="0"/>
              <w:keepLines/>
              <w:jc w:val="center"/>
            </w:pPr>
            <w:r>
              <w:t>$1,628.00</w:t>
            </w:r>
          </w:p>
        </w:tc>
        <w:tc>
          <w:tcPr>
            <w:tcW w:type="dxa" w:w="1147"/>
            <w:vAlign w:val="center"/>
            <w:shd w:fill="EDF2EE"/>
          </w:tcPr>
          <w:p>
            <w:pPr>
              <w:pStyle w:val="TableText"/>
              <w:keepNext w:val="0"/>
              <w:keepLines/>
              <w:jc w:val="center"/>
            </w:pPr>
            <w:r>
              <w:t>$3,041.00</w:t>
            </w:r>
          </w:p>
        </w:tc>
        <w:tc>
          <w:tcPr>
            <w:tcW w:type="dxa" w:w="1147"/>
            <w:vAlign w:val="center"/>
            <w:shd w:fill="EDF2EE"/>
          </w:tcPr>
          <w:p>
            <w:pPr>
              <w:pStyle w:val="TableText"/>
              <w:keepNext w:val="0"/>
              <w:keepLines/>
              <w:jc w:val="center"/>
            </w:pPr>
            <w:r>
              <w:t>$7,710.00</w:t>
            </w:r>
          </w:p>
        </w:tc>
      </w:tr>
      <w:tr>
        <w:trPr>
          <w:cantSplit/>
        </w:trPr>
        <w:tc>
          <w:tcPr>
            <w:tcW w:type="dxa" w:w="2172"/>
            <w:vAlign w:val="top"/>
            <w:shd w:fill="FFFFFF"/>
          </w:tcPr>
          <w:p>
            <w:pPr>
              <w:pStyle w:val="TableText"/>
              <w:keepNext w:val="0"/>
              <w:keepLines/>
            </w:pPr>
            <w:r>
              <w:t>Four-room shared furniture</w:t>
            </w:r>
          </w:p>
        </w:tc>
        <w:tc>
          <w:tcPr>
            <w:tcW w:type="dxa" w:w="1637"/>
            <w:vAlign w:val="center"/>
            <w:shd w:fill="FFFFFF"/>
          </w:tcPr>
          <w:p>
            <w:pPr>
              <w:pStyle w:val="TableText"/>
              <w:keepNext w:val="0"/>
              <w:keepLines/>
              <w:jc w:val="center"/>
            </w:pPr>
            <w:r>
              <w:t>$4,028.00</w:t>
            </w:r>
          </w:p>
        </w:tc>
        <w:tc>
          <w:tcPr>
            <w:tcW w:type="dxa" w:w="1959"/>
            <w:vAlign w:val="center"/>
            <w:shd w:fill="FFFFFF"/>
          </w:tcPr>
          <w:p>
            <w:pPr>
              <w:pStyle w:val="TableText"/>
              <w:keepNext w:val="0"/>
              <w:keepLines/>
              <w:jc w:val="center"/>
            </w:pPr>
            <w:r>
              <w:t>$859.77</w:t>
            </w:r>
          </w:p>
        </w:tc>
        <w:tc>
          <w:tcPr>
            <w:tcW w:type="dxa" w:w="2090"/>
            <w:vAlign w:val="center"/>
            <w:shd w:fill="FFFFFF"/>
          </w:tcPr>
          <w:p>
            <w:pPr>
              <w:pStyle w:val="TableText"/>
              <w:keepNext w:val="0"/>
              <w:keepLines/>
              <w:jc w:val="center"/>
            </w:pPr>
            <w:r>
              <w:t>$1,248.00</w:t>
            </w:r>
          </w:p>
        </w:tc>
        <w:tc>
          <w:tcPr>
            <w:tcW w:type="dxa" w:w="1147"/>
            <w:vAlign w:val="center"/>
            <w:shd w:fill="FFFFFF"/>
          </w:tcPr>
          <w:p>
            <w:pPr>
              <w:pStyle w:val="TableText"/>
              <w:keepNext w:val="0"/>
              <w:keepLines/>
              <w:jc w:val="center"/>
            </w:pPr>
            <w:r>
              <w:t>$2,064.00</w:t>
            </w:r>
          </w:p>
        </w:tc>
        <w:tc>
          <w:tcPr>
            <w:tcW w:type="dxa" w:w="1147"/>
            <w:vAlign w:val="center"/>
            <w:shd w:fill="FFFFFF"/>
          </w:tcPr>
          <w:p>
            <w:pPr>
              <w:pStyle w:val="TableText"/>
              <w:keepNext w:val="0"/>
              <w:keepLines/>
              <w:jc w:val="center"/>
            </w:pPr>
            <w:r>
              <w:t>$7,340.00</w:t>
            </w:r>
          </w:p>
        </w:tc>
      </w:tr>
    </w:tbl>
    <w:p>
      <w:pPr>
        <w:spacing w:after="20" w:before="0" w:line="240" w:lineRule="auto"/>
      </w:pPr>
      <w:r>
        <w:rPr>
          <w:sz w:val="6"/>
        </w:rPr>
      </w:r>
    </w:p>
    <w:p>
      <w:pPr/>
      <w:r>
        <w:t>These are separate groups, so do not describe the one-room equipment provision as the cost of renewing four-room audio. Prices are held in October 2026 dollars for comparability. Reprice actual replacement orders and update the provision; no resale credit is assumed.</w:t>
      </w:r>
    </w:p>
    <w:p>
      <w:pPr/>
      <w:r>
        <w:t>For the four standard room-package comparison, funding $297,300 over five years requires $59,460 a year at the displayed prices, before freight, taxes, installation and customisation. This creates a clear benchmark for a complete-theme replacement option at years 5 and 10. Any modular designs eventually chosen would need their own replacement bill, and a midlife refit or redeployment can use that provision when it offers better value. This illustration is not a requirement to discard useful rooms every five years.</w:t>
      </w:r>
    </w:p>
    <w:p>
      <w:pPr>
        <w:pStyle w:val="Heading3"/>
      </w:pPr>
      <w:r>
        <w:t>Worked maintenance and closure assumptions</w:t>
      </w:r>
    </w:p>
    <w:p>
      <w:pPr>
        <w:pStyle w:val="ListBullet"/>
      </w:pPr>
      <w:r>
        <w:rPr>
          <w:b/>
        </w:rPr>
        <w:t>Each reset:</w:t>
      </w:r>
      <w:r>
        <w:t xml:space="preserve"> recorded prop count, mechanism and safety checks, microphone cleaning/charge, version confirmation and test state. Time is already in the room cycle; consumables follow the actual supplier bill.</w:t>
      </w:r>
    </w:p>
    <w:p>
      <w:pPr>
        <w:pStyle w:val="ListBullet"/>
      </w:pPr>
      <w:r>
        <w:rPr>
          <w:b/>
        </w:rPr>
        <w:t>Monthly illustration:</w:t>
      </w:r>
      <w:r>
        <w:t xml:space="preserve"> an assumed two technical hours per room for a detailed mechanical inspection and repairs. Across four rooms this is 96 hours a year. At the published shopfitting range of $65-$85/hour, the labour component is $6,240-$8,160 excluding GST, with parts and electronics specialists separate. [</w:t>
      </w:r>
      <w:hyperlink w:anchor="source_R104">
        <w:r>
          <w:rPr>
            <w:color w:val="275E67"/>
            <w:u w:val="single"/>
          </w:rPr>
          <w:t xml:space="preserve">R104</w:t>
        </w:r>
      </w:hyperlink>
      <w:r>
        <w:t>]</w:t>
      </w:r>
    </w:p>
    <w:p>
      <w:pPr>
        <w:pStyle w:val="ListBullet"/>
      </w:pPr>
      <w:r>
        <w:rPr>
          <w:b/>
        </w:rPr>
        <w:t>Quarterly illustration:</w:t>
      </w:r>
      <w:r>
        <w:t xml:space="preserve"> one assumed blocked trading day per room for a version change and fresh-group check. The 128 unavailable sessions are already removed from annual capacity. Each update gets a task brief and content/technical quote.</w:t>
      </w:r>
    </w:p>
    <w:p>
      <w:pPr>
        <w:pStyle w:val="ListBullet"/>
      </w:pPr>
      <w:r>
        <w:rPr>
          <w:b/>
        </w:rPr>
        <w:t>Year 3:</w:t>
      </w:r>
      <w:r>
        <w:t xml:space="preserve"> review repeat demand, content saturation, wear, remaining support and the return from repair, new puzzle paths, room exchange or retirement.</w:t>
      </w:r>
    </w:p>
    <w:p>
      <w:pPr>
        <w:pStyle w:val="ListBullet"/>
      </w:pPr>
      <w:r>
        <w:rPr>
          <w:b/>
        </w:rPr>
        <w:t>Years 4-5:</w:t>
      </w:r>
      <w:r>
        <w:t xml:space="preserve"> compare technology and physical renewal needs against the asset-specific provision. Quote freight, reinstallation and recommissioning when rooms move.</w:t>
      </w:r>
    </w:p>
    <w:p>
      <w:pPr>
        <w:pStyle w:val="ListBullet"/>
      </w:pPr>
      <w:r>
        <w:rPr>
          <w:b/>
        </w:rPr>
        <w:t>Years 8-10:</w:t>
      </w:r>
      <w:r>
        <w:t xml:space="preserve"> repeat technology review, inspect the long-lived partitions/services, revisit access and the room mix, and prepare the next capital schedule. Useful parts can move to another location after safety, data handling, support and receiving-site checks.</w:t>
      </w:r>
    </w:p>
    <w:p>
      <w:pPr/>
      <w:r>
        <w:t>A content renewal brief can be priced as explicit deliverables: revised story/clue set, alternate route, accessible version, no-hint playtest, facilitator notes, updated reset guide and JIT lesson. The writer, educator, prop maker and testing time each receive a quantity and quoted rate. It is not hidden within an unexplained annual content allowance.</w:t>
      </w:r>
    </w:p>
    <w:p>
      <w:pPr>
        <w:pStyle w:val="SourceNote"/>
      </w:pPr>
      <w:r>
        <w:t xml:space="preserve">Sources: </w:t>
      </w:r>
      <w:hyperlink w:anchor="source_R104">
        <w:r>
          <w:rPr>
            <w:color w:val="275E67"/>
            <w:u w:val="single"/>
          </w:rPr>
          <w:t xml:space="preserve">R104</w:t>
        </w:r>
      </w:hyperlink>
      <w:r>
        <w:t xml:space="preserve">, </w:t>
      </w:r>
      <w:hyperlink w:anchor="source_R106">
        <w:r>
          <w:rPr>
            <w:color w:val="275E67"/>
            <w:u w:val="single"/>
          </w:rPr>
          <w:t xml:space="preserve">R106</w:t>
        </w:r>
      </w:hyperlink>
      <w:r>
        <w:t xml:space="preserve">, </w:t>
      </w:r>
      <w:hyperlink w:anchor="source_R108">
        <w:r>
          <w:rPr>
            <w:color w:val="275E67"/>
            <w:u w:val="single"/>
          </w:rPr>
          <w:t xml:space="preserve">R108</w:t>
        </w:r>
      </w:hyperlink>
      <w:r>
        <w:t xml:space="preserve">, </w:t>
      </w:r>
      <w:hyperlink w:anchor="source_R109">
        <w:r>
          <w:rPr>
            <w:color w:val="275E67"/>
            <w:u w:val="single"/>
          </w:rPr>
          <w:t xml:space="preserve">R109</w:t>
        </w:r>
      </w:hyperlink>
      <w:r>
        <w:t xml:space="preserve">, </w:t>
      </w:r>
      <w:hyperlink w:anchor="source_R111">
        <w:r>
          <w:rPr>
            <w:color w:val="275E67"/>
            <w:u w:val="single"/>
          </w:rPr>
          <w:t xml:space="preserve">R111</w:t>
        </w:r>
      </w:hyperlink>
      <w:r>
        <w:t xml:space="preserve">, </w:t>
      </w:r>
      <w:hyperlink w:anchor="source_R112">
        <w:r>
          <w:rPr>
            <w:color w:val="275E67"/>
            <w:u w:val="single"/>
          </w:rPr>
          <w:t xml:space="preserve">R112</w:t>
        </w:r>
      </w:hyperlink>
      <w:r>
        <w:t xml:space="preserve">, </w:t>
      </w:r>
      <w:hyperlink w:anchor="source_R113">
        <w:r>
          <w:rPr>
            <w:color w:val="275E67"/>
            <w:u w:val="single"/>
          </w:rPr>
          <w:t xml:space="preserve">R113</w:t>
        </w:r>
      </w:hyperlink>
      <w:r>
        <w:t xml:space="preserve">, </w:t>
      </w:r>
      <w:hyperlink w:anchor="source_R114">
        <w:r>
          <w:rPr>
            <w:color w:val="275E67"/>
            <w:u w:val="single"/>
          </w:rPr>
          <w:t xml:space="preserve">R114</w:t>
        </w:r>
      </w:hyperlink>
      <w:r>
        <w:t xml:space="preserve">, </w:t>
      </w:r>
      <w:hyperlink w:anchor="source_R115">
        <w:r>
          <w:rPr>
            <w:color w:val="275E67"/>
            <w:u w:val="single"/>
          </w:rPr>
          <w:t xml:space="preserve">R115</w:t>
        </w:r>
      </w:hyperlink>
      <w:r>
        <w:t xml:space="preserve">, </w:t>
      </w:r>
      <w:hyperlink w:anchor="source_R116">
        <w:r>
          <w:rPr>
            <w:color w:val="275E67"/>
            <w:u w:val="single"/>
          </w:rPr>
          <w:t xml:space="preserve">R116</w:t>
        </w:r>
      </w:hyperlink>
      <w:r>
        <w:t xml:space="preserve">, </w:t>
      </w:r>
      <w:hyperlink w:anchor="source_R117">
        <w:r>
          <w:rPr>
            <w:color w:val="275E67"/>
            <w:u w:val="single"/>
          </w:rPr>
          <w:t xml:space="preserve">R117</w:t>
        </w:r>
      </w:hyperlink>
    </w:p>
    <w:p>
      <w:bookmarkStart w:id="59" w:name="s_renewal_Content_renewal_and_r_9d448d"/>
      <w:pPr>
        <w:pStyle w:val="Heading2"/>
      </w:pPr>
      <w:r>
        <w:t>Content renewal and room rotation</w:t>
      </w:r>
      <w:bookmarkEnd w:id="59"/>
    </w:p>
    <w:p>
      <w:pPr/>
      <w:r>
        <w:t>Create several scenario variants around durable mechanisms. Change evidence, roles, dependencies and the final decision so a returning participant encounters a new task. Preserve the room's reset reliability and learning purpose as the story changes.</w:t>
      </w:r>
    </w:p>
    <w:p>
      <w:pPr/>
      <w:r>
        <w:t>When a room has a stronger audience elsewhere, prepare a rotation proposal. Record the module condition, ownership, receiving layout, changes, transport dimensions, freight quote, installation labour, commissioning, training, downtime and settlement. A room relocation is a costed project with an accountable receiving operator.</w:t>
      </w:r>
    </w:p>
    <w:p>
      <w:pPr/>
      <w:r>
        <w:t>A future network catalogue could show where each version is operating. Customers can choose new experiences without a private learning record being shared across the network. The asset record tracks the parts; the participant chooses which learning continues with them.</w:t>
      </w:r>
    </w:p>
    <w:p>
      <w:pPr>
        <w:pStyle w:val="SourceNote"/>
      </w:pPr>
      <w:r>
        <w:t xml:space="preserve">Sources: </w:t>
      </w:r>
      <w:hyperlink w:anchor="source_M16">
        <w:r>
          <w:rPr>
            <w:color w:val="275E67"/>
            <w:u w:val="single"/>
          </w:rPr>
          <w:t xml:space="preserve">M16</w:t>
        </w:r>
      </w:hyperlink>
      <w:r>
        <w:t xml:space="preserve">, </w:t>
      </w:r>
      <w:hyperlink w:anchor="source_D07">
        <w:r>
          <w:rPr>
            <w:color w:val="275E67"/>
            <w:u w:val="single"/>
          </w:rPr>
          <w:t xml:space="preserve">D07</w:t>
        </w:r>
      </w:hyperlink>
    </w:p>
    <w:p>
      <w:bookmarkStart w:id="60" w:name="s_renewal_Pay_for_downtime_as_w_569e18"/>
      <w:pPr>
        <w:pStyle w:val="Heading2"/>
      </w:pPr>
      <w:r>
        <w:t>Pay for downtime as well as parts</w:t>
      </w:r>
      <w:bookmarkEnd w:id="60"/>
    </w:p>
    <w:p>
      <w:pPr/>
      <w:r>
        <w:t>A renewal schedule includes closed room sessions and the staff or host costs that continue while work happens. Where feasible, rotate one room at a time and use quieter periods. Temporary reductions in room capacity also affect school and corporate booking limits.</w:t>
      </w:r>
    </w:p>
    <w:p>
      <w:pPr/>
      <w:r>
        <w:t>Calculate the cash effect using the sessions displaced, expected sold share, actual group size, net ticket yield and avoidable delivery costs. Avoid treating every unavailable slot as a sold ticket, and avoid treating a closed room as cost-free.</w:t>
      </w:r>
    </w:p>
    <w:p>
      <w:pPr/>
      <w:r>
        <w:t>The reserve would need to remain visible in an operating forecast. An actual renewal would draw on it against its costed scope. A new design release updates the spatial record, parts list, reset procedure, learner material and receiving crew's task pack.</w:t>
      </w:r>
    </w:p>
    <w:p>
      <w:pPr>
        <w:pStyle w:val="SourceNote"/>
      </w:pPr>
      <w:r>
        <w:t xml:space="preserve">Sources: </w:t>
      </w:r>
      <w:hyperlink w:anchor="source_D05">
        <w:r>
          <w:rPr>
            <w:color w:val="275E67"/>
            <w:u w:val="single"/>
          </w:rPr>
          <w:t xml:space="preserve">D05</w:t>
        </w:r>
      </w:hyperlink>
      <w:r>
        <w:t xml:space="preserve">, </w:t>
      </w:r>
      <w:hyperlink w:anchor="source_P05">
        <w:r>
          <w:rPr>
            <w:color w:val="275E67"/>
            <w:u w:val="single"/>
          </w:rPr>
          <w:t xml:space="preserve">P05</w:t>
        </w:r>
      </w:hyperlink>
      <w:r>
        <w:t xml:space="preserve">, </w:t>
      </w:r>
      <w:hyperlink w:anchor="source_P14">
        <w:r>
          <w:rPr>
            <w:color w:val="275E67"/>
            <w:u w:val="single"/>
          </w:rPr>
          <w:t xml:space="preserve">P14</w:t>
        </w:r>
      </w:hyperlink>
    </w:p>
    <w:p>
      <w:bookmarkStart w:id="61" w:name="chapter_partnerships"/>
      <w:pPr>
        <w:pStyle w:val="Heading1"/>
        <w:spacing w:before="360"/>
      </w:pPr>
      <w:r>
        <w:t>Local enterprise, councils and a fair go</w:t>
      </w:r>
      <w:bookmarkEnd w:id="61"/>
    </w:p>
    <w:p>
      <w:pPr>
        <w:pStyle w:val="Lead"/>
      </w:pPr>
      <w:r>
        <w:t>Examine participation options for local businesses, councils and communities without presuming a commercial structure or partner commitment.</w:t>
      </w:r>
    </w:p>
    <w:p>
      <w:bookmarkStart w:id="62" w:name="s_partnerships_Commercial_parti_f9c847"/>
      <w:pPr>
        <w:pStyle w:val="Heading2"/>
      </w:pPr>
      <w:r>
        <w:t>Commercial participation without a compulsory structure</w:t>
      </w:r>
      <w:bookmarkEnd w:id="62"/>
    </w:p>
    <w:p>
      <w:pPr/>
      <w:r>
        <w:t>An existing escape operator can join distribution or install a new room. A tourism business can host a room or supply a linked experience. A local co-operative can own assets and employ people. A maker or trade business can deliver installation and renewal work. Agreements define the chosen relationship and its price.</w:t>
      </w:r>
    </w:p>
    <w:p>
      <w:pPr/>
      <w:r>
        <w:t>A deployment service could maintain shared design records and learning material. Potential local contributions include place knowledge, people, premises, stories and customer relationships. The structure can support private businesses, co-operatives, community organisations and institutional hosts without requiring them to become one organisation.</w:t>
      </w:r>
    </w:p>
    <w:p>
      <w:pPr/>
      <w:r>
        <w:t>Mutual Futures adds a route for succession and paid knowledge transfer from experienced owners. 500 Queens offers a connection for women-led enterprise, leadership and investment development. Participation and finance are developed through actual agreements.</w:t>
      </w:r>
    </w:p>
    <w:p>
      <w:pPr>
        <w:pStyle w:val="SourceNote"/>
      </w:pPr>
      <w:r>
        <w:t xml:space="preserve">Sources: </w:t>
      </w:r>
      <w:hyperlink w:anchor="source_D10">
        <w:r>
          <w:rPr>
            <w:color w:val="275E67"/>
            <w:u w:val="single"/>
          </w:rPr>
          <w:t xml:space="preserve">D10</w:t>
        </w:r>
      </w:hyperlink>
      <w:r>
        <w:t xml:space="preserve">, </w:t>
      </w:r>
      <w:hyperlink w:anchor="source_D12">
        <w:r>
          <w:rPr>
            <w:color w:val="275E67"/>
            <w:u w:val="single"/>
          </w:rPr>
          <w:t xml:space="preserve">D12</w:t>
        </w:r>
      </w:hyperlink>
      <w:r>
        <w:t xml:space="preserve">, </w:t>
      </w:r>
      <w:hyperlink w:anchor="source_D13">
        <w:r>
          <w:rPr>
            <w:color w:val="275E67"/>
            <w:u w:val="single"/>
          </w:rPr>
          <w:t xml:space="preserve">D13</w:t>
        </w:r>
      </w:hyperlink>
      <w:r>
        <w:t xml:space="preserve">, </w:t>
      </w:r>
      <w:hyperlink w:anchor="source_P03">
        <w:r>
          <w:rPr>
            <w:color w:val="275E67"/>
            <w:u w:val="single"/>
          </w:rPr>
          <w:t xml:space="preserve">P03</w:t>
        </w:r>
      </w:hyperlink>
      <w:r>
        <w:t xml:space="preserve">, </w:t>
      </w:r>
      <w:hyperlink w:anchor="source_P04">
        <w:r>
          <w:rPr>
            <w:color w:val="275E67"/>
            <w:u w:val="single"/>
          </w:rPr>
          <w:t xml:space="preserve">P04</w:t>
        </w:r>
      </w:hyperlink>
      <w:r>
        <w:t xml:space="preserve">, </w:t>
      </w:r>
      <w:hyperlink w:anchor="source_P05">
        <w:r>
          <w:rPr>
            <w:color w:val="275E67"/>
            <w:u w:val="single"/>
          </w:rPr>
          <w:t xml:space="preserve">P05</w:t>
        </w:r>
      </w:hyperlink>
    </w:p>
    <w:p>
      <w:bookmarkStart w:id="63" w:name="s_partnerships_The_council_and__8ce7dc"/>
      <w:pPr>
        <w:pStyle w:val="Heading2"/>
      </w:pPr>
      <w:r>
        <w:t>The council and regional tourism offer</w:t>
      </w:r>
      <w:bookmarkEnd w:id="63"/>
    </w:p>
    <w:p>
      <w:pPr/>
      <w:r>
        <w:t>A council or tourism body can help identify suitable precincts, available premises, local supplier capacity, visitor information, event calendars and relevant programmes. A proposed venue offers a specific local economic case: additional bookable experiences, paid work, repeat visitors, partner referrals, accessible participation and documented learning.</w:t>
      </w:r>
    </w:p>
    <w:p>
      <w:pPr/>
      <w:r>
        <w:t>The opportunity research can cover Australia. Public information can establish possible regional connections before any decision about outreach. Deployment then follows the combination of a viable host, customer demand, delivery people, costed premises, finance and an attractive route through other participating places.</w:t>
      </w:r>
    </w:p>
    <w:p>
      <w:pPr/>
      <w:r>
        <w:t>Council, regional and electorate maps can provide overlapping views of the same venues and assets. The register counts a physical room once, even when several geographic or programme views include it. Aggregate local results can support public discussion without exposing personal Aura records.</w:t>
      </w:r>
    </w:p>
    <w:p>
      <w:pPr>
        <w:pStyle w:val="SourceNote"/>
      </w:pPr>
      <w:r>
        <w:t xml:space="preserve">Sources: </w:t>
      </w:r>
      <w:hyperlink w:anchor="source_D01">
        <w:r>
          <w:rPr>
            <w:color w:val="275E67"/>
            <w:u w:val="single"/>
          </w:rPr>
          <w:t xml:space="preserve">D01</w:t>
        </w:r>
      </w:hyperlink>
      <w:r>
        <w:t xml:space="preserve">, </w:t>
      </w:r>
      <w:hyperlink w:anchor="source_D15">
        <w:r>
          <w:rPr>
            <w:color w:val="275E67"/>
            <w:u w:val="single"/>
          </w:rPr>
          <w:t xml:space="preserve">D15</w:t>
        </w:r>
      </w:hyperlink>
      <w:r>
        <w:t xml:space="preserve">, </w:t>
      </w:r>
      <w:hyperlink w:anchor="source_P10">
        <w:r>
          <w:rPr>
            <w:color w:val="275E67"/>
            <w:u w:val="single"/>
          </w:rPr>
          <w:t xml:space="preserve">P10</w:t>
        </w:r>
      </w:hyperlink>
      <w:r>
        <w:t xml:space="preserve">, </w:t>
      </w:r>
      <w:hyperlink w:anchor="source_M06">
        <w:r>
          <w:rPr>
            <w:color w:val="275E67"/>
            <w:u w:val="single"/>
          </w:rPr>
          <w:t xml:space="preserve">M06</w:t>
        </w:r>
      </w:hyperlink>
      <w:r>
        <w:t xml:space="preserve">, </w:t>
      </w:r>
      <w:hyperlink w:anchor="source_M21">
        <w:r>
          <w:rPr>
            <w:color w:val="275E67"/>
            <w:u w:val="single"/>
          </w:rPr>
          <w:t xml:space="preserve">M21</w:t>
        </w:r>
      </w:hyperlink>
      <w:r>
        <w:t xml:space="preserve">, </w:t>
      </w:r>
      <w:hyperlink w:anchor="source_M22">
        <w:r>
          <w:rPr>
            <w:color w:val="275E67"/>
            <w:u w:val="single"/>
          </w:rPr>
          <w:t xml:space="preserve">M22</w:t>
        </w:r>
      </w:hyperlink>
    </w:p>
    <w:p>
      <w:bookmarkStart w:id="64" w:name="s_partnerships_Aura__civic_proj_257b44"/>
      <w:pPr>
        <w:pStyle w:val="Heading2"/>
      </w:pPr>
      <w:r>
        <w:t>Aura, civic projects and cultural authority</w:t>
      </w:r>
      <w:bookmarkEnd w:id="64"/>
    </w:p>
    <w:p>
      <w:pPr/>
      <w:r>
        <w:t>Aura of Intelligence is an intended connection to examine for participant-directed learning continuity and records of deployed rooms. p4a-xyz-cinema can connect public explanations, civic maps and scenarios about collective choices. Skillful participation can include disagreement, questioning and a change of mind.</w:t>
      </w:r>
    </w:p>
    <w:p>
      <w:pPr/>
      <w:r>
        <w:t>Local stories, cultural knowledge and place-based experiences are developed with the relevant people and permissions. A cultural host controls its own offer and material. Payments, attribution, permitted uses and any ongoing reuse are specified in the agreement. Individual personal records and collectively held cultural material retain their respective authority.</w:t>
      </w:r>
    </w:p>
    <w:p>
      <w:pPr/>
      <w:r>
        <w:t>The Global Sensorium contributes investigation methods: compare models, inspect assumptions, choose an observation and explain a revision. These methods can become simple physical investigations for younger groups and richer science or civic scenarios for adults.</w:t>
      </w:r>
    </w:p>
    <w:p>
      <w:pPr>
        <w:pStyle w:val="SourceNote"/>
      </w:pPr>
      <w:r>
        <w:t xml:space="preserve">Sources: </w:t>
      </w:r>
      <w:hyperlink w:anchor="source_D02">
        <w:r>
          <w:rPr>
            <w:color w:val="275E67"/>
            <w:u w:val="single"/>
          </w:rPr>
          <w:t xml:space="preserve">D02</w:t>
        </w:r>
      </w:hyperlink>
      <w:r>
        <w:t xml:space="preserve">, </w:t>
      </w:r>
      <w:hyperlink w:anchor="source_D04">
        <w:r>
          <w:rPr>
            <w:color w:val="275E67"/>
            <w:u w:val="single"/>
          </w:rPr>
          <w:t xml:space="preserve">D04</w:t>
        </w:r>
      </w:hyperlink>
      <w:r>
        <w:t xml:space="preserve">, </w:t>
      </w:r>
      <w:hyperlink w:anchor="source_D07">
        <w:r>
          <w:rPr>
            <w:color w:val="275E67"/>
            <w:u w:val="single"/>
          </w:rPr>
          <w:t xml:space="preserve">D07</w:t>
        </w:r>
      </w:hyperlink>
      <w:r>
        <w:t xml:space="preserve">, </w:t>
      </w:r>
      <w:hyperlink w:anchor="source_D14">
        <w:r>
          <w:rPr>
            <w:color w:val="275E67"/>
            <w:u w:val="single"/>
          </w:rPr>
          <w:t xml:space="preserve">D14</w:t>
        </w:r>
      </w:hyperlink>
      <w:r>
        <w:t xml:space="preserve">, </w:t>
      </w:r>
      <w:hyperlink w:anchor="source_D15">
        <w:r>
          <w:rPr>
            <w:color w:val="275E67"/>
            <w:u w:val="single"/>
          </w:rPr>
          <w:t xml:space="preserve">D15</w:t>
        </w:r>
      </w:hyperlink>
      <w:r>
        <w:t xml:space="preserve">, </w:t>
      </w:r>
      <w:hyperlink w:anchor="source_P02">
        <w:r>
          <w:rPr>
            <w:color w:val="275E67"/>
            <w:u w:val="single"/>
          </w:rPr>
          <w:t xml:space="preserve">P02</w:t>
        </w:r>
      </w:hyperlink>
      <w:r>
        <w:t xml:space="preserve">, </w:t>
      </w:r>
      <w:hyperlink w:anchor="source_P10">
        <w:r>
          <w:rPr>
            <w:color w:val="275E67"/>
            <w:u w:val="single"/>
          </w:rPr>
          <w:t xml:space="preserve">P10</w:t>
        </w:r>
      </w:hyperlink>
      <w:r>
        <w:t xml:space="preserve">, </w:t>
      </w:r>
      <w:hyperlink w:anchor="source_P11">
        <w:r>
          <w:rPr>
            <w:color w:val="275E67"/>
            <w:u w:val="single"/>
          </w:rPr>
          <w:t xml:space="preserve">P11</w:t>
        </w:r>
      </w:hyperlink>
    </w:p>
    <w:p>
      <w:bookmarkStart w:id="65" w:name="s_partnerships_Whole_life_parti_54832d"/>
      <w:pPr>
        <w:pStyle w:val="Heading2"/>
      </w:pPr>
      <w:r>
        <w:t>Whole-life participation and access</w:t>
      </w:r>
      <w:bookmarkEnd w:id="65"/>
    </w:p>
    <w:p>
      <w:pPr/>
      <w:r>
        <w:t>The wider programme can connect learning, tourism, intergenerational activity and periods of paid work. Young people can see local creative and technical careers. Experienced people can mentor a deployment crew or help preserve a craft. Older participants can direct the support they want and contribute knowledge through an adult experience.</w:t>
      </w:r>
    </w:p>
    <w:p>
      <w:pPr/>
      <w:r>
        <w:t>The adaptive support, children-and-teens, tourism and teacher documents supply the personal-development foundation. The Oceania co-operative and 82 Claytons proposals provide further examples of locally shaped services and intergenerational places. They inform possible connections, while each escape-room site and service is costed and contracted on its own terms.</w:t>
      </w:r>
    </w:p>
    <w:p>
      <w:pPr/>
      <w:r>
        <w:t>Funded access can be purchased by sponsors, schools or community partners as a defined number of visits. Record the cash funding and actual admissions. C-Hour can recognise separate voluntary contribution and has no cash conversion in this business model.</w:t>
      </w:r>
    </w:p>
    <w:p>
      <w:pPr>
        <w:pStyle w:val="SourceNote"/>
      </w:pPr>
      <w:r>
        <w:t xml:space="preserve">Sources: </w:t>
      </w:r>
      <w:hyperlink w:anchor="source_D03">
        <w:r>
          <w:rPr>
            <w:color w:val="275E67"/>
            <w:u w:val="single"/>
          </w:rPr>
          <w:t xml:space="preserve">D03</w:t>
        </w:r>
      </w:hyperlink>
      <w:r>
        <w:t xml:space="preserve">, </w:t>
      </w:r>
      <w:hyperlink w:anchor="source_D06">
        <w:r>
          <w:rPr>
            <w:color w:val="275E67"/>
            <w:u w:val="single"/>
          </w:rPr>
          <w:t xml:space="preserve">D06</w:t>
        </w:r>
      </w:hyperlink>
      <w:r>
        <w:t xml:space="preserve">, </w:t>
      </w:r>
      <w:hyperlink w:anchor="source_D07">
        <w:r>
          <w:rPr>
            <w:color w:val="275E67"/>
            <w:u w:val="single"/>
          </w:rPr>
          <w:t xml:space="preserve">D07</w:t>
        </w:r>
      </w:hyperlink>
      <w:r>
        <w:t xml:space="preserve">, </w:t>
      </w:r>
      <w:hyperlink w:anchor="source_P09">
        <w:r>
          <w:rPr>
            <w:color w:val="275E67"/>
            <w:u w:val="single"/>
          </w:rPr>
          <w:t xml:space="preserve">P09</w:t>
        </w:r>
      </w:hyperlink>
      <w:r>
        <w:t xml:space="preserve">, </w:t>
      </w:r>
      <w:hyperlink w:anchor="source_P12">
        <w:r>
          <w:rPr>
            <w:color w:val="275E67"/>
            <w:u w:val="single"/>
          </w:rPr>
          <w:t xml:space="preserve">P12</w:t>
        </w:r>
      </w:hyperlink>
      <w:r>
        <w:t xml:space="preserve">, </w:t>
      </w:r>
      <w:hyperlink w:anchor="source_P13">
        <w:r>
          <w:rPr>
            <w:color w:val="275E67"/>
            <w:u w:val="single"/>
          </w:rPr>
          <w:t xml:space="preserve">P13</w:t>
        </w:r>
      </w:hyperlink>
    </w:p>
    <w:p>
      <w:bookmarkStart w:id="66" w:name="s_partnerships_Source_linked_ag_1f7fa7"/>
      <w:pPr>
        <w:pStyle w:val="Heading2"/>
      </w:pPr>
      <w:r>
        <w:t>Source-linked agreements and continuing improvement</w:t>
      </w:r>
      <w:bookmarkEnd w:id="66"/>
    </w:p>
    <w:p>
      <w:pPr/>
      <w:r>
        <w:t>The Australian Legal Engine, Your Relevance and Legal Memory Workbench can help organise the actual jurisdiction, premises, employment, consumer, data and partnership questions. The responsible people use current source material and qualified advice where the decision requires it.</w:t>
      </w:r>
    </w:p>
    <w:p>
      <w:pPr/>
      <w:r>
        <w:t>The project record identifies an issue, its source, the relevant person, the proposed response and the accepted decision. Practical lessons can improve the next contract, room or deployment. Where a wider rule or process causes unnecessary difficulty, the civic work can examine a specific improvement while the operating business follows its current obligations.</w:t>
      </w:r>
    </w:p>
    <w:p>
      <w:pPr/>
      <w:r>
        <w:t>The reference collection is retained in full, with applications mapped to this business. The retained directions include personally controlled Auras, non-monetary C-Hour and AI as a research and computation aide to founder decisions. Historical source wording remains available in the original documents.</w:t>
      </w:r>
    </w:p>
    <w:p>
      <w:pPr>
        <w:pStyle w:val="SourceNote"/>
      </w:pPr>
      <w:r>
        <w:t xml:space="preserve">Sources: </w:t>
      </w:r>
      <w:hyperlink w:anchor="source_D08">
        <w:r>
          <w:rPr>
            <w:color w:val="275E67"/>
            <w:u w:val="single"/>
          </w:rPr>
          <w:t xml:space="preserve">D08</w:t>
        </w:r>
      </w:hyperlink>
      <w:r>
        <w:t xml:space="preserve">, </w:t>
      </w:r>
      <w:hyperlink w:anchor="source_D15">
        <w:r>
          <w:rPr>
            <w:color w:val="275E67"/>
            <w:u w:val="single"/>
          </w:rPr>
          <w:t xml:space="preserve">D15</w:t>
        </w:r>
      </w:hyperlink>
      <w:r>
        <w:t xml:space="preserve">, </w:t>
      </w:r>
      <w:hyperlink w:anchor="source_P06">
        <w:r>
          <w:rPr>
            <w:color w:val="275E67"/>
            <w:u w:val="single"/>
          </w:rPr>
          <w:t xml:space="preserve">P06</w:t>
        </w:r>
      </w:hyperlink>
      <w:r>
        <w:t xml:space="preserve">, </w:t>
      </w:r>
      <w:hyperlink w:anchor="source_P07">
        <w:r>
          <w:rPr>
            <w:color w:val="275E67"/>
            <w:u w:val="single"/>
          </w:rPr>
          <w:t xml:space="preserve">P07</w:t>
        </w:r>
      </w:hyperlink>
      <w:r>
        <w:t xml:space="preserve">, </w:t>
      </w:r>
      <w:hyperlink w:anchor="source_P08">
        <w:r>
          <w:rPr>
            <w:color w:val="275E67"/>
            <w:u w:val="single"/>
          </w:rPr>
          <w:t xml:space="preserve">P08</w:t>
        </w:r>
      </w:hyperlink>
      <w:r>
        <w:t xml:space="preserve">, </w:t>
      </w:r>
      <w:hyperlink w:anchor="source_P14">
        <w:r>
          <w:rPr>
            <w:color w:val="275E67"/>
            <w:u w:val="single"/>
          </w:rPr>
          <w:t xml:space="preserve">P14</w:t>
        </w:r>
      </w:hyperlink>
    </w:p>
    <w:p>
      <w:bookmarkStart w:id="67" w:name="chapter_roadmap"/>
      <w:pPr>
        <w:pStyle w:val="Heading1"/>
        <w:spacing w:before="360"/>
      </w:pPr>
      <w:r>
        <w:t>Research questions and possible development sequence</w:t>
      </w:r>
      <w:bookmarkEnd w:id="67"/>
    </w:p>
    <w:p>
      <w:pPr>
        <w:pStyle w:val="Lead"/>
      </w:pPr>
      <w:r>
        <w:t>Use the evidence to decide what is worth developing next, with timing derived from the work rather than an assumed opening date.</w:t>
      </w:r>
    </w:p>
    <w:p>
      <w:bookmarkStart w:id="68" w:name="s_roadmap_a_relative_programme__98195f"/>
      <w:pPr>
        <w:pStyle w:val="Heading2"/>
      </w:pPr>
      <w:r>
        <w:t>A possible sequence of research and development</w:t>
      </w:r>
      <w:bookmarkEnd w:id="68"/>
    </w:p>
    <w:p>
      <w:pPr/>
      <w:r>
        <w:t>A possible sequence is set out below for comparing dependencies. There are no assigned weeks, opening date or committed pilot duration.</w:t>
      </w:r>
    </w:p>
    <w:tbl>
      <w:tblPr>
        <w:tblW w:type="dxa" w:w="10152"/>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4180"/>
        <w:gridCol w:w="5972"/>
      </w:tblGrid>
      <w:tr>
        <w:trPr>
          <w:cantSplit/>
          <w:tblHeader w:val="true"/>
        </w:trPr>
        <w:tc>
          <w:tcPr>
            <w:tcW w:type="dxa" w:w="4180"/>
            <w:vAlign w:val="center"/>
            <w:shd w:fill="203B4C"/>
          </w:tcPr>
          <w:p>
            <w:pPr>
              <w:pStyle w:val="TableHead"/>
              <w:keepNext/>
              <w:keepLines/>
            </w:pPr>
            <w:r>
              <w:rPr>
                <w:color w:val="FFFFFF"/>
              </w:rPr>
              <w:t>Research or development question</w:t>
            </w:r>
          </w:p>
        </w:tc>
        <w:tc>
          <w:tcPr>
            <w:tcW w:type="dxa" w:w="5972"/>
            <w:vAlign w:val="center"/>
            <w:shd w:fill="203B4C"/>
          </w:tcPr>
          <w:p>
            <w:pPr>
              <w:pStyle w:val="TableHead"/>
              <w:keepNext/>
              <w:keepLines/>
            </w:pPr>
            <w:r>
              <w:rPr>
                <w:color w:val="FFFFFF"/>
              </w:rPr>
              <w:t>Evidence that would make a later decision concrete</w:t>
            </w:r>
          </w:p>
        </w:tc>
      </w:tr>
      <w:tr>
        <w:trPr>
          <w:cantSplit/>
        </w:trPr>
        <w:tc>
          <w:tcPr>
            <w:tcW w:type="dxa" w:w="4180"/>
            <w:vAlign w:val="top"/>
            <w:shd w:fill="EDF2EE"/>
          </w:tcPr>
          <w:p>
            <w:pPr>
              <w:pStyle w:val="TableText"/>
              <w:keepNext w:val="0"/>
              <w:keepLines/>
            </w:pPr>
            <w:r>
              <w:t>Which customers and offers warrant further work?</w:t>
            </w:r>
          </w:p>
        </w:tc>
        <w:tc>
          <w:tcPr>
            <w:tcW w:type="dxa" w:w="5972"/>
            <w:vAlign w:val="top"/>
            <w:shd w:fill="EDF2EE"/>
          </w:tcPr>
          <w:p>
            <w:pPr>
              <w:pStyle w:val="TableText"/>
              <w:keepNext w:val="0"/>
              <w:keepLines/>
            </w:pPr>
            <w:r>
              <w:t>Local demand evidence, competitor conditions and responses to alternative offers.</w:t>
            </w:r>
          </w:p>
        </w:tc>
      </w:tr>
      <w:tr>
        <w:trPr>
          <w:cantSplit/>
        </w:trPr>
        <w:tc>
          <w:tcPr>
            <w:tcW w:type="dxa" w:w="4180"/>
            <w:vAlign w:val="top"/>
            <w:shd w:fill="FFFFFF"/>
          </w:tcPr>
          <w:p>
            <w:pPr>
              <w:pStyle w:val="TableText"/>
              <w:keepNext w:val="0"/>
              <w:keepLines/>
            </w:pPr>
            <w:r>
              <w:t>Which room and venue formats fit the opportunity?</w:t>
            </w:r>
          </w:p>
        </w:tc>
        <w:tc>
          <w:tcPr>
            <w:tcW w:type="dxa" w:w="5972"/>
            <w:vAlign w:val="top"/>
            <w:shd w:fill="FFFFFF"/>
          </w:tcPr>
          <w:p>
            <w:pPr>
              <w:pStyle w:val="TableText"/>
              <w:keepNext w:val="0"/>
              <w:keepLines/>
            </w:pPr>
            <w:r>
              <w:t>Measured support-space needs, room concepts, access requirements and capacity comparisons.</w:t>
            </w:r>
          </w:p>
        </w:tc>
      </w:tr>
      <w:tr>
        <w:trPr>
          <w:cantSplit/>
        </w:trPr>
        <w:tc>
          <w:tcPr>
            <w:tcW w:type="dxa" w:w="4180"/>
            <w:vAlign w:val="top"/>
            <w:shd w:fill="EDF2EE"/>
          </w:tcPr>
          <w:p>
            <w:pPr>
              <w:pStyle w:val="TableText"/>
              <w:keepNext w:val="0"/>
              <w:keepLines/>
            </w:pPr>
            <w:r>
              <w:t>What would delivery actually cost?</w:t>
            </w:r>
          </w:p>
        </w:tc>
        <w:tc>
          <w:tcPr>
            <w:tcW w:type="dxa" w:w="5972"/>
            <w:vAlign w:val="top"/>
            <w:shd w:fill="EDF2EE"/>
          </w:tcPr>
          <w:p>
            <w:pPr>
              <w:pStyle w:val="TableText"/>
              <w:keepNext w:val="0"/>
              <w:keepLines/>
            </w:pPr>
            <w:r>
              <w:t>Comparable scope, new/used options, dated quotations, paid-work estimates and payment terms.</w:t>
            </w:r>
          </w:p>
        </w:tc>
      </w:tr>
      <w:tr>
        <w:trPr>
          <w:cantSplit/>
        </w:trPr>
        <w:tc>
          <w:tcPr>
            <w:tcW w:type="dxa" w:w="4180"/>
            <w:vAlign w:val="top"/>
            <w:shd w:fill="FFFFFF"/>
          </w:tcPr>
          <w:p>
            <w:pPr>
              <w:pStyle w:val="TableText"/>
              <w:keepNext w:val="0"/>
              <w:keepLines/>
            </w:pPr>
            <w:r>
              <w:t>Which learning and technical methods are useful?</w:t>
            </w:r>
          </w:p>
        </w:tc>
        <w:tc>
          <w:tcPr>
            <w:tcW w:type="dxa" w:w="5972"/>
            <w:vAlign w:val="top"/>
            <w:shd w:fill="FFFFFF"/>
          </w:tcPr>
          <w:p>
            <w:pPr>
              <w:pStyle w:val="TableText"/>
              <w:keepNext w:val="0"/>
              <w:keepLines/>
            </w:pPr>
            <w:r>
              <w:t>Playtests, capture comparisons, human review time and evidence of use in a different setting.</w:t>
            </w:r>
          </w:p>
        </w:tc>
      </w:tr>
      <w:tr>
        <w:trPr>
          <w:cantSplit/>
        </w:trPr>
        <w:tc>
          <w:tcPr>
            <w:tcW w:type="dxa" w:w="4180"/>
            <w:vAlign w:val="top"/>
            <w:shd w:fill="EDF2EE"/>
          </w:tcPr>
          <w:p>
            <w:pPr>
              <w:pStyle w:val="TableText"/>
              <w:keepNext w:val="0"/>
              <w:keepLines/>
            </w:pPr>
            <w:r>
              <w:t>Would a small operating test be worthwhile?</w:t>
            </w:r>
          </w:p>
        </w:tc>
        <w:tc>
          <w:tcPr>
            <w:tcW w:type="dxa" w:w="5972"/>
            <w:vAlign w:val="top"/>
            <w:shd w:fill="EDF2EE"/>
          </w:tcPr>
          <w:p>
            <w:pPr>
              <w:pStyle w:val="TableText"/>
              <w:keepNext w:val="0"/>
              <w:keepLines/>
            </w:pPr>
            <w:r>
              <w:t>A defined question, feasible staffing, costed alternatives and criteria for interpreting the result.</w:t>
            </w:r>
          </w:p>
        </w:tc>
      </w:tr>
      <w:tr>
        <w:trPr>
          <w:cantSplit/>
        </w:trPr>
        <w:tc>
          <w:tcPr>
            <w:tcW w:type="dxa" w:w="4180"/>
            <w:vAlign w:val="top"/>
            <w:shd w:fill="FFFFFF"/>
          </w:tcPr>
          <w:p>
            <w:pPr>
              <w:pStyle w:val="TableText"/>
              <w:keepNext w:val="0"/>
              <w:keepLines/>
            </w:pPr>
            <w:r>
              <w:t>What would justify another location or route?</w:t>
            </w:r>
          </w:p>
        </w:tc>
        <w:tc>
          <w:tcPr>
            <w:tcW w:type="dxa" w:w="5972"/>
            <w:vAlign w:val="top"/>
            <w:shd w:fill="FFFFFF"/>
          </w:tcPr>
          <w:p>
            <w:pPr>
              <w:pStyle w:val="TableText"/>
              <w:keepNext w:val="0"/>
              <w:keepLines/>
            </w:pPr>
            <w:r>
              <w:t>Evidence of customer value, repeat use, viable local economics and workable partner arrangements.</w:t>
            </w:r>
          </w:p>
        </w:tc>
      </w:tr>
    </w:tbl>
    <w:p>
      <w:pPr>
        <w:spacing w:after="20" w:before="0" w:line="240" w:lineRule="auto"/>
      </w:pPr>
      <w:r>
        <w:rPr>
          <w:sz w:val="6"/>
        </w:rPr>
      </w:r>
    </w:p>
    <w:p>
      <w:pPr/>
      <w:r>
        <w:t>For one supplier comparison, the published production lead times are 60 working days for standard rooms and 90 for custom rooms, with shipping additional. Those are source-specific observations dated 29 October 2026, not this business's timetable. Actual timing would depend on the route chosen and its delivery evidence. [</w:t>
      </w:r>
      <w:hyperlink w:anchor="source_M14">
        <w:r>
          <w:rPr>
            <w:color w:val="275E67"/>
            <w:u w:val="single"/>
          </w:rPr>
          <w:t xml:space="preserve">M14</w:t>
        </w:r>
      </w:hyperlink>
      <w:r>
        <w:t>]</w:t>
      </w:r>
    </w:p>
    <w:p>
      <w:pPr>
        <w:pStyle w:val="SourceNote"/>
      </w:pPr>
      <w:r>
        <w:t xml:space="preserve">Sources: </w:t>
      </w:r>
      <w:hyperlink w:anchor="source_M14">
        <w:r>
          <w:rPr>
            <w:color w:val="275E67"/>
            <w:u w:val="single"/>
          </w:rPr>
          <w:t xml:space="preserve">M14</w:t>
        </w:r>
      </w:hyperlink>
      <w:r>
        <w:t xml:space="preserve">, </w:t>
      </w:r>
      <w:hyperlink w:anchor="source_P14">
        <w:r>
          <w:rPr>
            <w:color w:val="275E67"/>
            <w:u w:val="single"/>
          </w:rPr>
          <w:t xml:space="preserve">P14</w:t>
        </w:r>
      </w:hyperlink>
    </w:p>
    <w:p>
      <w:bookmarkStart w:id="69" w:name="s_roadmap_what_the_pilot_must_d_1abdea"/>
      <w:pPr>
        <w:pStyle w:val="Heading2"/>
      </w:pPr>
      <w:r>
        <w:t>What an operating test could establish</w:t>
      </w:r>
      <w:bookmarkEnd w:id="69"/>
    </w:p>
    <w:p>
      <w:pPr/>
      <w:r>
        <w:t>A pilot is an option for answering defined questions, rather than the assumed first purchase. It could test a room concept, a host arrangement, an operating format or a recording workflow. Its scale and duration would depend on what needs to be learned.</w:t>
      </w:r>
    </w:p>
    <w:p>
      <w:pPr/>
      <w:r>
        <w:t>Useful observations could include room and support-space measurements, itemised delivered costs, paid task time, resets, independent play, customer response and reflection quality. A technical test would also need capture performance, processing time and human review workload. A public, school or workshop format would need to be evaluated on its own terms.</w:t>
      </w:r>
    </w:p>
    <w:p>
      <w:pPr/>
      <w:r>
        <w:t>An operating trial could compare contribution by product and staffed opening block, repeat interest and tourism referrals that become visits. The decision to expand would require more than a successful demonstration: it would need a repeatable delivery method and a complete local cost case.</w:t>
      </w:r>
    </w:p>
    <w:p>
      <w:pPr>
        <w:pStyle w:val="SourceNote"/>
      </w:pPr>
      <w:r>
        <w:t xml:space="preserve">Sources: </w:t>
      </w:r>
      <w:hyperlink w:anchor="source_D05">
        <w:r>
          <w:rPr>
            <w:color w:val="275E67"/>
            <w:u w:val="single"/>
          </w:rPr>
          <w:t xml:space="preserve">D05</w:t>
        </w:r>
      </w:hyperlink>
      <w:r>
        <w:t xml:space="preserve">, </w:t>
      </w:r>
      <w:hyperlink w:anchor="source_D07">
        <w:r>
          <w:rPr>
            <w:color w:val="275E67"/>
            <w:u w:val="single"/>
          </w:rPr>
          <w:t xml:space="preserve">D07</w:t>
        </w:r>
      </w:hyperlink>
    </w:p>
    <w:p>
      <w:bookmarkStart w:id="70" w:name="s_roadmap_from_one_deployment_t_87aa10"/>
      <w:pPr>
        <w:pStyle w:val="Heading2"/>
      </w:pPr>
      <w:r>
        <w:t>Questions about national expansion</w:t>
      </w:r>
      <w:bookmarkEnd w:id="70"/>
    </w:p>
    <w:p>
      <w:pPr/>
      <w:r>
        <w:t>The Australia-wide aim can be explored without choosing an initial region or site count. A location comparison would bring together demand, premises, people, finance, room content and the value of connections with other destinations.</w:t>
      </w:r>
    </w:p>
    <w:p>
      <w:pPr/>
      <w:r>
        <w:t>A later deployment could test whether another paid crew can use the first installation's records and JIT learning material. An inter-venue trial could examine booking, redemption, settlement, customer support and skill transfer into a different experience. Local stories and relationships would need their own development.</w:t>
      </w:r>
    </w:p>
    <w:p>
      <w:pPr/>
      <w:r>
        <w:t>Three-, five- and ten-year views can be used as comparison horizons for asset replacement, renewal funding, ownership possibilities and regional coverage. They are analytical views, not a selected expansion programme or a commitment to dates.</w:t>
      </w:r>
    </w:p>
    <w:p>
      <w:pPr>
        <w:pStyle w:val="SourceNote"/>
      </w:pPr>
      <w:r>
        <w:t xml:space="preserve">Sources: </w:t>
      </w:r>
      <w:hyperlink w:anchor="source_D05">
        <w:r>
          <w:rPr>
            <w:color w:val="275E67"/>
            <w:u w:val="single"/>
          </w:rPr>
          <w:t xml:space="preserve">D05</w:t>
        </w:r>
      </w:hyperlink>
      <w:r>
        <w:t xml:space="preserve">, </w:t>
      </w:r>
      <w:hyperlink w:anchor="source_D09">
        <w:r>
          <w:rPr>
            <w:color w:val="275E67"/>
            <w:u w:val="single"/>
          </w:rPr>
          <w:t xml:space="preserve">D09</w:t>
        </w:r>
      </w:hyperlink>
      <w:r>
        <w:t xml:space="preserve">, </w:t>
      </w:r>
      <w:hyperlink w:anchor="source_P03">
        <w:r>
          <w:rPr>
            <w:color w:val="275E67"/>
            <w:u w:val="single"/>
          </w:rPr>
          <w:t xml:space="preserve">P03</w:t>
        </w:r>
      </w:hyperlink>
      <w:r>
        <w:t xml:space="preserve">, </w:t>
      </w:r>
      <w:hyperlink w:anchor="source_P05">
        <w:r>
          <w:rPr>
            <w:color w:val="275E67"/>
            <w:u w:val="single"/>
          </w:rPr>
          <w:t xml:space="preserve">P05</w:t>
        </w:r>
      </w:hyperlink>
      <w:r>
        <w:t xml:space="preserve">, </w:t>
      </w:r>
      <w:hyperlink w:anchor="source_P14">
        <w:r>
          <w:rPr>
            <w:color w:val="275E67"/>
            <w:u w:val="single"/>
          </w:rPr>
          <w:t xml:space="preserve">P14</w:t>
        </w:r>
      </w:hyperlink>
    </w:p>
    <w:p>
      <w:bookmarkStart w:id="71" w:name="s_roadmap_the_approval_pack_and_1edf4b"/>
      <w:pPr>
        <w:pStyle w:val="Heading2"/>
      </w:pPr>
      <w:r>
        <w:t>The next research round</w:t>
      </w:r>
      <w:bookmarkEnd w:id="71"/>
    </w:p>
    <w:p>
      <w:pPr/>
      <w:r>
        <w:t>The next research round can follow the questions Luke considers most useful: market demand, room design, delivery formats, new and used cost options, learning transfer, tourism connections or commercial structure. The accompanying register keeps evidence gaps and choices visible without assigning the founder an assumed next decision.</w:t>
      </w:r>
    </w:p>
    <w:p>
      <w:pPr/>
      <w:r>
        <w:t>A later financial comparison would replace unverified listings and assumed quantities with better evidence, then show complete cash requirements and operating results for the remaining alternatives. No total should depend on hiding unpriced work or treating founder time as free.</w:t>
      </w:r>
    </w:p>
    <w:p>
      <w:pPr/>
      <w:r>
        <w:t>This edition provides the business proposition, source trail, itemised comparisons and editable calculations for review. The website and downloadable documents carry the same ROUND ONE framing.</w:t>
      </w:r>
    </w:p>
    <w:p>
      <w:pPr>
        <w:pStyle w:val="SourceNote"/>
      </w:pPr>
      <w:r>
        <w:t xml:space="preserve">Sources: </w:t>
      </w:r>
      <w:hyperlink w:anchor="source_P14">
        <w:r>
          <w:rPr>
            <w:color w:val="275E67"/>
            <w:u w:val="single"/>
          </w:rPr>
          <w:t xml:space="preserve">P14</w:t>
        </w:r>
      </w:hyperlink>
    </w:p>
    <w:p>
      <w:bookmarkStart w:id="72" w:name="source_register"/>
      <w:pPr>
        <w:pStyle w:val="Heading1"/>
        <w:pageBreakBefore/>
      </w:pPr>
      <w:r>
        <w:t>Sources and project inventory</w:t>
      </w:r>
      <w:bookmarkEnd w:id="72"/>
    </w:p>
    <w:p>
      <w:r>
        <w:t>The original documents and project websites from Installing the Missing Middle inform the business design. Market and cost references distinguish source observations, worked assumptions and verification status. Source IDs below match the website and canonical source register.</w:t>
      </w:r>
    </w:p>
    <w:p>
      <w:pPr>
        <w:pStyle w:val="SourceNote"/>
      </w:pPr>
      <w:hyperlink r:id="rId15">
        <w:r>
          <w:rPr>
            <w:color w:val="275E67"/>
            <w:u w:val="single"/>
          </w:rPr>
          <w:t xml:space="preserve">Complete source register</w:t>
        </w:r>
      </w:hyperlink>
      <w:r>
        <w:t xml:space="preserve">  |  </w:t>
      </w:r>
      <w:hyperlink r:id="rId16">
        <w:r>
          <w:rPr>
            <w:color w:val="275E67"/>
            <w:u w:val="single"/>
          </w:rPr>
          <w:t xml:space="preserve">Full inherited embedded-link inventory</w:t>
        </w:r>
      </w:hyperlink>
    </w:p>
    <w:p>
      <w:pPr>
        <w:pStyle w:val="Heading2"/>
      </w:pPr>
      <w:r>
        <w:t>Original documents</w:t>
      </w:r>
    </w:p>
    <w:p>
      <w:bookmarkStart w:id="73" w:name="source_D01"/>
      <w:pPr>
        <w:pStyle w:val="SourceTitle"/>
      </w:pPr>
      <w:r>
        <w:t>D01  A Fair Go for the AI Age: Postcode-Level Sovereign Compute</w:t>
      </w:r>
      <w:bookmarkEnd w:id="73"/>
    </w:p>
    <w:p>
      <w:pPr>
        <w:pStyle w:val="RegisterText"/>
      </w:pPr>
      <w:r>
        <w:t>Shared local capability, council and community connections, personally controlled data and a fair go as AI capabilities grow. Escape-room demand and deployment use room-level business cases; compute ratios and budgets are not transferred.</w:t>
      </w:r>
    </w:p>
    <w:p>
      <w:pPr>
        <w:pStyle w:val="SourceNote"/>
      </w:pPr>
      <w:hyperlink r:id="rId17">
        <w:r>
          <w:rPr>
            <w:color w:val="275E67"/>
            <w:u w:val="single"/>
          </w:rPr>
          <w:t xml:space="preserve">Original DOCX</w:t>
        </w:r>
      </w:hyperlink>
      <w:r>
        <w:t xml:space="preserve">  |  </w:t>
      </w:r>
      <w:hyperlink r:id="rId18">
        <w:r>
          <w:rPr>
            <w:color w:val="275E67"/>
            <w:u w:val="single"/>
          </w:rPr>
          <w:t xml:space="preserve">Online reader</w:t>
        </w:r>
      </w:hyperlink>
      <w:r>
        <w:t xml:space="preserve">  |  </w:t>
      </w:r>
      <w:hyperlink r:id="rId19">
        <w:r>
          <w:rPr>
            <w:color w:val="275E67"/>
            <w:u w:val="single"/>
          </w:rPr>
          <w:t xml:space="preserve">Archived source</w:t>
        </w:r>
      </w:hyperlink>
    </w:p>
    <w:p>
      <w:bookmarkStart w:id="74" w:name="source_D02"/>
      <w:pPr>
        <w:pStyle w:val="SourceTitle"/>
      </w:pPr>
      <w:r>
        <w:t>D02  AUKUS Public Inquiry Submission</w:t>
      </w:r>
      <w:bookmarkEnd w:id="74"/>
    </w:p>
    <w:p>
      <w:pPr>
        <w:pStyle w:val="RegisterText"/>
      </w:pPr>
      <w:r>
        <w:t>Identify a local opportunity, prepare people and facilities, install, document, learn and pass the method to the next cohort. Experienced tradespeople remain paid contributors.</w:t>
      </w:r>
    </w:p>
    <w:p>
      <w:pPr>
        <w:pStyle w:val="SourceNote"/>
      </w:pPr>
      <w:hyperlink r:id="rId20">
        <w:r>
          <w:rPr>
            <w:color w:val="275E67"/>
            <w:u w:val="single"/>
          </w:rPr>
          <w:t xml:space="preserve">Original DOCX</w:t>
        </w:r>
      </w:hyperlink>
      <w:r>
        <w:t xml:space="preserve">  |  </w:t>
      </w:r>
      <w:hyperlink r:id="rId21">
        <w:r>
          <w:rPr>
            <w:color w:val="275E67"/>
            <w:u w:val="single"/>
          </w:rPr>
          <w:t xml:space="preserve">Online reader</w:t>
        </w:r>
      </w:hyperlink>
      <w:r>
        <w:t xml:space="preserve">  |  </w:t>
      </w:r>
      <w:hyperlink r:id="rId22">
        <w:r>
          <w:rPr>
            <w:color w:val="275E67"/>
            <w:u w:val="single"/>
          </w:rPr>
          <w:t xml:space="preserve">Archived source</w:t>
        </w:r>
      </w:hyperlink>
    </w:p>
    <w:p>
      <w:bookmarkStart w:id="75" w:name="source_D03"/>
      <w:pPr>
        <w:pStyle w:val="SourceTitle"/>
      </w:pPr>
      <w:r>
        <w:t>D03  Aura Genesis for Children and Young People in Australian Care</w:t>
      </w:r>
      <w:bookmarkEnd w:id="75"/>
    </w:p>
    <w:p>
      <w:pPr>
        <w:pStyle w:val="RegisterText"/>
      </w:pPr>
      <w:r>
        <w:t>Age-appropriate creative challenges, continuity through transitions, personal agency, supported learning and concrete opportunities as young people enter adulthood.</w:t>
      </w:r>
    </w:p>
    <w:p>
      <w:pPr>
        <w:pStyle w:val="SourceNote"/>
      </w:pPr>
      <w:hyperlink r:id="rId23">
        <w:r>
          <w:rPr>
            <w:color w:val="275E67"/>
            <w:u w:val="single"/>
          </w:rPr>
          <w:t xml:space="preserve">Original DOCX</w:t>
        </w:r>
      </w:hyperlink>
      <w:r>
        <w:t xml:space="preserve">  |  </w:t>
      </w:r>
      <w:hyperlink r:id="rId24">
        <w:r>
          <w:rPr>
            <w:color w:val="275E67"/>
            <w:u w:val="single"/>
          </w:rPr>
          <w:t xml:space="preserve">Online reader</w:t>
        </w:r>
      </w:hyperlink>
      <w:r>
        <w:t xml:space="preserve">  |  </w:t>
      </w:r>
      <w:hyperlink r:id="rId25">
        <w:r>
          <w:rPr>
            <w:color w:val="275E67"/>
            <w:u w:val="single"/>
          </w:rPr>
          <w:t xml:space="preserve">Archived source</w:t>
        </w:r>
      </w:hyperlink>
    </w:p>
    <w:p>
      <w:bookmarkStart w:id="76" w:name="source_D04"/>
      <w:pPr>
        <w:pStyle w:val="SourceTitle"/>
      </w:pPr>
      <w:r>
        <w:t>D04  Aura Genesis Geode Development, Edition 3</w:t>
      </w:r>
      <w:bookmarkEnd w:id="76"/>
    </w:p>
    <w:p>
      <w:pPr>
        <w:pStyle w:val="RegisterText"/>
      </w:pPr>
      <w:r>
        <w:t>Personal-context records, reflection, simulation, selected sensor observations and connected civic/creative applications. Adult clinical/HBOT components stay in their separate programme.</w:t>
      </w:r>
    </w:p>
    <w:p>
      <w:pPr>
        <w:pStyle w:val="SourceNote"/>
      </w:pPr>
      <w:hyperlink r:id="rId26">
        <w:r>
          <w:rPr>
            <w:color w:val="275E67"/>
            <w:u w:val="single"/>
          </w:rPr>
          <w:t xml:space="preserve">Original PDF</w:t>
        </w:r>
      </w:hyperlink>
      <w:r>
        <w:t xml:space="preserve">  |  </w:t>
      </w:r>
      <w:hyperlink r:id="rId27">
        <w:r>
          <w:rPr>
            <w:color w:val="275E67"/>
            <w:u w:val="single"/>
          </w:rPr>
          <w:t xml:space="preserve">Online reader</w:t>
        </w:r>
      </w:hyperlink>
      <w:r>
        <w:t xml:space="preserve">  |  </w:t>
      </w:r>
      <w:hyperlink r:id="rId28">
        <w:r>
          <w:rPr>
            <w:color w:val="275E67"/>
            <w:u w:val="single"/>
          </w:rPr>
          <w:t xml:space="preserve">Archived source</w:t>
        </w:r>
      </w:hyperlink>
    </w:p>
    <w:p>
      <w:bookmarkStart w:id="77" w:name="source_D05"/>
      <w:pPr>
        <w:pStyle w:val="SourceTitle"/>
      </w:pPr>
      <w:r>
        <w:t>D05  Aura Teacher Training: 60 Days</w:t>
      </w:r>
      <w:bookmarkEnd w:id="77"/>
    </w:p>
    <w:p>
      <w:pPr>
        <w:pStyle w:val="RegisterText"/>
      </w:pPr>
      <w:r>
        <w:t>Personal language and cultural meaning; observations separate from interpretations; repair; transfer tasks; Days 41–42 connect physical dependencies, XR installation rehearsal, commissioning and continuity.</w:t>
      </w:r>
    </w:p>
    <w:p>
      <w:pPr>
        <w:pStyle w:val="SourceNote"/>
      </w:pPr>
      <w:hyperlink r:id="rId29">
        <w:r>
          <w:rPr>
            <w:color w:val="275E67"/>
            <w:u w:val="single"/>
          </w:rPr>
          <w:t xml:space="preserve">Original PDF</w:t>
        </w:r>
      </w:hyperlink>
      <w:r>
        <w:t xml:space="preserve">  |  </w:t>
      </w:r>
      <w:hyperlink r:id="rId30">
        <w:r>
          <w:rPr>
            <w:color w:val="275E67"/>
            <w:u w:val="single"/>
          </w:rPr>
          <w:t xml:space="preserve">Online reader</w:t>
        </w:r>
      </w:hyperlink>
      <w:r>
        <w:t xml:space="preserve">  |  </w:t>
      </w:r>
      <w:hyperlink r:id="rId31">
        <w:r>
          <w:rPr>
            <w:color w:val="275E67"/>
            <w:u w:val="single"/>
          </w:rPr>
          <w:t xml:space="preserve">Archived source</w:t>
        </w:r>
      </w:hyperlink>
    </w:p>
    <w:p>
      <w:bookmarkStart w:id="78" w:name="source_D06"/>
      <w:pPr>
        <w:pStyle w:val="SourceTitle"/>
      </w:pPr>
      <w:r>
        <w:t>D06  Aura of Intelligence for Adaptive Whole-of-Life Support</w:t>
      </w:r>
      <w:bookmarkEnd w:id="78"/>
    </w:p>
    <w:p>
      <w:pPr>
        <w:pStyle w:val="RegisterText"/>
      </w:pPr>
      <w:r>
        <w:t>Participant-directed support, communication and access preferences, revisable personal context, transitions between home and services, contribution and learning through later life.</w:t>
      </w:r>
    </w:p>
    <w:p>
      <w:pPr>
        <w:pStyle w:val="SourceNote"/>
      </w:pPr>
      <w:hyperlink r:id="rId32">
        <w:r>
          <w:rPr>
            <w:color w:val="275E67"/>
            <w:u w:val="single"/>
          </w:rPr>
          <w:t xml:space="preserve">Original DOCX</w:t>
        </w:r>
      </w:hyperlink>
      <w:r>
        <w:t xml:space="preserve">  |  </w:t>
      </w:r>
      <w:hyperlink r:id="rId33">
        <w:r>
          <w:rPr>
            <w:color w:val="275E67"/>
            <w:u w:val="single"/>
          </w:rPr>
          <w:t xml:space="preserve">Online reader</w:t>
        </w:r>
      </w:hyperlink>
      <w:r>
        <w:t xml:space="preserve">  |  </w:t>
      </w:r>
      <w:hyperlink r:id="rId34">
        <w:r>
          <w:rPr>
            <w:color w:val="275E67"/>
            <w:u w:val="single"/>
          </w:rPr>
          <w:t xml:space="preserve">Archived source</w:t>
        </w:r>
      </w:hyperlink>
    </w:p>
    <w:p>
      <w:bookmarkStart w:id="79" w:name="source_D07"/>
      <w:pPr>
        <w:pStyle w:val="SourceTitle"/>
      </w:pPr>
      <w:r>
        <w:t>D07  Aura of Intelligence for Tourism and Domestic Travel</w:t>
      </w:r>
      <w:bookmarkEnd w:id="79"/>
    </w:p>
    <w:p>
      <w:pPr>
        <w:pStyle w:val="RegisterText"/>
      </w:pPr>
      <w:r>
        <w:t>Before/during/after travel, operator-defined offers, group negotiation, personal learning, transport information, referral-income visibility and paid host work.</w:t>
      </w:r>
    </w:p>
    <w:p>
      <w:pPr>
        <w:pStyle w:val="SourceNote"/>
      </w:pPr>
      <w:hyperlink r:id="rId35">
        <w:r>
          <w:rPr>
            <w:color w:val="275E67"/>
            <w:u w:val="single"/>
          </w:rPr>
          <w:t xml:space="preserve">Original DOCX</w:t>
        </w:r>
      </w:hyperlink>
      <w:r>
        <w:t xml:space="preserve">  |  </w:t>
      </w:r>
      <w:hyperlink r:id="rId36">
        <w:r>
          <w:rPr>
            <w:color w:val="275E67"/>
            <w:u w:val="single"/>
          </w:rPr>
          <w:t xml:space="preserve">Online reader</w:t>
        </w:r>
      </w:hyperlink>
      <w:r>
        <w:t xml:space="preserve">  |  </w:t>
      </w:r>
      <w:hyperlink r:id="rId37">
        <w:r>
          <w:rPr>
            <w:color w:val="275E67"/>
            <w:u w:val="single"/>
          </w:rPr>
          <w:t xml:space="preserve">Archived source</w:t>
        </w:r>
      </w:hyperlink>
    </w:p>
    <w:p>
      <w:bookmarkStart w:id="80" w:name="source_D08"/>
      <w:pPr>
        <w:pStyle w:val="SourceTitle"/>
      </w:pPr>
      <w:r>
        <w:t>D08  Building an Australian Legal RAG System</w:t>
      </w:r>
      <w:bookmarkEnd w:id="80"/>
    </w:p>
    <w:p>
      <w:pPr>
        <w:pStyle w:val="RegisterText"/>
      </w:pPr>
      <w:r>
        <w:t>Jurisdiction, current source and version, quoted authority, project context and review trails support premises, hiring, recording, package terms and renewal agreements.</w:t>
      </w:r>
    </w:p>
    <w:p>
      <w:pPr>
        <w:pStyle w:val="SourceNote"/>
      </w:pPr>
      <w:hyperlink r:id="rId38">
        <w:r>
          <w:rPr>
            <w:color w:val="275E67"/>
            <w:u w:val="single"/>
          </w:rPr>
          <w:t xml:space="preserve">Original PDF</w:t>
        </w:r>
      </w:hyperlink>
      <w:r>
        <w:t xml:space="preserve">  |  </w:t>
      </w:r>
      <w:hyperlink r:id="rId39">
        <w:r>
          <w:rPr>
            <w:color w:val="275E67"/>
            <w:u w:val="single"/>
          </w:rPr>
          <w:t xml:space="preserve">Online reader</w:t>
        </w:r>
      </w:hyperlink>
      <w:r>
        <w:t xml:space="preserve">  |  </w:t>
      </w:r>
      <w:hyperlink r:id="rId40">
        <w:r>
          <w:rPr>
            <w:color w:val="275E67"/>
            <w:u w:val="single"/>
          </w:rPr>
          <w:t xml:space="preserve">Archived source</w:t>
        </w:r>
      </w:hyperlink>
    </w:p>
    <w:p>
      <w:bookmarkStart w:id="81" w:name="source_D09"/>
      <w:pPr>
        <w:pStyle w:val="SourceTitle"/>
      </w:pPr>
      <w:r>
        <w:t>D09  Do Not Put All Our Eggs in One Basket</w:t>
      </w:r>
      <w:bookmarkEnd w:id="81"/>
    </w:p>
    <w:p>
      <w:pPr>
        <w:pStyle w:val="RegisterText"/>
      </w:pPr>
      <w:r>
        <w:t>Parallel opportunity discovery with staged physical delivery; preserve local purpose, paid skills, maintenance, upgrades and options for local ownership. No compute capital or population ratio is reused.</w:t>
      </w:r>
    </w:p>
    <w:p>
      <w:pPr>
        <w:pStyle w:val="SourceNote"/>
      </w:pPr>
      <w:hyperlink r:id="rId41">
        <w:r>
          <w:rPr>
            <w:color w:val="275E67"/>
            <w:u w:val="single"/>
          </w:rPr>
          <w:t xml:space="preserve">Original DOCX</w:t>
        </w:r>
      </w:hyperlink>
      <w:r>
        <w:t xml:space="preserve">  |  </w:t>
      </w:r>
      <w:hyperlink r:id="rId42">
        <w:r>
          <w:rPr>
            <w:color w:val="275E67"/>
            <w:u w:val="single"/>
          </w:rPr>
          <w:t xml:space="preserve">Online reader</w:t>
        </w:r>
      </w:hyperlink>
      <w:r>
        <w:t xml:space="preserve">  |  </w:t>
      </w:r>
      <w:hyperlink r:id="rId43">
        <w:r>
          <w:rPr>
            <w:color w:val="275E67"/>
            <w:u w:val="single"/>
          </w:rPr>
          <w:t xml:space="preserve">Archived source</w:t>
        </w:r>
      </w:hyperlink>
    </w:p>
    <w:p>
      <w:bookmarkStart w:id="82" w:name="source_D10"/>
      <w:pPr>
        <w:pStyle w:val="SourceTitle"/>
      </w:pPr>
      <w:r>
        <w:t>D10  Fiji–Australia Vuvale Union Submission</w:t>
      </w:r>
      <w:bookmarkEnd w:id="82"/>
    </w:p>
    <w:p>
      <w:pPr>
        <w:pStyle w:val="RegisterText"/>
      </w:pPr>
      <w:r>
        <w:t>Locally appropriate organisations, ownership and duties, paid work separate from voluntary contribution, staged capability development and reciprocal regional connections.</w:t>
      </w:r>
    </w:p>
    <w:p>
      <w:pPr>
        <w:pStyle w:val="SourceNote"/>
      </w:pPr>
      <w:hyperlink r:id="rId44">
        <w:r>
          <w:rPr>
            <w:color w:val="275E67"/>
            <w:u w:val="single"/>
          </w:rPr>
          <w:t xml:space="preserve">Original DOCX</w:t>
        </w:r>
      </w:hyperlink>
      <w:r>
        <w:t xml:space="preserve">  |  </w:t>
      </w:r>
      <w:hyperlink r:id="rId45">
        <w:r>
          <w:rPr>
            <w:color w:val="275E67"/>
            <w:u w:val="single"/>
          </w:rPr>
          <w:t xml:space="preserve">Online reader</w:t>
        </w:r>
      </w:hyperlink>
      <w:r>
        <w:t xml:space="preserve">  |  </w:t>
      </w:r>
      <w:hyperlink r:id="rId46">
        <w:r>
          <w:rPr>
            <w:color w:val="275E67"/>
            <w:u w:val="single"/>
          </w:rPr>
          <w:t xml:space="preserve">Archived source</w:t>
        </w:r>
      </w:hyperlink>
    </w:p>
    <w:p>
      <w:bookmarkStart w:id="83" w:name="source_D11"/>
      <w:pPr>
        <w:pStyle w:val="SourceTitle"/>
      </w:pPr>
      <w:r>
        <w:t>D11  Local Government Funding Inquiry Submission</w:t>
      </w:r>
      <w:bookmarkEnd w:id="83"/>
    </w:p>
    <w:p>
      <w:pPr>
        <w:pStyle w:val="RegisterText"/>
      </w:pPr>
      <w:r>
        <w:t xml:space="preserve">The exact listed edition was unavailable in the inherited archive. The separately identified </w:t>
      </w:r>
      <w:hyperlink w:anchor="source_D15">
        <w:r>
          <w:rPr>
            <w:color w:val="275E67"/>
            <w:u w:val="single"/>
          </w:rPr>
          <w:t xml:space="preserve">D15</w:t>
        </w:r>
      </w:hyperlink>
      <w:r>
        <w:t xml:space="preserve"> public copy supplies the local-government reference for this business plan.</w:t>
      </w:r>
    </w:p>
    <w:p>
      <w:pPr>
        <w:pStyle w:val="SourceNote"/>
      </w:pPr>
      <w:r>
        <w:t>Exact original unavailable in the inherited archive. See the source entry for the available edition.</w:t>
      </w:r>
    </w:p>
    <w:p>
      <w:bookmarkStart w:id="84" w:name="source_D12"/>
      <w:pPr>
        <w:pStyle w:val="SourceTitle"/>
      </w:pPr>
      <w:r>
        <w:t>D12  Ocean of Peace Alliance / Veitacini Treaty Submission</w:t>
      </w:r>
      <w:bookmarkEnd w:id="84"/>
    </w:p>
    <w:p>
      <w:pPr>
        <w:pStyle w:val="RegisterText"/>
      </w:pPr>
      <w:r>
        <w:t>Regional cooperation, shared capability and locally meaningful participation can inform eventual cross-border collaborations. Australian venues remain the immediate business scope.</w:t>
      </w:r>
    </w:p>
    <w:p>
      <w:pPr>
        <w:pStyle w:val="SourceNote"/>
      </w:pPr>
      <w:hyperlink r:id="rId47">
        <w:r>
          <w:rPr>
            <w:color w:val="275E67"/>
            <w:u w:val="single"/>
          </w:rPr>
          <w:t xml:space="preserve">Original DOCX</w:t>
        </w:r>
      </w:hyperlink>
      <w:r>
        <w:t xml:space="preserve">  |  </w:t>
      </w:r>
      <w:hyperlink r:id="rId48">
        <w:r>
          <w:rPr>
            <w:color w:val="275E67"/>
            <w:u w:val="single"/>
          </w:rPr>
          <w:t xml:space="preserve">Online reader</w:t>
        </w:r>
      </w:hyperlink>
      <w:r>
        <w:t xml:space="preserve">  |  </w:t>
      </w:r>
      <w:hyperlink r:id="rId49">
        <w:r>
          <w:rPr>
            <w:color w:val="275E67"/>
            <w:u w:val="single"/>
          </w:rPr>
          <w:t xml:space="preserve">Archived source</w:t>
        </w:r>
      </w:hyperlink>
    </w:p>
    <w:p>
      <w:bookmarkStart w:id="85" w:name="source_D13"/>
      <w:pPr>
        <w:pStyle w:val="SourceTitle"/>
      </w:pPr>
      <w:r>
        <w:t>D13  Ready SET Co-op: 2026 Strategy Archive</w:t>
      </w:r>
      <w:bookmarkEnd w:id="85"/>
    </w:p>
    <w:p>
      <w:pPr>
        <w:pStyle w:val="RegisterText"/>
      </w:pPr>
      <w:r>
        <w:t>Employment and training pathways, shared equipment, operational procedures and paid learning. Current ready SET Co-op naming and non-monetary C-Hour direction govern new prose.</w:t>
      </w:r>
    </w:p>
    <w:p>
      <w:pPr>
        <w:pStyle w:val="SourceNote"/>
      </w:pPr>
      <w:hyperlink r:id="rId50">
        <w:r>
          <w:rPr>
            <w:color w:val="275E67"/>
            <w:u w:val="single"/>
          </w:rPr>
          <w:t xml:space="preserve">Original PDF</w:t>
        </w:r>
      </w:hyperlink>
      <w:r>
        <w:t xml:space="preserve">  |  </w:t>
      </w:r>
      <w:hyperlink r:id="rId51">
        <w:r>
          <w:rPr>
            <w:color w:val="275E67"/>
            <w:u w:val="single"/>
          </w:rPr>
          <w:t xml:space="preserve">Online reader</w:t>
        </w:r>
      </w:hyperlink>
      <w:r>
        <w:t xml:space="preserve">  |  </w:t>
      </w:r>
      <w:hyperlink r:id="rId52">
        <w:r>
          <w:rPr>
            <w:color w:val="275E67"/>
            <w:u w:val="single"/>
          </w:rPr>
          <w:t xml:space="preserve">Archived source</w:t>
        </w:r>
      </w:hyperlink>
    </w:p>
    <w:p>
      <w:bookmarkStart w:id="86" w:name="source_D14"/>
      <w:pPr>
        <w:pStyle w:val="SourceTitle"/>
      </w:pPr>
      <w:r>
        <w:t>D14  Global Sensorium: Scientific Models and Debate</w:t>
      </w:r>
      <w:bookmarkEnd w:id="86"/>
    </w:p>
    <w:p>
      <w:pPr>
        <w:pStyle w:val="RegisterText"/>
      </w:pPr>
      <w:r>
        <w:t>Compare models and assumptions, trace observations, invite debate, run experiments and preserve explanations. It supplies scenario-design methods, not automatic validation of every scientific claim.</w:t>
      </w:r>
    </w:p>
    <w:p>
      <w:pPr>
        <w:pStyle w:val="SourceNote"/>
      </w:pPr>
      <w:hyperlink r:id="rId53">
        <w:r>
          <w:rPr>
            <w:color w:val="275E67"/>
            <w:u w:val="single"/>
          </w:rPr>
          <w:t xml:space="preserve">Original PDF</w:t>
        </w:r>
      </w:hyperlink>
      <w:r>
        <w:t xml:space="preserve">  |  </w:t>
      </w:r>
      <w:hyperlink r:id="rId54">
        <w:r>
          <w:rPr>
            <w:color w:val="275E67"/>
            <w:u w:val="single"/>
          </w:rPr>
          <w:t xml:space="preserve">Online reader</w:t>
        </w:r>
      </w:hyperlink>
      <w:r>
        <w:t xml:space="preserve">  |  </w:t>
      </w:r>
      <w:hyperlink r:id="rId55">
        <w:r>
          <w:rPr>
            <w:color w:val="275E67"/>
            <w:u w:val="single"/>
          </w:rPr>
          <w:t xml:space="preserve">Archived source</w:t>
        </w:r>
      </w:hyperlink>
    </w:p>
    <w:p>
      <w:bookmarkStart w:id="87" w:name="source_D15"/>
      <w:pPr>
        <w:pStyle w:val="SourceTitle"/>
      </w:pPr>
      <w:r>
        <w:t>D15  Local Government Funding Inquiry Submission 2, public reference copy</w:t>
      </w:r>
      <w:bookmarkEnd w:id="87"/>
    </w:p>
    <w:p>
      <w:pPr>
        <w:pStyle w:val="RegisterText"/>
      </w:pPr>
      <w:r>
        <w:t xml:space="preserve">Council relationships, shared community assets, locally useful digital twins and public-purpose funding. The exact original-upload edition </w:t>
      </w:r>
      <w:hyperlink w:anchor="source_D11">
        <w:r>
          <w:rPr>
            <w:color w:val="275E67"/>
            <w:u w:val="single"/>
          </w:rPr>
          <w:t xml:space="preserve">D11</w:t>
        </w:r>
      </w:hyperlink>
      <w:r>
        <w:t xml:space="preserve"> remains separately identified.</w:t>
      </w:r>
    </w:p>
    <w:p>
      <w:pPr>
        <w:pStyle w:val="SourceNote"/>
      </w:pPr>
      <w:hyperlink r:id="rId56">
        <w:r>
          <w:rPr>
            <w:color w:val="275E67"/>
            <w:u w:val="single"/>
          </w:rPr>
          <w:t xml:space="preserve">Original PDF</w:t>
        </w:r>
      </w:hyperlink>
      <w:r>
        <w:t xml:space="preserve">  |  </w:t>
      </w:r>
      <w:hyperlink r:id="rId57">
        <w:r>
          <w:rPr>
            <w:color w:val="275E67"/>
            <w:u w:val="single"/>
          </w:rPr>
          <w:t xml:space="preserve">Online reader</w:t>
        </w:r>
      </w:hyperlink>
      <w:r>
        <w:t xml:space="preserve">  |  </w:t>
      </w:r>
      <w:hyperlink r:id="rId58">
        <w:r>
          <w:rPr>
            <w:color w:val="275E67"/>
            <w:u w:val="single"/>
          </w:rPr>
          <w:t xml:space="preserve">Archived source</w:t>
        </w:r>
      </w:hyperlink>
    </w:p>
    <w:p>
      <w:pPr>
        <w:pStyle w:val="Heading2"/>
      </w:pPr>
      <w:r>
        <w:t>Connected projects and websites</w:t>
      </w:r>
    </w:p>
    <w:p>
      <w:bookmarkStart w:id="88" w:name="source_P01"/>
      <w:pPr>
        <w:pStyle w:val="SourceTitle"/>
      </w:pPr>
      <w:r>
        <w:t>P01  UNGA81: A fair go in the age of intelligence</w:t>
      </w:r>
      <w:bookmarkEnd w:id="88"/>
    </w:p>
    <w:p>
      <w:pPr>
        <w:pStyle w:val="RegisterText"/>
      </w:pPr>
      <w:r>
        <w:t>The public purpose and guiding questions for Joyful Responsible Abundance, shared capability, livelihoods and time.</w:t>
      </w:r>
    </w:p>
    <w:p>
      <w:pPr>
        <w:pStyle w:val="SourceNote"/>
      </w:pPr>
      <w:hyperlink r:id="rId59">
        <w:r>
          <w:rPr>
            <w:color w:val="275E67"/>
            <w:u w:val="single"/>
          </w:rPr>
          <w:t xml:space="preserve">https://auraofintelligence.github.io/UNGA81-Luke-Hayes/</w:t>
        </w:r>
      </w:hyperlink>
    </w:p>
    <w:p>
      <w:bookmarkStart w:id="89" w:name="source_P02"/>
      <w:pPr>
        <w:pStyle w:val="SourceTitle"/>
      </w:pPr>
      <w:r>
        <w:t>P02  Ready SET Co-op Cultural Intelligence Node</w:t>
      </w:r>
      <w:bookmarkEnd w:id="89"/>
    </w:p>
    <w:p>
      <w:pPr>
        <w:pStyle w:val="RegisterText"/>
      </w:pPr>
      <w:r>
        <w:t>A locally chosen cultural and technical hub can support media capture, room design, digital twins and shared processing. Cultural relationships and material custody remain locally agreed.</w:t>
      </w:r>
    </w:p>
    <w:p>
      <w:pPr>
        <w:pStyle w:val="SourceNote"/>
      </w:pPr>
      <w:hyperlink r:id="rId60">
        <w:r>
          <w:rPr>
            <w:color w:val="275E67"/>
            <w:u w:val="single"/>
          </w:rPr>
          <w:t xml:space="preserve">https://auraofintelligence.github.io/ready-set-co-op-cultural-intelligence-node/index.html</w:t>
        </w:r>
      </w:hyperlink>
    </w:p>
    <w:p>
      <w:bookmarkStart w:id="90" w:name="source_P03"/>
      <w:pPr>
        <w:pStyle w:val="SourceTitle"/>
      </w:pPr>
      <w:r>
        <w:t>P03  Ready SET Co-op Trust Hub</w:t>
      </w:r>
      <w:bookmarkEnd w:id="90"/>
    </w:p>
    <w:p>
      <w:pPr>
        <w:pStyle w:val="RegisterText"/>
      </w:pPr>
      <w:r>
        <w:t>Turn a useful service into documented learning and the next paid local role; relationships and shared equipment can support venue operations and contractor development.</w:t>
      </w:r>
    </w:p>
    <w:p>
      <w:pPr>
        <w:pStyle w:val="SourceNote"/>
      </w:pPr>
      <w:hyperlink r:id="rId61">
        <w:r>
          <w:rPr>
            <w:color w:val="275E67"/>
            <w:u w:val="single"/>
          </w:rPr>
          <w:t xml:space="preserve">https://auraofintelligence.github.io/ready-set-co-op-trust-hub/</w:t>
        </w:r>
      </w:hyperlink>
    </w:p>
    <w:p>
      <w:bookmarkStart w:id="91" w:name="source_P04"/>
      <w:pPr>
        <w:pStyle w:val="SourceTitle"/>
      </w:pPr>
      <w:r>
        <w:t>P04  500 Queens Venture Capital</w:t>
      </w:r>
      <w:bookmarkEnd w:id="91"/>
    </w:p>
    <w:p>
      <w:pPr>
        <w:pStyle w:val="RegisterText"/>
      </w:pPr>
      <w:r>
        <w:t>A potential connection for women-led venue businesses, leadership, mentoring and investment development, without claiming finance or appointments.</w:t>
      </w:r>
    </w:p>
    <w:p>
      <w:pPr>
        <w:pStyle w:val="SourceNote"/>
      </w:pPr>
      <w:hyperlink r:id="rId62">
        <w:r>
          <w:rPr>
            <w:color w:val="275E67"/>
            <w:u w:val="single"/>
          </w:rPr>
          <w:t xml:space="preserve">https://auraofintelligence.github.io/500-Queens-VC-2026/</w:t>
        </w:r>
      </w:hyperlink>
    </w:p>
    <w:p>
      <w:bookmarkStart w:id="92" w:name="source_P05"/>
      <w:pPr>
        <w:pStyle w:val="SourceTitle"/>
      </w:pPr>
      <w:r>
        <w:t>P05  Mutual Futures</w:t>
      </w:r>
      <w:bookmarkEnd w:id="92"/>
    </w:p>
    <w:p>
      <w:pPr>
        <w:pStyle w:val="RegisterText"/>
      </w:pPr>
      <w:r>
        <w:t>Business succession, paid mentoring, local ownership and periods of work, learning and travel across life.</w:t>
      </w:r>
    </w:p>
    <w:p>
      <w:pPr>
        <w:pStyle w:val="SourceNote"/>
      </w:pPr>
      <w:hyperlink r:id="rId63">
        <w:r>
          <w:rPr>
            <w:color w:val="275E67"/>
            <w:u w:val="single"/>
          </w:rPr>
          <w:t xml:space="preserve">https://auraofintelligence.github.io/mutual-futures/</w:t>
        </w:r>
      </w:hyperlink>
    </w:p>
    <w:p>
      <w:bookmarkStart w:id="93" w:name="source_P06"/>
      <w:pPr>
        <w:pStyle w:val="SourceTitle"/>
      </w:pPr>
      <w:r>
        <w:t>P06  Australian Law 2012 and Your Relevance</w:t>
      </w:r>
      <w:bookmarkEnd w:id="93"/>
    </w:p>
    <w:p>
      <w:pPr>
        <w:pStyle w:val="RegisterText"/>
      </w:pPr>
      <w:r>
        <w:t>Understand the laws and terms relevant to an actual person or project through readable sources and context.</w:t>
      </w:r>
    </w:p>
    <w:p>
      <w:pPr>
        <w:pStyle w:val="SourceNote"/>
      </w:pPr>
      <w:hyperlink r:id="rId64">
        <w:r>
          <w:rPr>
            <w:color w:val="275E67"/>
            <w:u w:val="single"/>
          </w:rPr>
          <w:t xml:space="preserve">https://auraofintelligence.github.io/australian-law-2012-lukes-relevance/</w:t>
        </w:r>
      </w:hyperlink>
    </w:p>
    <w:p>
      <w:bookmarkStart w:id="94" w:name="source_P07"/>
      <w:pPr>
        <w:pStyle w:val="SourceTitle"/>
      </w:pPr>
      <w:r>
        <w:t>P07  Australian Legal Engine</w:t>
      </w:r>
      <w:bookmarkEnd w:id="94"/>
    </w:p>
    <w:p>
      <w:pPr>
        <w:pStyle w:val="RegisterText"/>
      </w:pPr>
      <w:r>
        <w:t>Future source-linked legal research integration for contract preparation and current obligations; preserve qualified human decision-making.</w:t>
      </w:r>
    </w:p>
    <w:p>
      <w:pPr>
        <w:pStyle w:val="SourceNote"/>
      </w:pPr>
      <w:hyperlink r:id="rId65">
        <w:r>
          <w:rPr>
            <w:color w:val="275E67"/>
            <w:u w:val="single"/>
          </w:rPr>
          <w:t xml:space="preserve">https://github.com/auraofintelligence/australian-legal-engine</w:t>
        </w:r>
      </w:hyperlink>
    </w:p>
    <w:p>
      <w:bookmarkStart w:id="95" w:name="source_P08"/>
      <w:pPr>
        <w:pStyle w:val="SourceTitle"/>
      </w:pPr>
      <w:r>
        <w:t>P08  Legal Memory Workbench</w:t>
      </w:r>
      <w:bookmarkEnd w:id="95"/>
    </w:p>
    <w:p>
      <w:pPr>
        <w:pStyle w:val="RegisterText"/>
      </w:pPr>
      <w:r>
        <w:t>Organise the actual premises, employment and partnership questions and source trails into a usable project record.</w:t>
      </w:r>
    </w:p>
    <w:p>
      <w:pPr>
        <w:pStyle w:val="SourceNote"/>
      </w:pPr>
      <w:hyperlink r:id="rId66">
        <w:r>
          <w:rPr>
            <w:color w:val="275E67"/>
            <w:u w:val="single"/>
          </w:rPr>
          <w:t xml:space="preserve">https://auraofintelligence.github.io/legal-memory-workbench/</w:t>
        </w:r>
      </w:hyperlink>
    </w:p>
    <w:p>
      <w:bookmarkStart w:id="96" w:name="source_P09"/>
      <w:pPr>
        <w:pStyle w:val="SourceTitle"/>
      </w:pPr>
      <w:r>
        <w:t>P09  C-Hour Introduction</w:t>
      </w:r>
      <w:bookmarkEnd w:id="96"/>
    </w:p>
    <w:p>
      <w:pPr>
        <w:pStyle w:val="RegisterText"/>
      </w:pPr>
      <w:r>
        <w:t>Voluntary contribution and recognition alongside funded access; no cash conversion or replacement of wages.</w:t>
      </w:r>
    </w:p>
    <w:p>
      <w:pPr>
        <w:pStyle w:val="SourceNote"/>
      </w:pPr>
      <w:hyperlink r:id="rId67">
        <w:r>
          <w:rPr>
            <w:color w:val="275E67"/>
            <w:u w:val="single"/>
          </w:rPr>
          <w:t xml:space="preserve">https://auraofintelligence.github.io/C-Hour-introduction/</w:t>
        </w:r>
      </w:hyperlink>
    </w:p>
    <w:p>
      <w:bookmarkStart w:id="97" w:name="source_P10"/>
      <w:pPr>
        <w:pStyle w:val="SourceTitle"/>
      </w:pPr>
      <w:r>
        <w:t>P10  P4A</w:t>
      </w:r>
      <w:bookmarkEnd w:id="97"/>
    </w:p>
    <w:p>
      <w:pPr>
        <w:pStyle w:val="RegisterText"/>
      </w:pPr>
      <w:r>
        <w:t xml:space="preserve">Civic maps, local economic development, councils and public discussion scenarios. Participation in the business does not require political agreement. Connected project: </w:t>
      </w:r>
      <w:hyperlink r:id="rId11">
        <w:r>
          <w:rPr>
            <w:color w:val="275E67"/>
            <w:u w:val="single"/>
          </w:rPr>
          <w:t xml:space="preserve">p4a-xyz-cinema repository</w:t>
        </w:r>
      </w:hyperlink>
      <w:r>
        <w:t>.</w:t>
      </w:r>
    </w:p>
    <w:p>
      <w:pPr>
        <w:pStyle w:val="SourceNote"/>
      </w:pPr>
      <w:hyperlink r:id="rId68">
        <w:r>
          <w:rPr>
            <w:color w:val="275E67"/>
            <w:u w:val="single"/>
          </w:rPr>
          <w:t xml:space="preserve">https://p4a.xyz/</w:t>
        </w:r>
      </w:hyperlink>
    </w:p>
    <w:p>
      <w:bookmarkStart w:id="98" w:name="source_P11"/>
      <w:pPr>
        <w:pStyle w:val="SourceTitle"/>
      </w:pPr>
      <w:r>
        <w:t>P11  Aura Genesis Geode Atlas</w:t>
      </w:r>
      <w:bookmarkEnd w:id="98"/>
    </w:p>
    <w:p>
      <w:pPr>
        <w:pStyle w:val="RegisterText"/>
      </w:pPr>
      <w:r>
        <w:t>Personal Aura continuity and rehearsal, selected teacher development and public/private/secret permissions. Escape rooms remain a distinct product from the intensive adult programme.</w:t>
      </w:r>
    </w:p>
    <w:p>
      <w:pPr>
        <w:pStyle w:val="SourceNote"/>
      </w:pPr>
      <w:hyperlink r:id="rId10">
        <w:r>
          <w:rPr>
            <w:color w:val="275E67"/>
            <w:u w:val="single"/>
          </w:rPr>
          <w:t xml:space="preserve">https://auraofintelligence.github.io/aura-genesis-geode-atlas/</w:t>
        </w:r>
      </w:hyperlink>
    </w:p>
    <w:p>
      <w:bookmarkStart w:id="99" w:name="source_P12"/>
      <w:pPr>
        <w:pStyle w:val="SourceTitle"/>
      </w:pPr>
      <w:r>
        <w:t>P12  Oceania Healthy De-Slop Co-ops</w:t>
      </w:r>
      <w:bookmarkEnd w:id="99"/>
    </w:p>
    <w:p>
      <w:pPr>
        <w:pStyle w:val="RegisterText"/>
      </w:pPr>
      <w:r>
        <w:t>Locally shaped shared spaces and services, with opportunities to connect wellbeing, food, social participation and travel under separate offers.</w:t>
      </w:r>
    </w:p>
    <w:p>
      <w:pPr>
        <w:pStyle w:val="SourceNote"/>
      </w:pPr>
      <w:hyperlink r:id="rId69">
        <w:r>
          <w:rPr>
            <w:color w:val="275E67"/>
            <w:u w:val="single"/>
          </w:rPr>
          <w:t xml:space="preserve">https://auraofintelligence.github.io/Oceania-healthy-de-slop-co-ops/</w:t>
        </w:r>
      </w:hyperlink>
    </w:p>
    <w:p>
      <w:bookmarkStart w:id="100" w:name="source_P13"/>
      <w:pPr>
        <w:pStyle w:val="SourceTitle"/>
      </w:pPr>
      <w:r>
        <w:t>P13  82 Claytons Road Anglican partnership proposal</w:t>
      </w:r>
      <w:bookmarkEnd w:id="100"/>
    </w:p>
    <w:p>
      <w:pPr>
        <w:pStyle w:val="RegisterText"/>
      </w:pPr>
      <w:r>
        <w:t>An example of a proposed community and care partnership on Minjerribah, useful for thinking about intergenerational access and place-based enterprise. No land or institutional commitment is assumed.</w:t>
      </w:r>
    </w:p>
    <w:p>
      <w:pPr>
        <w:pStyle w:val="SourceNote"/>
      </w:pPr>
      <w:hyperlink r:id="rId70">
        <w:r>
          <w:rPr>
            <w:color w:val="275E67"/>
            <w:u w:val="single"/>
          </w:rPr>
          <w:t xml:space="preserve">https://github.com/auraofintelligence/Anglican-Diocese-82-Claytons-Amity</w:t>
        </w:r>
      </w:hyperlink>
    </w:p>
    <w:p>
      <w:bookmarkStart w:id="101" w:name="source_P14"/>
      <w:pPr>
        <w:pStyle w:val="SourceTitle"/>
      </w:pPr>
      <w:r>
        <w:t>P14  Installing the Missing Middle source repository</w:t>
      </w:r>
      <w:bookmarkEnd w:id="101"/>
    </w:p>
    <w:p>
      <w:pPr>
        <w:pStyle w:val="RegisterText"/>
      </w:pPr>
      <w:r>
        <w:t>Related business-development source. Its structures and assumptions are context to examine, not authority to select an escape-room operating system.</w:t>
      </w:r>
    </w:p>
    <w:p>
      <w:pPr>
        <w:pStyle w:val="SourceNote"/>
      </w:pPr>
      <w:hyperlink r:id="rId71">
        <w:r>
          <w:rPr>
            <w:color w:val="275E67"/>
            <w:u w:val="single"/>
          </w:rPr>
          <w:t xml:space="preserve">https://github.com/auraofintelligence/installing-the-missing-middle</w:t>
        </w:r>
      </w:hyperlink>
    </w:p>
    <w:p>
      <w:pPr>
        <w:pStyle w:val="Heading2"/>
      </w:pPr>
      <w:r>
        <w:t>Market and operating sources</w:t>
      </w:r>
    </w:p>
    <w:p>
      <w:bookmarkStart w:id="102" w:name="source_M01"/>
      <w:pPr>
        <w:pStyle w:val="SourceTitle"/>
      </w:pPr>
      <w:r>
        <w:t>M01  Tourism Research Australia national fast facts</w:t>
      </w:r>
      <w:bookmarkEnd w:id="102"/>
    </w:p>
    <w:p>
      <w:pPr>
        <w:pStyle w:val="RegisterText"/>
      </w:pPr>
      <w:r>
        <w:t>Year ending June 2026: 112.5 million domestic overnight trips and AUD 108.1 billion spend; 288.4 million domestic day trips and AUD 52.0 billion spend; 9.1 million international trips and AUD 40.5 billion spend. Trips are not unique customers.</w:t>
      </w:r>
    </w:p>
    <w:p>
      <w:pPr>
        <w:pStyle w:val="SourceNote"/>
        <w:keepNext/>
      </w:pPr>
      <w:r>
        <w:t>Recorded observation date: 2026-10-29</w:t>
      </w:r>
    </w:p>
    <w:p>
      <w:pPr>
        <w:pStyle w:val="SourceNote"/>
      </w:pPr>
      <w:r>
        <w:t>page rechecked: TRA homepage reproduces the year-ending June 2026 trip and spend figures.</w:t>
      </w:r>
    </w:p>
    <w:p>
      <w:pPr>
        <w:pStyle w:val="SourceNote"/>
      </w:pPr>
      <w:r>
        <w:t>Supplier quotation date: none recorded.</w:t>
      </w:r>
    </w:p>
    <w:p>
      <w:pPr>
        <w:pStyle w:val="SourceNote"/>
      </w:pPr>
      <w:hyperlink r:id="rId72">
        <w:r>
          <w:rPr>
            <w:color w:val="275E67"/>
            <w:u w:val="single"/>
          </w:rPr>
          <w:t xml:space="preserve">https://www.tra.gov.au/</w:t>
        </w:r>
      </w:hyperlink>
    </w:p>
    <w:p>
      <w:bookmarkStart w:id="103" w:name="source_M02"/>
      <w:pPr>
        <w:pStyle w:val="SourceTitle"/>
      </w:pPr>
      <w:r>
        <w:t>M02  Domestic Tourism Statistics June quarter 2026</w:t>
      </w:r>
      <w:bookmarkEnd w:id="103"/>
    </w:p>
    <w:p>
      <w:pPr>
        <w:pStyle w:val="RegisterText"/>
      </w:pPr>
      <w:r>
        <w:t>June quarter 2026: 27.1 million overnight trips and AUD 25.7 billion spend; 74.2 million day trips and AUD 13.8 billion spend. DoTS replaced NVS in January 2025, with backcasting notes for earlier periods.</w:t>
      </w:r>
    </w:p>
    <w:p>
      <w:pPr>
        <w:pStyle w:val="SourceNote"/>
        <w:keepNext/>
      </w:pPr>
      <w:r>
        <w:t>Recorded observation date: 2026-10-29</w:t>
      </w:r>
    </w:p>
    <w:p>
      <w:pPr>
        <w:pStyle w:val="SourceNote"/>
      </w:pPr>
      <w:r>
        <w:t>page rechecked: Domestic statistics page retrieved; it reports June quarter 2026 separately from the annual homepage figures.</w:t>
      </w:r>
    </w:p>
    <w:p>
      <w:pPr>
        <w:pStyle w:val="SourceNote"/>
      </w:pPr>
      <w:r>
        <w:t>Supplier quotation date: none recorded.</w:t>
      </w:r>
    </w:p>
    <w:p>
      <w:pPr>
        <w:pStyle w:val="SourceNote"/>
      </w:pPr>
      <w:hyperlink r:id="rId73">
        <w:r>
          <w:rPr>
            <w:color w:val="275E67"/>
            <w:u w:val="single"/>
          </w:rPr>
          <w:t xml:space="preserve">https://www.tra.gov.au/en/tourism-statistics/domestic-tourism-statistics-results</w:t>
        </w:r>
      </w:hyperlink>
    </w:p>
    <w:p>
      <w:bookmarkStart w:id="104" w:name="source_M03"/>
      <w:pPr>
        <w:pStyle w:val="SourceTitle"/>
      </w:pPr>
      <w:r>
        <w:t>M03  ABS Schools 2025</w:t>
      </w:r>
      <w:bookmarkEnd w:id="104"/>
    </w:p>
    <w:p>
      <w:pPr>
        <w:pStyle w:val="RegisterText"/>
      </w:pPr>
      <w:r>
        <w:t>Australia had 4,160,918 students and 9,673 schools in 2025. Queensland had 1,803 schools. Released 5 March 2026.</w:t>
      </w:r>
    </w:p>
    <w:p>
      <w:pPr>
        <w:pStyle w:val="SourceNote"/>
        <w:keepNext/>
      </w:pPr>
      <w:r>
        <w:t>Recorded observation date: 2026-10-29</w:t>
      </w:r>
    </w:p>
    <w:p>
      <w:pPr>
        <w:pStyle w:val="SourceNote"/>
      </w:pPr>
      <w:r>
        <w:t>page rechecked: ABS 2025 Schools release reports 4,160,918 students and 9,673 schools.</w:t>
      </w:r>
    </w:p>
    <w:p>
      <w:pPr>
        <w:pStyle w:val="SourceNote"/>
      </w:pPr>
      <w:r>
        <w:t>Supplier quotation date: none recorded.</w:t>
      </w:r>
    </w:p>
    <w:p>
      <w:pPr>
        <w:pStyle w:val="SourceNote"/>
      </w:pPr>
      <w:hyperlink r:id="rId74">
        <w:r>
          <w:rPr>
            <w:color w:val="275E67"/>
            <w:u w:val="single"/>
          </w:rPr>
          <w:t xml:space="preserve">https://www.abs.gov.au/statistics/people/education/schools/latest-release</w:t>
        </w:r>
      </w:hyperlink>
    </w:p>
    <w:p>
      <w:bookmarkStart w:id="105" w:name="source_M04"/>
      <w:pPr>
        <w:pStyle w:val="SourceTitle"/>
      </w:pPr>
      <w:r>
        <w:t>M04  TRA Business events data</w:t>
      </w:r>
      <w:bookmarkEnd w:id="105"/>
    </w:p>
    <w:p>
      <w:pPr>
        <w:pStyle w:val="RegisterText"/>
      </w:pPr>
      <w:r>
        <w:t>Calendar 2025 business-event visitors spent AUD 17.2 billion in Australia: AUD 2.3 billion international, AUD 12.0 billion domestic overnight, AUD 2.9 billion domestic day trips. These are trip expenditures, not a team-building market size.</w:t>
      </w:r>
    </w:p>
    <w:p>
      <w:pPr>
        <w:pStyle w:val="SourceNote"/>
        <w:keepNext/>
      </w:pPr>
      <w:r>
        <w:t>Recorded observation date: 2026-10-29</w:t>
      </w:r>
    </w:p>
    <w:p>
      <w:pPr>
        <w:pStyle w:val="SourceNote"/>
      </w:pPr>
      <w:r>
        <w:t>page rechecked: TRA reports 17.2 billion AUD spend in Australia for business-event visitors during 2025.</w:t>
      </w:r>
    </w:p>
    <w:p>
      <w:pPr>
        <w:pStyle w:val="SourceNote"/>
      </w:pPr>
      <w:r>
        <w:t>Supplier quotation date: none recorded.</w:t>
      </w:r>
    </w:p>
    <w:p>
      <w:pPr>
        <w:pStyle w:val="SourceNote"/>
      </w:pPr>
      <w:hyperlink r:id="rId75">
        <w:r>
          <w:rPr>
            <w:color w:val="275E67"/>
            <w:u w:val="single"/>
          </w:rPr>
          <w:t xml:space="preserve">https://www.tra.gov.au/en/tourism-statistics/business-events-data</w:t>
        </w:r>
      </w:hyperlink>
    </w:p>
    <w:p>
      <w:bookmarkStart w:id="106" w:name="source_M05"/>
      <w:pPr>
        <w:pStyle w:val="SourceTitle"/>
      </w:pPr>
      <w:r>
        <w:t>M05  Tourism Australia travel distribution system</w:t>
      </w:r>
      <w:bookmarkEnd w:id="106"/>
    </w:p>
    <w:p>
      <w:pPr>
        <w:pStyle w:val="RegisterText"/>
      </w:pPr>
      <w:r>
        <w:t>Inherited observation, recorded 2026-10-29. Indicative commissions: retail agents 10%, OTAs 10–15%, wholesalers 20%, inbound tour operators 30%. Guidance only, with gross and net rates distinguished.</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76">
        <w:r>
          <w:rPr>
            <w:color w:val="275E67"/>
            <w:u w:val="single"/>
          </w:rPr>
          <w:t xml:space="preserve">https://www.tourism.australia.com/en/resources/industry-resources/trade-show-tips/the-travel-distribution-system.html</w:t>
        </w:r>
      </w:hyperlink>
    </w:p>
    <w:p>
      <w:bookmarkStart w:id="107" w:name="source_M06"/>
      <w:pPr>
        <w:pStyle w:val="SourceTitle"/>
      </w:pPr>
      <w:r>
        <w:t>M06  Tourism Australia ATDW distribution</w:t>
      </w:r>
      <w:bookmarkEnd w:id="107"/>
    </w:p>
    <w:p>
      <w:pPr>
        <w:pStyle w:val="RegisterText"/>
      </w:pPr>
      <w:r>
        <w:t>Inherited observation, recorded 2026-10-29. ATDW listings can distribute through state/territory websites, Australia.com and distributor network. Registration/approval through relevant state or territory organisation.</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77">
        <w:r>
          <w:rPr>
            <w:color w:val="275E67"/>
            <w:u w:val="single"/>
          </w:rPr>
          <w:t xml:space="preserve">https://www.tourism.australia.com/en/resources/industry-resources/building-your-tourism-business/getting-your-product-on-australia-com.html</w:t>
        </w:r>
      </w:hyperlink>
    </w:p>
    <w:p>
      <w:bookmarkStart w:id="108" w:name="source_M07"/>
      <w:pPr>
        <w:pStyle w:val="SourceTitle"/>
      </w:pPr>
      <w:r>
        <w:t>M07  Fox in a Box Brisbane corporate events</w:t>
      </w:r>
      <w:bookmarkEnd w:id="108"/>
    </w:p>
    <w:p>
      <w:pPr>
        <w:pStyle w:val="RegisterText"/>
      </w:pPr>
      <w:r>
        <w:t>Ten rooms and up to 60 players simultaneously. One game AUD 45 per person, minimum 13. Two games AUD 80 per person, minimum 13, approximately 2.5–3 hours including a break. Groups 40+ receive exclusive use.</w:t>
      </w:r>
    </w:p>
    <w:p>
      <w:pPr>
        <w:pStyle w:val="SourceNote"/>
        <w:keepNext/>
      </w:pPr>
      <w:r>
        <w:t>Recorded observation date: 2026-10-29</w:t>
      </w:r>
    </w:p>
    <w:p>
      <w:pPr>
        <w:pStyle w:val="SourceNote"/>
      </w:pPr>
      <w:r>
        <w:t>page rechecked: Operator page confirms ten rooms and capacity up to sixty. Published corporate offers require their stated conditions.</w:t>
      </w:r>
    </w:p>
    <w:p>
      <w:pPr>
        <w:pStyle w:val="SourceNote"/>
      </w:pPr>
      <w:r>
        <w:t>Supplier quotation date: none recorded.</w:t>
      </w:r>
    </w:p>
    <w:p>
      <w:pPr>
        <w:pStyle w:val="SourceNote"/>
      </w:pPr>
      <w:hyperlink r:id="rId78">
        <w:r>
          <w:rPr>
            <w:color w:val="275E67"/>
            <w:u w:val="single"/>
          </w:rPr>
          <w:t xml:space="preserve">https://foxinaboxbrisbane.com/corporate-events/</w:t>
        </w:r>
      </w:hyperlink>
    </w:p>
    <w:p>
      <w:bookmarkStart w:id="109" w:name="source_M08"/>
      <w:pPr>
        <w:pStyle w:val="SourceTitle"/>
      </w:pPr>
      <w:r>
        <w:t>M08  Fox in a Box Brisbane FAQs</w:t>
      </w:r>
      <w:bookmarkEnd w:id="109"/>
    </w:p>
    <w:p>
      <w:pPr>
        <w:pStyle w:val="RegisterText"/>
      </w:pPr>
      <w:r>
        <w:t>Inherited observation, recorded 2026-10-29. Two to six players per room, selected rooms accept seven by request; two identical prison rooms support 12 head-to-head players. Up to 60 minutes gameplay and 90 minutes for the whole visit; arrive 15 minutes early.</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79">
        <w:r>
          <w:rPr>
            <w:color w:val="275E67"/>
            <w:u w:val="single"/>
          </w:rPr>
          <w:t xml:space="preserve">https://foxinaboxbrisbane.com/</w:t>
        </w:r>
      </w:hyperlink>
    </w:p>
    <w:p>
      <w:bookmarkStart w:id="110" w:name="source_M09"/>
      <w:pPr>
        <w:pStyle w:val="SourceTitle"/>
      </w:pPr>
      <w:r>
        <w:t>M09  Red Lock pricing</w:t>
      </w:r>
      <w:bookmarkEnd w:id="110"/>
    </w:p>
    <w:p>
      <w:pPr>
        <w:pStyle w:val="RegisterText"/>
      </w:pPr>
      <w:r>
        <w:t>60-minute games: AUD 55 per person for two players, 47 for three, 45 for four, 42 for five and 40 for six or more. Weekday three-room package AUD 99 per person; extra rooms AUD 33. Minimum two players; Queensland school holidays excluded.</w:t>
      </w:r>
    </w:p>
    <w:p>
      <w:pPr>
        <w:pStyle w:val="SourceNote"/>
        <w:keepNext/>
      </w:pPr>
      <w:r>
        <w:t>Recorded observation date: 2026-10-29</w:t>
      </w:r>
    </w:p>
    <w:p>
      <w:pPr>
        <w:pStyle w:val="SourceNote"/>
      </w:pPr>
      <w:r>
        <w:t>partial verification: Pricing page rechecked: 99 AUD weekday three-room offer, minimum two people, same group in one day, excluding Queensland school holidays. Other conditions apply.</w:t>
      </w:r>
    </w:p>
    <w:p>
      <w:pPr>
        <w:pStyle w:val="SourceNote"/>
      </w:pPr>
      <w:r>
        <w:t>Supplier quotation date: none recorded.</w:t>
      </w:r>
    </w:p>
    <w:p>
      <w:pPr>
        <w:pStyle w:val="SourceNote"/>
      </w:pPr>
      <w:hyperlink r:id="rId80">
        <w:r>
          <w:rPr>
            <w:color w:val="275E67"/>
            <w:u w:val="single"/>
          </w:rPr>
          <w:t xml:space="preserve">https://www.redlockescaperooms.com.au/pricing/</w:t>
        </w:r>
      </w:hyperlink>
    </w:p>
    <w:p>
      <w:bookmarkStart w:id="111" w:name="source_M10"/>
      <w:pPr>
        <w:pStyle w:val="SourceTitle"/>
      </w:pPr>
      <w:r>
        <w:t>M10  Team Escapes by Escape This capacity</w:t>
      </w:r>
      <w:bookmarkEnd w:id="111"/>
    </w:p>
    <w:p>
      <w:pPr>
        <w:pStyle w:val="RegisterText"/>
      </w:pPr>
      <w:r>
        <w:t>48 rooms across five venues: Perth CBD 14 rooms/108 players; Northbridge 9/62; Sydney CBD 10/66; Manly 3/18; Melbourne CBD 12/82. Total 336 at each maximum team size simultaneously. Operator data dated 29 October 2026.</w:t>
      </w:r>
    </w:p>
    <w:p>
      <w:pPr>
        <w:pStyle w:val="SourceNote"/>
        <w:keepNext/>
      </w:pPr>
      <w:r>
        <w:t>Recorded observation date: 2026-10-29</w:t>
      </w:r>
    </w:p>
    <w:p>
      <w:pPr>
        <w:pStyle w:val="SourceNote"/>
      </w:pPr>
      <w:r>
        <w:t>partial verification: Full open failed; official provider search result corroborates Perth CBD 14 rooms/108 players. Remaining per-venue counts are inherited and need page-level recheck.</w:t>
      </w:r>
    </w:p>
    <w:p>
      <w:pPr>
        <w:pStyle w:val="SourceNote"/>
      </w:pPr>
      <w:r>
        <w:t>Supplier quotation date: none recorded.</w:t>
      </w:r>
    </w:p>
    <w:p>
      <w:pPr>
        <w:pStyle w:val="SourceNote"/>
      </w:pPr>
      <w:hyperlink r:id="rId81">
        <w:r>
          <w:rPr>
            <w:color w:val="275E67"/>
            <w:u w:val="single"/>
          </w:rPr>
          <w:t xml:space="preserve">https://www.teamescape.com.au/capacity/</w:t>
        </w:r>
      </w:hyperlink>
    </w:p>
    <w:p>
      <w:bookmarkStart w:id="112" w:name="source_M11"/>
      <w:pPr>
        <w:pStyle w:val="SourceTitle"/>
      </w:pPr>
      <w:r>
        <w:t>M11  The Great Escape Melbourne fitout case study</w:t>
      </w:r>
      <w:bookmarkEnd w:id="112"/>
    </w:p>
    <w:p>
      <w:pPr>
        <w:pStyle w:val="RegisterText"/>
      </w:pPr>
      <w:r>
        <w:t>1,240 m² entire floor with a nine-escape-room design, two nine-hole mini-golf courses, arcade, bar, kitchen and lounges. No individual game-room area or opening-capacity inference.</w:t>
      </w:r>
    </w:p>
    <w:p>
      <w:pPr>
        <w:pStyle w:val="SourceNote"/>
        <w:keepNext/>
      </w:pPr>
      <w:r>
        <w:t>Recorded observation date: 2026-10-29</w:t>
      </w:r>
    </w:p>
    <w:p>
      <w:pPr>
        <w:pStyle w:val="SourceNote"/>
      </w:pPr>
      <w:r>
        <w:t>page rechecked: Designer project page retrieved; venue area is a whole mixed-use project, not mean game area.</w:t>
      </w:r>
    </w:p>
    <w:p>
      <w:pPr>
        <w:pStyle w:val="SourceNote"/>
      </w:pPr>
      <w:r>
        <w:t>Supplier quotation date: none recorded.</w:t>
      </w:r>
    </w:p>
    <w:p>
      <w:pPr>
        <w:pStyle w:val="SourceNote"/>
      </w:pPr>
      <w:hyperlink r:id="rId82">
        <w:r>
          <w:rPr>
            <w:color w:val="275E67"/>
            <w:u w:val="single"/>
          </w:rPr>
          <w:t xml:space="preserve">https://www.amicus.com.au/projects/the-great-escape-melbourne</w:t>
        </w:r>
      </w:hyperlink>
    </w:p>
    <w:p>
      <w:bookmarkStart w:id="113" w:name="source_M12"/>
      <w:pPr>
        <w:pStyle w:val="SourceTitle"/>
      </w:pPr>
      <w:r>
        <w:t>M12  The Great Escape current game overview</w:t>
      </w:r>
      <w:bookmarkEnd w:id="113"/>
    </w:p>
    <w:p>
      <w:pPr>
        <w:pStyle w:val="RegisterText"/>
      </w:pPr>
      <w:r>
        <w:t>Current banner states five of nine Melbourne CBD rooms open. Individual listed games generally 60 minutes and up to eight players. Catalogue also contains Carlton and coming-soon rooms.</w:t>
      </w:r>
    </w:p>
    <w:p>
      <w:pPr>
        <w:pStyle w:val="SourceNote"/>
        <w:keepNext/>
      </w:pPr>
      <w:r>
        <w:t>Recorded observation date: 2026-10-29</w:t>
      </w:r>
    </w:p>
    <w:p>
      <w:pPr>
        <w:pStyle w:val="SourceNote"/>
      </w:pPr>
      <w:r>
        <w:t>page rechecked: Operator page advertises five of nine Melbourne CBD rooms open.</w:t>
      </w:r>
    </w:p>
    <w:p>
      <w:pPr>
        <w:pStyle w:val="SourceNote"/>
      </w:pPr>
      <w:r>
        <w:t>Supplier quotation date: none recorded.</w:t>
      </w:r>
    </w:p>
    <w:p>
      <w:pPr>
        <w:pStyle w:val="SourceNote"/>
      </w:pPr>
      <w:hyperlink r:id="rId83">
        <w:r>
          <w:rPr>
            <w:color w:val="275E67"/>
            <w:u w:val="single"/>
          </w:rPr>
          <w:t xml:space="preserve">https://greatescapeau.com/melbourne/game-overview/?venue=melbourne</w:t>
        </w:r>
      </w:hyperlink>
    </w:p>
    <w:p>
      <w:bookmarkStart w:id="114" w:name="source_M13"/>
      <w:pPr>
        <w:pStyle w:val="SourceTitle"/>
      </w:pPr>
      <w:r>
        <w:t>M13  Mission Sydney Trapped</w:t>
      </w:r>
      <w:bookmarkEnd w:id="114"/>
    </w:p>
    <w:p>
      <w:pPr>
        <w:pStyle w:val="RegisterText"/>
      </w:pPr>
      <w:r>
        <w:t>Inherited observation, recorded 2026-10-29. Trapped takes two to four players for 70 minutes. Its smallest lift chamber is about 6 m², a part of the set rather than the full adventure or venue area.</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84">
        <w:r>
          <w:rPr>
            <w:color w:val="275E67"/>
            <w:u w:val="single"/>
          </w:rPr>
          <w:t xml:space="preserve">https://www.missionsydney.com/trapped/</w:t>
        </w:r>
      </w:hyperlink>
    </w:p>
    <w:p>
      <w:bookmarkStart w:id="115" w:name="source_M14"/>
      <w:pPr>
        <w:pStyle w:val="SourceTitle"/>
      </w:pPr>
      <w:r>
        <w:t>M14  Indestroom Australia supplier catalogue</w:t>
      </w:r>
      <w:bookmarkEnd w:id="115"/>
    </w:p>
    <w:p>
      <w:pPr>
        <w:pStyle w:val="RegisterText"/>
      </w:pPr>
      <w:r>
        <w:t>Published standard configurations: Jungle, 30–50 m², 2–8 players, AUD 42,500; Magic School, 30–50 m², 2–6 players, AUD 89,900; Pharaoh's Tomb, 30–70 m², 2–6 players, AUD 63,300; Vault-32, 40–80 m², 2–10 players, AUD 101,600; Enchanted Forest, 40–80 m², 2–8 players, AUD 63,100. Prices are converted from EUR. Standard production is 60 working days; custom production is 90. Installation usually takes 4–7 days. Freight, taxes and site works require an explicit offer. The default package includes hints, which this project excludes.</w:t>
      </w:r>
    </w:p>
    <w:p>
      <w:pPr>
        <w:pStyle w:val="SourceNote"/>
        <w:keepNext/>
      </w:pPr>
      <w:r>
        <w:t>Recorded observation date: 2026-10-29</w:t>
      </w:r>
    </w:p>
    <w:p>
      <w:pPr>
        <w:pStyle w:val="SourceNote"/>
      </w:pPr>
      <w:r>
        <w:t>page rechecked: Supplier page confirms named standard package prices, area ranges and source-specific production timing.</w:t>
      </w:r>
    </w:p>
    <w:p>
      <w:pPr>
        <w:pStyle w:val="SourceNote"/>
      </w:pPr>
      <w:r>
        <w:t>Supplier quotation date: none recorded.</w:t>
      </w:r>
    </w:p>
    <w:p>
      <w:pPr>
        <w:pStyle w:val="SourceNote"/>
      </w:pPr>
      <w:hyperlink r:id="rId85">
        <w:r>
          <w:rPr>
            <w:color w:val="275E67"/>
            <w:u w:val="single"/>
          </w:rPr>
          <w:t xml:space="preserve">https://erworkshop.com/escape-room-supplier-australia/</w:t>
        </w:r>
      </w:hyperlink>
    </w:p>
    <w:p>
      <w:bookmarkStart w:id="116" w:name="source_M15"/>
      <w:pPr>
        <w:pStyle w:val="SourceTitle"/>
      </w:pPr>
      <w:r>
        <w:t>M15  Lost Locks founder interview</w:t>
      </w:r>
      <w:bookmarkEnd w:id="116"/>
    </w:p>
    <w:p>
      <w:pPr>
        <w:pStyle w:val="RegisterText"/>
      </w:pPr>
      <w:r>
        <w:t>Inherited observation, recorded 2026-10-29. Founder interview published 8 May 2023: they sought about 500 m² for up to ten rooms; six were open at interview with space for four more. Whole-premises search target, not a verified current area or count.</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86">
        <w:r>
          <w:rPr>
            <w:color w:val="275E67"/>
            <w:u w:val="single"/>
          </w:rPr>
          <w:t xml:space="preserve">https://www.commercialrealestate.com.au/news/how-this-duo-built-an-escape-room-business-from-scratch-1211242/</w:t>
        </w:r>
      </w:hyperlink>
    </w:p>
    <w:p>
      <w:bookmarkStart w:id="117" w:name="source_M16"/>
      <w:pPr>
        <w:pStyle w:val="SourceTitle"/>
      </w:pPr>
      <w:r>
        <w:t>M16  Mystery Rooms Geelong consolidation and touring games</w:t>
      </w:r>
      <w:bookmarkEnd w:id="117"/>
    </w:p>
    <w:p>
      <w:pPr>
        <w:pStyle w:val="RegisterText"/>
      </w:pPr>
      <w:r>
        <w:t>Page updated 8 May 2026: Geelong physical games consolidated at Fitzroy; Dragon Magic on long-term residency at Beechworth Escape Rooms and Galaxy Rebellion at Worlds Beyond Albury. Vouchers are not valid at the partners.</w:t>
      </w:r>
    </w:p>
    <w:p>
      <w:pPr>
        <w:pStyle w:val="SourceNote"/>
        <w:keepNext/>
      </w:pPr>
      <w:r>
        <w:t>Recorded observation date: 2026-10-29</w:t>
      </w:r>
    </w:p>
    <w:p>
      <w:pPr>
        <w:pStyle w:val="SourceNote"/>
      </w:pPr>
      <w:r>
        <w:t>page rechecked: Operator page retrieved for relocation and partner-voucher terms.</w:t>
      </w:r>
    </w:p>
    <w:p>
      <w:pPr>
        <w:pStyle w:val="SourceNote"/>
      </w:pPr>
      <w:r>
        <w:t>Supplier quotation date: none recorded.</w:t>
      </w:r>
    </w:p>
    <w:p>
      <w:pPr>
        <w:pStyle w:val="SourceNote"/>
      </w:pPr>
      <w:hyperlink r:id="rId87">
        <w:r>
          <w:rPr>
            <w:color w:val="275E67"/>
            <w:u w:val="single"/>
          </w:rPr>
          <w:t xml:space="preserve">https://themysteryrooms.com.au/escape-room-geelong/</w:t>
        </w:r>
      </w:hyperlink>
    </w:p>
    <w:p>
      <w:bookmarkStart w:id="118" w:name="source_M17"/>
      <w:pPr>
        <w:pStyle w:val="SourceTitle"/>
      </w:pPr>
      <w:r>
        <w:t>M17  Padlockd room catalogue</w:t>
      </w:r>
      <w:bookmarkEnd w:id="118"/>
    </w:p>
    <w:p>
      <w:pPr>
        <w:pStyle w:val="RegisterText"/>
      </w:pPr>
      <w:r>
        <w:t>Sixteen experiences advertised across several Gold Coast locations. This is not one building. Includes 30- and 60-minute formats.</w:t>
      </w:r>
    </w:p>
    <w:p>
      <w:pPr>
        <w:pStyle w:val="SourceNote"/>
        <w:keepNext/>
      </w:pPr>
      <w:r>
        <w:t>Recorded observation date: 2026-10-29</w:t>
      </w:r>
    </w:p>
    <w:p>
      <w:pPr>
        <w:pStyle w:val="SourceNote"/>
      </w:pPr>
      <w:r>
        <w:t>page rechecked: Operator catalogue retrieved. Catalogue size is not a room count within one premises.</w:t>
      </w:r>
    </w:p>
    <w:p>
      <w:pPr>
        <w:pStyle w:val="SourceNote"/>
      </w:pPr>
      <w:r>
        <w:t>Supplier quotation date: none recorded.</w:t>
      </w:r>
    </w:p>
    <w:p>
      <w:pPr>
        <w:pStyle w:val="SourceNote"/>
      </w:pPr>
      <w:hyperlink r:id="rId88">
        <w:r>
          <w:rPr>
            <w:color w:val="275E67"/>
            <w:u w:val="single"/>
          </w:rPr>
          <w:t xml:space="preserve">https://padlockd.com.au/rooms/</w:t>
        </w:r>
      </w:hyperlink>
    </w:p>
    <w:p>
      <w:bookmarkStart w:id="119" w:name="source_M18"/>
      <w:pPr>
        <w:pStyle w:val="SourceTitle"/>
      </w:pPr>
      <w:r>
        <w:t>M18  Puzzled pricing</w:t>
      </w:r>
      <w:bookmarkEnd w:id="119"/>
    </w:p>
    <w:p>
      <w:pPr>
        <w:pStyle w:val="RegisterText"/>
      </w:pPr>
      <w:r>
        <w:t>Public price AUD 42 per person for groups of four to six, AUD 48 for two and AUD 45 for three.</w:t>
      </w:r>
    </w:p>
    <w:p>
      <w:pPr>
        <w:pStyle w:val="SourceNote"/>
        <w:keepNext/>
      </w:pPr>
      <w:r>
        <w:t>Recorded observation date: 2026-10-29</w:t>
      </w:r>
    </w:p>
    <w:p>
      <w:pPr>
        <w:pStyle w:val="SourceNote"/>
      </w:pPr>
      <w:r>
        <w:t>page rechecked: Operator page confirms 42 AUD per person for groups of four to six.</w:t>
      </w:r>
    </w:p>
    <w:p>
      <w:pPr>
        <w:pStyle w:val="SourceNote"/>
      </w:pPr>
      <w:r>
        <w:t>Supplier quotation date: none recorded.</w:t>
      </w:r>
    </w:p>
    <w:p>
      <w:pPr>
        <w:pStyle w:val="SourceNote"/>
      </w:pPr>
      <w:hyperlink r:id="rId89">
        <w:r>
          <w:rPr>
            <w:color w:val="275E67"/>
            <w:u w:val="single"/>
          </w:rPr>
          <w:t xml:space="preserve">https://puzzledroomescape.com.au/pricing/</w:t>
        </w:r>
      </w:hyperlink>
    </w:p>
    <w:p>
      <w:bookmarkStart w:id="120" w:name="source_M19"/>
      <w:pPr>
        <w:pStyle w:val="SourceTitle"/>
      </w:pPr>
      <w:r>
        <w:t>M19  Puzzled schools</w:t>
      </w:r>
      <w:bookmarkEnd w:id="120"/>
    </w:p>
    <w:p>
      <w:pPr>
        <w:pStyle w:val="RegisterText"/>
      </w:pPr>
      <w:r>
        <w:t>AUD 35 per person for the weekday student programme, minimum 20 participants; 60-minute play, maximum six per game.</w:t>
      </w:r>
    </w:p>
    <w:p>
      <w:pPr>
        <w:pStyle w:val="SourceNote"/>
        <w:keepNext/>
      </w:pPr>
      <w:r>
        <w:t>Recorded observation date: 2026-10-29</w:t>
      </w:r>
    </w:p>
    <w:p>
      <w:pPr>
        <w:pStyle w:val="SourceNote"/>
      </w:pPr>
      <w:r>
        <w:t>page rechecked: Operator page confirms weekday 35 AUD student price with minimum twenty.</w:t>
      </w:r>
    </w:p>
    <w:p>
      <w:pPr>
        <w:pStyle w:val="SourceNote"/>
      </w:pPr>
      <w:r>
        <w:t>Supplier quotation date: none recorded.</w:t>
      </w:r>
    </w:p>
    <w:p>
      <w:pPr>
        <w:pStyle w:val="SourceNote"/>
      </w:pPr>
      <w:hyperlink r:id="rId90">
        <w:r>
          <w:rPr>
            <w:color w:val="275E67"/>
            <w:u w:val="single"/>
          </w:rPr>
          <w:t xml:space="preserve">https://puzzledroomescape.com.au/student-programs/</w:t>
        </w:r>
      </w:hyperlink>
    </w:p>
    <w:p>
      <w:bookmarkStart w:id="121" w:name="source_M20"/>
      <w:pPr>
        <w:pStyle w:val="SourceTitle"/>
      </w:pPr>
      <w:r>
        <w:t>M20  Project Immersive events</w:t>
      </w:r>
      <w:bookmarkEnd w:id="121"/>
    </w:p>
    <w:p>
      <w:pPr>
        <w:pStyle w:val="RegisterText"/>
      </w:pPr>
      <w:r>
        <w:t>AUD 44 per person for groups of 7–20, minimum three per game, up to a 50-minute game and a 90-minute whole event.</w:t>
      </w:r>
    </w:p>
    <w:p>
      <w:pPr>
        <w:pStyle w:val="SourceNote"/>
        <w:keepNext/>
      </w:pPr>
      <w:r>
        <w:t>Recorded observation date: 2026-10-29</w:t>
      </w:r>
    </w:p>
    <w:p>
      <w:pPr>
        <w:pStyle w:val="SourceNote"/>
      </w:pPr>
      <w:r>
        <w:t>page rechecked: Operator event page retrieved for group-event comparison.</w:t>
      </w:r>
    </w:p>
    <w:p>
      <w:pPr>
        <w:pStyle w:val="SourceNote"/>
      </w:pPr>
      <w:r>
        <w:t>Supplier quotation date: none recorded.</w:t>
      </w:r>
    </w:p>
    <w:p>
      <w:pPr>
        <w:pStyle w:val="SourceNote"/>
      </w:pPr>
      <w:hyperlink r:id="rId91">
        <w:r>
          <w:rPr>
            <w:color w:val="275E67"/>
            <w:u w:val="single"/>
          </w:rPr>
          <w:t xml:space="preserve">https://www.projectimmersive.com/events</w:t>
        </w:r>
      </w:hyperlink>
    </w:p>
    <w:p>
      <w:bookmarkStart w:id="122" w:name="source_M21"/>
      <w:pPr>
        <w:pStyle w:val="SourceTitle"/>
      </w:pPr>
      <w:r>
        <w:t>M21  TRA State and Regional Tourism Satellite Accounts</w:t>
      </w:r>
      <w:bookmarkEnd w:id="122"/>
    </w:p>
    <w:p>
      <w:pPr>
        <w:pStyle w:val="RegisterText"/>
      </w:pPr>
      <w:r>
        <w:t>Inherited observation, recorded 2026-10-29. 2024–25 Queensland tourism consumption AUD 49.0 billion, including regional Queensland AUD 19.8643 billion with 4.8% growth. Consumption differs from trip spending and must not be added to the other TRA headline measures.</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92">
        <w:r>
          <w:rPr>
            <w:color w:val="275E67"/>
            <w:u w:val="single"/>
          </w:rPr>
          <w:t xml:space="preserve">https://www.tra.gov.au/en/tourism-industry-analysis/state-and-regional-sta</w:t>
        </w:r>
      </w:hyperlink>
    </w:p>
    <w:p>
      <w:bookmarkStart w:id="123" w:name="source_M22"/>
      <w:pPr>
        <w:pStyle w:val="SourceTitle"/>
      </w:pPr>
      <w:r>
        <w:t>M22  Destination NSW tourism distribution</w:t>
      </w:r>
      <w:bookmarkEnd w:id="123"/>
    </w:p>
    <w:p>
      <w:pPr>
        <w:pStyle w:val="RegisterText"/>
      </w:pPr>
      <w:r>
        <w:t>Inherited observation, recorded 2026-10-29. Guidance recommends bookable products with commission included in pricing and connections with local government agencies and tourism associations for distribution.</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93">
        <w:r>
          <w:rPr>
            <w:color w:val="275E67"/>
            <w:u w:val="single"/>
          </w:rPr>
          <w:t xml:space="preserve">https://www.destinationnsw.com.au/destination-nsw-business-support/nsw-first-program/how-to-sell-online-via-distribution-partners</w:t>
        </w:r>
      </w:hyperlink>
    </w:p>
    <w:p>
      <w:bookmarkStart w:id="124" w:name="source_M23"/>
      <w:pPr>
        <w:pStyle w:val="SourceTitle"/>
      </w:pPr>
      <w:r>
        <w:t>M23  Local Government Funding submission register</w:t>
      </w:r>
      <w:bookmarkEnd w:id="124"/>
    </w:p>
    <w:p>
      <w:pPr>
        <w:pStyle w:val="RegisterText"/>
      </w:pPr>
      <w:r>
        <w:t>Inherited observation, recorded 2026-10-29. The official register identifies Submission 2 by Mr Luke Nathan Hayes, a 263 KB PDF. The exact uploaded Missing Middle edition has not been recovered.</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94">
        <w:r>
          <w:rPr>
            <w:color w:val="275E67"/>
            <w:u w:val="single"/>
          </w:rPr>
          <w:t xml:space="preserve">https://www.aph.gov.au/Parliamentary_Business/Committees/House/Regional_Development_Infrastructure_and_Transport/LocalGovernmentFunding/Submissions</w:t>
        </w:r>
      </w:hyperlink>
    </w:p>
    <w:p>
      <w:bookmarkStart w:id="125" w:name="source_M24"/>
      <w:pPr>
        <w:pStyle w:val="SourceTitle"/>
      </w:pPr>
      <w:r>
        <w:t>M24  Australian Curriculum, Personal and Social capability</w:t>
      </w:r>
      <w:bookmarkEnd w:id="125"/>
    </w:p>
    <w:p>
      <w:pPr>
        <w:pStyle w:val="RegisterText"/>
      </w:pPr>
      <w:r>
        <w:t>Inherited observation, recorded 2026-10-29. Curriculum mapping for communication, collaboration, reflective practice and conflict resolution.</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95">
        <w:r>
          <w:rPr>
            <w:color w:val="275E67"/>
            <w:u w:val="single"/>
          </w:rPr>
          <w:t xml:space="preserve">https://www.australiancurriculum.edu.au/curriculum-information/understand-this-general-capability/personal-and-social-capability/</w:t>
        </w:r>
      </w:hyperlink>
    </w:p>
    <w:p>
      <w:bookmarkStart w:id="126" w:name="source_M25"/>
      <w:pPr>
        <w:pStyle w:val="SourceTitle"/>
      </w:pPr>
      <w:r>
        <w:t>M25  QCAA Personal and Social capability learning continuum</w:t>
      </w:r>
      <w:bookmarkEnd w:id="126"/>
    </w:p>
    <w:p>
      <w:pPr>
        <w:pStyle w:val="RegisterText"/>
      </w:pPr>
      <w:r>
        <w:t>Inherited observation, recorded 2026-10-29. Developmental continuum for selecting school-stage outcomes and planning suitable activities.</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96">
        <w:r>
          <w:rPr>
            <w:color w:val="275E67"/>
            <w:u w:val="single"/>
          </w:rPr>
          <w:t xml:space="preserve">https://www.qcaa.qld.edu.au/downloads/aciqv9/general-resources/ac9_gc_personal_social_capability_learning_continuum.pdf</w:t>
        </w:r>
      </w:hyperlink>
    </w:p>
    <w:p>
      <w:bookmarkStart w:id="127" w:name="source_R101"/>
      <w:pPr>
        <w:pStyle w:val="SourceTitle"/>
      </w:pPr>
      <w:r>
        <w:t>R101  Fair Work, Amusement Events and Recreation Award, effective 1 July 2026</w:t>
      </w:r>
      <w:bookmarkEnd w:id="127"/>
    </w:p>
    <w:p>
      <w:pPr>
        <w:pStyle w:val="RegisterText"/>
      </w:pPr>
      <w:r>
        <w:t>Published example adult casual Grade 4 rates $36.81 ordinary and $51.54 Sunday; Grade 6 $39.11 and $54.76. Coverage and classifications require confirmation against actual duties.</w:t>
      </w:r>
    </w:p>
    <w:p>
      <w:pPr>
        <w:pStyle w:val="SourceNote"/>
        <w:keepNext/>
      </w:pPr>
      <w:r>
        <w:t>Recorded observation date: 2026-10-29</w:t>
      </w:r>
    </w:p>
    <w:p>
      <w:pPr>
        <w:pStyle w:val="SourceNote"/>
      </w:pPr>
      <w:r>
        <w:t>page rechecked: Official award rechecked, including example adult casual Grade 4 and Grade 6 rates.</w:t>
      </w:r>
    </w:p>
    <w:p>
      <w:pPr>
        <w:pStyle w:val="SourceNote"/>
      </w:pPr>
      <w:r>
        <w:t>Supplier quotation date: none recorded.</w:t>
      </w:r>
    </w:p>
    <w:p>
      <w:pPr>
        <w:pStyle w:val="SourceNote"/>
      </w:pPr>
      <w:hyperlink r:id="rId97">
        <w:r>
          <w:rPr>
            <w:color w:val="275E67"/>
            <w:u w:val="single"/>
          </w:rPr>
          <w:t xml:space="preserve">https://awards.fairwork.gov.au/MA000080.html</w:t>
        </w:r>
      </w:hyperlink>
    </w:p>
    <w:p>
      <w:bookmarkStart w:id="128" w:name="source_R102"/>
      <w:pPr>
        <w:pStyle w:val="SourceTitle"/>
      </w:pPr>
      <w:r>
        <w:t>R102  ATO, calculating super guarantee</w:t>
      </w:r>
      <w:bookmarkEnd w:id="128"/>
    </w:p>
    <w:p>
      <w:pPr>
        <w:pStyle w:val="RegisterText"/>
      </w:pPr>
      <w:r>
        <w:t>Current super guarantee percentage 12%; apply to eligible earnings. This is separate from insurance, payroll tax and other employment costs.</w:t>
      </w:r>
    </w:p>
    <w:p>
      <w:pPr>
        <w:pStyle w:val="SourceNote"/>
        <w:keepNext/>
      </w:pPr>
      <w:r>
        <w:t>Recorded observation date: 2026-10-29</w:t>
      </w:r>
    </w:p>
    <w:p>
      <w:pPr>
        <w:pStyle w:val="SourceNote"/>
      </w:pPr>
      <w:r>
        <w:t>partial verification: Earlier teaching page did not expose the rate in retrieved text. Official ATO material corroborates 12%; see the added official Payday Super source.</w:t>
      </w:r>
    </w:p>
    <w:p>
      <w:pPr>
        <w:pStyle w:val="SourceNote"/>
      </w:pPr>
      <w:r>
        <w:t>Supplier quotation date: none recorded.</w:t>
      </w:r>
    </w:p>
    <w:p>
      <w:pPr>
        <w:pStyle w:val="SourceNote"/>
      </w:pPr>
      <w:hyperlink r:id="rId98">
        <w:r>
          <w:rPr>
            <w:color w:val="275E67"/>
            <w:u w:val="single"/>
          </w:rPr>
          <w:t xml:space="preserve">https://smallbusiness.taxsuperandyou.gov.au/super-guarantee-employer-obligations/how-to-calculate-super-guarantee</w:t>
        </w:r>
      </w:hyperlink>
    </w:p>
    <w:p>
      <w:bookmarkStart w:id="129" w:name="source_R103"/>
      <w:pPr>
        <w:pStyle w:val="SourceTitle"/>
      </w:pPr>
      <w:r>
        <w:t>R103  Stripe Australia, current pricing</w:t>
      </w:r>
      <w:bookmarkEnd w:id="129"/>
    </w:p>
    <w:p>
      <w:pPr>
        <w:pStyle w:val="RegisterText"/>
      </w:pPr>
      <w:r>
        <w:t>Domestic online card fees listed on 29 October 2026 are 1.65% plus A$0.30, including GST. International cards are 3.5% plus A$0.30.</w:t>
      </w:r>
    </w:p>
    <w:p>
      <w:pPr>
        <w:pStyle w:val="SourceNote"/>
        <w:keepNext/>
      </w:pPr>
      <w:r>
        <w:t>Recorded observation date: 2026-10-29</w:t>
      </w:r>
    </w:p>
    <w:p>
      <w:pPr>
        <w:pStyle w:val="SourceNote"/>
      </w:pPr>
      <w:r>
        <w:t>page rechecked: Provider page confirms domestic online cards at 1.65% plus 0.30 AUD and fees including GST.</w:t>
      </w:r>
    </w:p>
    <w:p>
      <w:pPr>
        <w:pStyle w:val="SourceNote"/>
      </w:pPr>
      <w:r>
        <w:t>Supplier quotation date: none recorded.</w:t>
      </w:r>
    </w:p>
    <w:p>
      <w:pPr>
        <w:pStyle w:val="SourceNote"/>
      </w:pPr>
      <w:hyperlink r:id="rId99">
        <w:r>
          <w:rPr>
            <w:color w:val="275E67"/>
            <w:u w:val="single"/>
          </w:rPr>
          <w:t xml:space="preserve">https://stripe.com/au/pricing</w:t>
        </w:r>
      </w:hyperlink>
    </w:p>
    <w:p>
      <w:bookmarkStart w:id="130" w:name="source_R104"/>
      <w:pPr>
        <w:pStyle w:val="SourceTitle"/>
      </w:pPr>
      <w:r>
        <w:t>R104  Dash Group, Brisbane labour hire charge rates</w:t>
      </w:r>
      <w:bookmarkEnd w:id="130"/>
    </w:p>
    <w:p>
      <w:pPr>
        <w:pStyle w:val="RegisterText"/>
      </w:pPr>
      <w:r>
        <w:t>Provider indicative charge rates excluding GST: general labour $55–60 per hour; carpenter $75–85; shopfitting and joinery $65–85. The final project, duration and location require a quotation.</w:t>
      </w:r>
    </w:p>
    <w:p>
      <w:pPr>
        <w:pStyle w:val="SourceNote"/>
        <w:keepNext/>
      </w:pPr>
      <w:r>
        <w:t>Recorded observation date: 2026-10-29</w:t>
      </w:r>
    </w:p>
    <w:p>
      <w:pPr>
        <w:pStyle w:val="SourceNote"/>
      </w:pPr>
      <w:r>
        <w:t>partial verification: Full open failed; provider search result reproduces indicative labour/carpentry/shopfitting rates. Not a requested quote.</w:t>
      </w:r>
    </w:p>
    <w:p>
      <w:pPr>
        <w:pStyle w:val="SourceNote"/>
      </w:pPr>
      <w:r>
        <w:t>Supplier quotation date: none recorded.</w:t>
      </w:r>
    </w:p>
    <w:p>
      <w:pPr>
        <w:pStyle w:val="SourceNote"/>
      </w:pPr>
      <w:hyperlink r:id="rId100">
        <w:r>
          <w:rPr>
            <w:color w:val="275E67"/>
            <w:u w:val="single"/>
          </w:rPr>
          <w:t xml:space="preserve">https://dashgroup.net.au/labour-hire-brisbane</w:t>
        </w:r>
      </w:hyperlink>
    </w:p>
    <w:p>
      <w:bookmarkStart w:id="131" w:name="source_R105"/>
      <w:pPr>
        <w:pStyle w:val="SourceTitle"/>
      </w:pPr>
      <w:r>
        <w:t>R105  Voltora, Brisbane electrical attendance prices</w:t>
      </w:r>
      <w:bookmarkEnd w:id="131"/>
    </w:p>
    <w:p>
      <w:pPr>
        <w:pStyle w:val="RegisterText"/>
      </w:pPr>
      <w:r>
        <w:t>Business hours callout and first hour $258.50 including GST; additional hour $148.50 including GST, materials extra. These convert to $235 and $135 excluding GST.</w:t>
      </w:r>
    </w:p>
    <w:p>
      <w:pPr>
        <w:pStyle w:val="SourceNote"/>
        <w:keepNext/>
      </w:pPr>
      <w:r>
        <w:t>Recorded observation date: 2026-10-29</w:t>
      </w:r>
    </w:p>
    <w:p>
      <w:pPr>
        <w:pStyle w:val="SourceNote"/>
      </w:pPr>
      <w:r>
        <w:t>page rechecked: Provider page confirms 258.50 AUD first attendance/hour and 148.50 AUD additional hours including GST; indicative only.</w:t>
      </w:r>
    </w:p>
    <w:p>
      <w:pPr>
        <w:pStyle w:val="SourceNote"/>
      </w:pPr>
      <w:r>
        <w:t>Supplier quotation date: none recorded.</w:t>
      </w:r>
    </w:p>
    <w:p>
      <w:pPr>
        <w:pStyle w:val="SourceNote"/>
      </w:pPr>
      <w:hyperlink r:id="rId101">
        <w:r>
          <w:rPr>
            <w:color w:val="275E67"/>
            <w:u w:val="single"/>
          </w:rPr>
          <w:t xml:space="preserve">https://www.voltoraindustries.com.au/</w:t>
        </w:r>
      </w:hyperlink>
    </w:p>
    <w:p>
      <w:bookmarkStart w:id="132" w:name="source_R106"/>
      <w:pPr>
        <w:pStyle w:val="SourceTitle"/>
      </w:pPr>
      <w:r>
        <w:t>R106  Store DJ, Rode Wireless PRO dual kit</w:t>
      </w:r>
      <w:bookmarkEnd w:id="132"/>
    </w:p>
    <w:p>
      <w:pPr>
        <w:pStyle w:val="RegisterText"/>
      </w:pPr>
      <w:r>
        <w:t>Listed $385; online stock available, Brisbane branch zero in page snapshot. Shipping offer subject to conditions. Promotional price dated 29 October.</w:t>
      </w:r>
    </w:p>
    <w:p>
      <w:pPr>
        <w:pStyle w:val="SourceNote"/>
        <w:keepNext/>
      </w:pPr>
      <w:r>
        <w:t>Recorded observation date: 2026-10-29</w:t>
      </w:r>
    </w:p>
    <w:p>
      <w:pPr>
        <w:pStyle w:val="SourceNote"/>
      </w:pPr>
      <w:r>
        <w:t>page rechecked: Retail page rechecked for 385 AUD promotional price. Availability and offer expiry remain order-specific.</w:t>
      </w:r>
    </w:p>
    <w:p>
      <w:pPr>
        <w:pStyle w:val="SourceNote"/>
      </w:pPr>
      <w:r>
        <w:t>Supplier quotation date: none recorded.</w:t>
      </w:r>
    </w:p>
    <w:p>
      <w:pPr>
        <w:pStyle w:val="SourceNote"/>
      </w:pPr>
      <w:hyperlink r:id="rId102">
        <w:r>
          <w:rPr>
            <w:color w:val="275E67"/>
            <w:u w:val="single"/>
          </w:rPr>
          <w:t xml:space="preserve">https://www.storedj.com.au/products/rode-wireless-pro-dual-compact-wireless-mic-system-w-accessories-black</w:t>
        </w:r>
      </w:hyperlink>
    </w:p>
    <w:p>
      <w:bookmarkStart w:id="133" w:name="source_R107"/>
      <w:pPr>
        <w:pStyle w:val="SourceTitle"/>
      </w:pPr>
      <w:r>
        <w:t>R107  Rode, simultaneous Wireless PRO systems</w:t>
      </w:r>
      <w:bookmarkEnd w:id="133"/>
    </w:p>
    <w:p>
      <w:pPr>
        <w:pStyle w:val="RegisterText"/>
      </w:pPr>
      <w:r>
        <w:t>Manufacturer says up to four kits, eight transmitters, in one place. Consumer-kit prototype is not multiplied into an unengineered multi-room 24-channel system.</w:t>
      </w:r>
    </w:p>
    <w:p>
      <w:pPr>
        <w:pStyle w:val="SourceNote"/>
        <w:keepNext/>
      </w:pPr>
      <w:r>
        <w:t>Recorded observation date: 2026-10-29</w:t>
      </w:r>
    </w:p>
    <w:p>
      <w:pPr>
        <w:pStyle w:val="SourceNote"/>
      </w:pPr>
      <w:r>
        <w:t>page rechecked: Manufacturer page rechecked for up to four Wireless PRO kits/eight transmitters in one location.</w:t>
      </w:r>
    </w:p>
    <w:p>
      <w:pPr>
        <w:pStyle w:val="SourceNote"/>
      </w:pPr>
      <w:r>
        <w:t>Supplier quotation date: none recorded.</w:t>
      </w:r>
    </w:p>
    <w:p>
      <w:pPr>
        <w:pStyle w:val="SourceNote"/>
      </w:pPr>
      <w:hyperlink r:id="rId103">
        <w:r>
          <w:rPr>
            <w:color w:val="275E67"/>
            <w:u w:val="single"/>
          </w:rPr>
          <w:t xml:space="preserve">https://help.rode.com/hc/en-us/articles/9220351205135-Can-I-use-multiple-Wireless-PRO-kits-at-a-single-location</w:t>
        </w:r>
      </w:hyperlink>
    </w:p>
    <w:p>
      <w:bookmarkStart w:id="134" w:name="source_R108"/>
      <w:pPr>
        <w:pStyle w:val="SourceTitle"/>
      </w:pPr>
      <w:r>
        <w:t>R108  Better Music, Zoom LiveTrak L-8</w:t>
      </w:r>
      <w:bookmarkEnd w:id="134"/>
    </w:p>
    <w:p>
      <w:pPr>
        <w:pStyle w:val="RegisterText"/>
      </w:pPr>
      <w:r>
        <w:t>Listed $715, online backorder when inspected, shipping calculated separately; six independent preamps and SD multitrack recording.</w:t>
      </w:r>
    </w:p>
    <w:p>
      <w:pPr>
        <w:pStyle w:val="SourceNote"/>
        <w:keepNext/>
      </w:pPr>
      <w:r>
        <w:t>Recorded observation date: 2026-10-29</w:t>
      </w:r>
    </w:p>
    <w:p>
      <w:pPr>
        <w:pStyle w:val="SourceNote"/>
      </w:pPr>
      <w:r>
        <w:t>page rechecked: Retail page rechecked for 715 AUD. This is a list-price observation, not a delivered quote.</w:t>
      </w:r>
    </w:p>
    <w:p>
      <w:pPr>
        <w:pStyle w:val="SourceNote"/>
      </w:pPr>
      <w:r>
        <w:t>Supplier quotation date: none recorded.</w:t>
      </w:r>
    </w:p>
    <w:p>
      <w:pPr>
        <w:pStyle w:val="SourceNote"/>
      </w:pPr>
      <w:hyperlink r:id="rId104">
        <w:r>
          <w:rPr>
            <w:color w:val="275E67"/>
            <w:u w:val="single"/>
          </w:rPr>
          <w:t xml:space="preserve">https://www.bettermusic.com.au/products/zoom-l8-livetrak</w:t>
        </w:r>
      </w:hyperlink>
    </w:p>
    <w:p>
      <w:bookmarkStart w:id="135" w:name="source_R109"/>
      <w:pPr>
        <w:pStyle w:val="SourceTitle"/>
      </w:pPr>
      <w:r>
        <w:t>R109  Store DJ, Hosa CMP-159 breakout cable</w:t>
      </w:r>
      <w:bookmarkEnd w:id="135"/>
    </w:p>
    <w:p>
      <w:pPr>
        <w:pStyle w:val="RegisterText"/>
      </w:pPr>
      <w:r>
        <w:t>Listed $22, 3.5 mm stereo TRS to dual 6.35 mm mono TS, online in stock; single item shipping $10, qualifying order shipping conditions apply.</w:t>
      </w:r>
    </w:p>
    <w:p>
      <w:pPr>
        <w:pStyle w:val="SourceNote"/>
        <w:keepNext/>
      </w:pPr>
      <w:r>
        <w:t>Recorded observation date: 2026-10-29</w:t>
      </w:r>
    </w:p>
    <w:p>
      <w:pPr>
        <w:pStyle w:val="SourceNote"/>
      </w:pPr>
      <w:r>
        <w:t>page rechecked: Retail page rechecked for 22 AUD cable price; delivery is separate.</w:t>
      </w:r>
    </w:p>
    <w:p>
      <w:pPr>
        <w:pStyle w:val="SourceNote"/>
      </w:pPr>
      <w:r>
        <w:t>Supplier quotation date: none recorded.</w:t>
      </w:r>
    </w:p>
    <w:p>
      <w:pPr>
        <w:pStyle w:val="SourceNote"/>
      </w:pPr>
      <w:hyperlink r:id="rId105">
        <w:r>
          <w:rPr>
            <w:color w:val="275E67"/>
            <w:u w:val="single"/>
          </w:rPr>
          <w:t xml:space="preserve">https://www.storedj.com.au/products/hosa-cmp-159-3-5mm-trs-to-dual-1-4-ts-stereo-breakout-cable-10ft</w:t>
        </w:r>
      </w:hyperlink>
    </w:p>
    <w:p>
      <w:bookmarkStart w:id="136" w:name="source_R110"/>
      <w:pPr>
        <w:pStyle w:val="SourceTitle"/>
      </w:pPr>
      <w:r>
        <w:t>R110  Officeworks, Matrix visitor chair</w:t>
      </w:r>
      <w:bookmarkEnd w:id="136"/>
    </w:p>
    <w:p>
      <w:pPr>
        <w:pStyle w:val="RegisterText"/>
      </w:pPr>
      <w:r>
        <w:t>Listed new price $179. Commercial seating comparison, not the same model as the used chair.</w:t>
      </w:r>
    </w:p>
    <w:p>
      <w:pPr>
        <w:pStyle w:val="SourceNote"/>
        <w:keepNext/>
      </w:pPr>
      <w:r>
        <w:t>Recorded observation date: 2026-10-29</w:t>
      </w:r>
    </w:p>
    <w:p>
      <w:pPr>
        <w:pStyle w:val="SourceNote"/>
      </w:pPr>
      <w:r>
        <w:t>page rechecked: Retail page rechecked for 179 AUD chair price.</w:t>
      </w:r>
    </w:p>
    <w:p>
      <w:pPr>
        <w:pStyle w:val="SourceNote"/>
      </w:pPr>
      <w:r>
        <w:t>Supplier quotation date: none recorded.</w:t>
      </w:r>
    </w:p>
    <w:p>
      <w:pPr>
        <w:pStyle w:val="SourceNote"/>
      </w:pPr>
      <w:hyperlink r:id="rId106">
        <w:r>
          <w:rPr>
            <w:color w:val="275E67"/>
            <w:u w:val="single"/>
          </w:rPr>
          <w:t xml:space="preserve">https://www.officeworks.com.au/shop/officeworks/p/matrix-visitor-chair-jbmatvmbk</w:t>
        </w:r>
      </w:hyperlink>
    </w:p>
    <w:p>
      <w:bookmarkStart w:id="137" w:name="source_R111"/>
      <w:pPr>
        <w:pStyle w:val="SourceTitle"/>
      </w:pPr>
      <w:r>
        <w:t>R111  Officeworks, Matrix visitor armchair</w:t>
      </w:r>
      <w:bookmarkEnd w:id="137"/>
    </w:p>
    <w:p>
      <w:pPr>
        <w:pStyle w:val="RegisterText"/>
      </w:pPr>
      <w:r>
        <w:t xml:space="preserve">New armchair listed in the associated Officeworks range at $199; product specifies 160 kg capacity and delivery surcharge. See range </w:t>
      </w:r>
      <w:hyperlink r:id="rId107">
        <w:r>
          <w:rPr>
            <w:color w:val="275E67"/>
            <w:u w:val="single"/>
          </w:rPr>
          <w:t xml:space="preserve">https://www.officeworks.com.au/shop/officeworks/c/furniture/chairs-seating/lounge-chairs</w:t>
        </w:r>
      </w:hyperlink>
      <w:r>
        <w:t>.</w:t>
      </w:r>
    </w:p>
    <w:p>
      <w:pPr>
        <w:pStyle w:val="SourceNote"/>
        <w:keepNext/>
      </w:pPr>
      <w:r>
        <w:t>Recorded observation date: 2026-10-29</w:t>
      </w:r>
    </w:p>
    <w:p>
      <w:pPr>
        <w:pStyle w:val="SourceNote"/>
      </w:pPr>
      <w:r>
        <w:t>page rechecked: Retail page rechecked for 199 AUD armchair price; specification claims retained from prior research need product confirmation.</w:t>
      </w:r>
    </w:p>
    <w:p>
      <w:pPr>
        <w:pStyle w:val="SourceNote"/>
      </w:pPr>
      <w:r>
        <w:t>Supplier quotation date: none recorded.</w:t>
      </w:r>
    </w:p>
    <w:p>
      <w:pPr>
        <w:pStyle w:val="SourceNote"/>
      </w:pPr>
      <w:hyperlink r:id="rId108">
        <w:r>
          <w:rPr>
            <w:color w:val="275E67"/>
            <w:u w:val="single"/>
          </w:rPr>
          <w:t xml:space="preserve">https://www.officeworks.com.au/shop/officeworks/p/matrix-mesh-visitor-armchair-black-jbmatvmabk</w:t>
        </w:r>
      </w:hyperlink>
    </w:p>
    <w:p>
      <w:bookmarkStart w:id="138" w:name="source_R112"/>
      <w:pPr>
        <w:pStyle w:val="SourceTitle"/>
      </w:pPr>
      <w:r>
        <w:t>R112  Danny's Desks, Chibel ex-hire chair</w:t>
      </w:r>
      <w:bookmarkEnd w:id="138"/>
    </w:p>
    <w:p>
      <w:pPr>
        <w:pStyle w:val="RegisterText"/>
      </w:pPr>
      <w:r>
        <w:t xml:space="preserve">Inherited observation, recorded 2026-10-29. Category lists $39. Product describes light scuffs, as-is clearance, no commercial/manufacturer warranty, 110 kg rating, Eagle Farm collection by appointment. Stock quantity and GST invoice to confirm. Category </w:t>
      </w:r>
      <w:hyperlink r:id="rId109">
        <w:r>
          <w:rPr>
            <w:color w:val="275E67"/>
            <w:u w:val="single"/>
          </w:rPr>
          <w:t xml:space="preserve">https://dannysdesks.com.au/product-category/clearance/clearance-visitor-chairs/</w:t>
        </w:r>
      </w:hyperlink>
      <w:r>
        <w:t>.</w:t>
      </w:r>
    </w:p>
    <w:p>
      <w:pPr>
        <w:pStyle w:val="SourceNote"/>
        <w:keepNext/>
      </w:pPr>
      <w:r>
        <w:t>Recorded observation date: 2026-10-29</w:t>
      </w:r>
    </w:p>
    <w:p>
      <w:pPr>
        <w:pStyle w:val="SourceNote"/>
      </w:pPr>
      <w:r>
        <w:t>inherited reference requires verification: Used-product page not retrievable. 39 AUD, condition, load rating and collection details remain inherited unverified claims.</w:t>
      </w:r>
    </w:p>
    <w:p>
      <w:pPr>
        <w:pStyle w:val="SourceNote"/>
      </w:pPr>
      <w:r>
        <w:t>Supplier quotation date: none recorded.</w:t>
      </w:r>
    </w:p>
    <w:p>
      <w:pPr>
        <w:pStyle w:val="SourceNote"/>
      </w:pPr>
      <w:hyperlink r:id="rId110">
        <w:r>
          <w:rPr>
            <w:color w:val="275E67"/>
            <w:u w:val="single"/>
          </w:rPr>
          <w:t xml:space="preserve">https://dannysdesks.com.au/product/chibel-office-chair-ex-hire-stock/</w:t>
        </w:r>
      </w:hyperlink>
    </w:p>
    <w:p>
      <w:bookmarkStart w:id="139" w:name="source_R113"/>
      <w:pPr>
        <w:pStyle w:val="SourceTitle"/>
      </w:pPr>
      <w:r>
        <w:t>R113  Officeworks, folding table range</w:t>
      </w:r>
      <w:bookmarkEnd w:id="139"/>
    </w:p>
    <w:p>
      <w:pPr>
        <w:pStyle w:val="RegisterText"/>
      </w:pPr>
      <w:r>
        <w:t>Rapidline folding table 1800 × 900 white listed at $292. Delivery-only fee to confirm for the site.</w:t>
      </w:r>
    </w:p>
    <w:p>
      <w:pPr>
        <w:pStyle w:val="SourceNote"/>
        <w:keepNext/>
      </w:pPr>
      <w:r>
        <w:t>Recorded observation date: 2026-10-29</w:t>
      </w:r>
    </w:p>
    <w:p>
      <w:pPr>
        <w:pStyle w:val="SourceNote"/>
      </w:pPr>
      <w:r>
        <w:t>partial verification: Range page retrieved without the 292 AUD table price. Retain as unverified inherited input.</w:t>
      </w:r>
    </w:p>
    <w:p>
      <w:pPr>
        <w:pStyle w:val="SourceNote"/>
      </w:pPr>
      <w:r>
        <w:t>Supplier quotation date: none recorded.</w:t>
      </w:r>
    </w:p>
    <w:p>
      <w:pPr>
        <w:pStyle w:val="SourceNote"/>
      </w:pPr>
      <w:hyperlink r:id="rId111">
        <w:r>
          <w:rPr>
            <w:color w:val="275E67"/>
            <w:u w:val="single"/>
          </w:rPr>
          <w:t xml:space="preserve">https://www.officeworks.com.au/shop/officeworks/c/furniture/desks-tables/folding-trestle-tables</w:t>
        </w:r>
      </w:hyperlink>
    </w:p>
    <w:p>
      <w:bookmarkStart w:id="140" w:name="source_R114"/>
      <w:pPr>
        <w:pStyle w:val="SourceTitle"/>
      </w:pPr>
      <w:r>
        <w:t>R114  Mack's Office Furniture, recorded second-hand catalogue</w:t>
      </w:r>
      <w:bookmarkEnd w:id="140"/>
    </w:p>
    <w:p>
      <w:pPr>
        <w:pStyle w:val="RegisterText"/>
      </w:pPr>
      <w:r>
        <w:t xml:space="preserve">Inherited observation, recorded 2026-10-29. Direct product pages list a used metal-frame desk, 1600 x 800 mm, at $150 including GST, listed 19 October 2026 and described as in good condition; and a used cupboard, 1600h x 900w x 430d mm, at $129 including GST, listed 23 October 2026. Both pages display availability, but required quantities and delivered cost remain unconfirmed. Central Victoria dealer. Direct product links: </w:t>
      </w:r>
      <w:hyperlink r:id="rId112">
        <w:r>
          <w:rPr>
            <w:color w:val="275E67"/>
            <w:u w:val="single"/>
          </w:rPr>
          <w:t xml:space="preserve">used metal-frame desk</w:t>
        </w:r>
      </w:hyperlink>
      <w:r>
        <w:t xml:space="preserve"> and </w:t>
      </w:r>
      <w:hyperlink r:id="rId113">
        <w:r>
          <w:rPr>
            <w:color w:val="275E67"/>
            <w:u w:val="single"/>
          </w:rPr>
          <w:t xml:space="preserve">used cupboard</w:t>
        </w:r>
      </w:hyperlink>
      <w:r>
        <w:t>.</w:t>
      </w:r>
    </w:p>
    <w:p>
      <w:pPr>
        <w:pStyle w:val="SourceNote"/>
        <w:keepNext/>
      </w:pPr>
      <w:r>
        <w:t>Recorded observation date: 2026-10-29</w:t>
      </w:r>
    </w:p>
    <w:p>
      <w:pPr>
        <w:pStyle w:val="SourceNote"/>
      </w:pPr>
      <w:r>
        <w:t>inherited reference requires verification: Used desk and cupboard pages not retrievable. 150/129 AUD, listing dates, tax basis, stock and condition remain inherited unverified claims.</w:t>
      </w:r>
    </w:p>
    <w:p>
      <w:pPr>
        <w:pStyle w:val="SourceNote"/>
      </w:pPr>
      <w:r>
        <w:t>Supplier quotation date: none recorded.</w:t>
      </w:r>
    </w:p>
    <w:p>
      <w:pPr>
        <w:pStyle w:val="SourceNote"/>
      </w:pPr>
      <w:hyperlink r:id="rId114">
        <w:r>
          <w:rPr>
            <w:color w:val="275E67"/>
            <w:u w:val="single"/>
          </w:rPr>
          <w:t xml:space="preserve">https://www.macks.com.au/collections/second-hand-furniture</w:t>
        </w:r>
      </w:hyperlink>
    </w:p>
    <w:p>
      <w:bookmarkStart w:id="141" w:name="source_R115"/>
      <w:pPr>
        <w:pStyle w:val="SourceTitle"/>
      </w:pPr>
      <w:r>
        <w:t>R115  Australian Computer Traders, refurbished desktop range</w:t>
      </w:r>
      <w:bookmarkEnd w:id="141"/>
    </w:p>
    <w:p>
      <w:pPr>
        <w:pStyle w:val="RegisterText"/>
      </w:pPr>
      <w:r>
        <w:t>Inherited observation, recorded 2026-10-29. Grade A HP EliteDesk 800 G6 Mini, i5 tenth generation, 16 GB RAM, 256 GB SSD, Windows 11 listed $399. Intended as prototype capture/control computer, not a guaranteed multi-room AI inference server.</w:t>
      </w:r>
    </w:p>
    <w:p>
      <w:pPr>
        <w:pStyle w:val="SourceNote"/>
        <w:keepNext/>
      </w:pPr>
      <w:r>
        <w:t>Recorded observation date: 2026-10-29</w:t>
      </w:r>
    </w:p>
    <w:p>
      <w:pPr>
        <w:pStyle w:val="SourceNote"/>
      </w:pPr>
      <w:r>
        <w:t>inherited reference requires verification: Supplier homepage timed out. Exact refurbished configuration and 399 AUD remain inherited unverified claims.</w:t>
      </w:r>
    </w:p>
    <w:p>
      <w:pPr>
        <w:pStyle w:val="SourceNote"/>
      </w:pPr>
      <w:r>
        <w:t>Supplier quotation date: none recorded.</w:t>
      </w:r>
    </w:p>
    <w:p>
      <w:pPr>
        <w:pStyle w:val="SourceNote"/>
      </w:pPr>
      <w:hyperlink r:id="rId115">
        <w:r>
          <w:rPr>
            <w:color w:val="275E67"/>
            <w:u w:val="single"/>
          </w:rPr>
          <w:t xml:space="preserve">https://www.australiancomputertraders.com.au/</w:t>
        </w:r>
      </w:hyperlink>
    </w:p>
    <w:p>
      <w:bookmarkStart w:id="142" w:name="source_R116"/>
      <w:pPr>
        <w:pStyle w:val="SourceTitle"/>
      </w:pPr>
      <w:r>
        <w:t>R116  Scorptec, CyberPower UPS published range</w:t>
      </w:r>
      <w:bookmarkEnd w:id="142"/>
    </w:p>
    <w:p>
      <w:pPr>
        <w:pStyle w:val="RegisterText"/>
      </w:pPr>
      <w:r>
        <w:t>CP900EPFCLCDa 900 VA/540 W UPS listed $299 and in stock. Load and runtime must be verified for the chosen equipment; this does not supply emergency building systems.</w:t>
      </w:r>
    </w:p>
    <w:p>
      <w:pPr>
        <w:pStyle w:val="SourceNote"/>
        <w:keepNext/>
      </w:pPr>
      <w:r>
        <w:t>Recorded observation date: 2026-10-29</w:t>
      </w:r>
    </w:p>
    <w:p>
      <w:pPr>
        <w:pStyle w:val="SourceNote"/>
      </w:pPr>
      <w:r>
        <w:t>partial verification: Range page retrieved; exact 299 AUD model/stock assertion not independently confirmed in this revision.</w:t>
      </w:r>
    </w:p>
    <w:p>
      <w:pPr>
        <w:pStyle w:val="SourceNote"/>
      </w:pPr>
      <w:r>
        <w:t>Supplier quotation date: none recorded.</w:t>
      </w:r>
    </w:p>
    <w:p>
      <w:pPr>
        <w:pStyle w:val="SourceNote"/>
      </w:pPr>
      <w:hyperlink r:id="rId116">
        <w:r>
          <w:rPr>
            <w:color w:val="275E67"/>
            <w:u w:val="single"/>
          </w:rPr>
          <w:t xml:space="preserve">https://www.scorptec.com.au/cyberpowerupsfreedel</w:t>
        </w:r>
      </w:hyperlink>
    </w:p>
    <w:p>
      <w:bookmarkStart w:id="143" w:name="source_R117"/>
      <w:pPr>
        <w:pStyle w:val="SourceTitle"/>
      </w:pPr>
      <w:r>
        <w:t>R117  Indestroom, Australian turnkey room catalogue</w:t>
      </w:r>
      <w:bookmarkEnd w:id="143"/>
    </w:p>
    <w:p>
      <w:pPr>
        <w:pStyle w:val="RegisterText"/>
      </w:pPr>
      <w:r>
        <w:t>Published AUD package benchmarks: Jungle $42,500; Magic School $89,900; Pharaoh $63,300; Vault32 $101,600. Standard configurations converted from EUR; request a fixed scope and terms. Freight, tax, site works and required design changes are not established by the headline.</w:t>
      </w:r>
    </w:p>
    <w:p>
      <w:pPr>
        <w:pStyle w:val="SourceNote"/>
        <w:keepNext/>
      </w:pPr>
      <w:r>
        <w:t>Recorded observation date: 2026-10-29</w:t>
      </w:r>
    </w:p>
    <w:p>
      <w:pPr>
        <w:pStyle w:val="SourceNote"/>
      </w:pPr>
      <w:r>
        <w:t>page rechecked: Supplier catalogue rechecked for 42500, 89900, 63300 and 101600 AUD package benchmarks.</w:t>
      </w:r>
    </w:p>
    <w:p>
      <w:pPr>
        <w:pStyle w:val="SourceNote"/>
      </w:pPr>
      <w:r>
        <w:t>Supplier quotation date: none recorded.</w:t>
      </w:r>
    </w:p>
    <w:p>
      <w:pPr>
        <w:pStyle w:val="SourceNote"/>
      </w:pPr>
      <w:hyperlink r:id="rId85">
        <w:r>
          <w:rPr>
            <w:color w:val="275E67"/>
            <w:u w:val="single"/>
          </w:rPr>
          <w:t xml:space="preserve">https://erworkshop.com/escape-room-supplier-australia/</w:t>
        </w:r>
      </w:hyperlink>
    </w:p>
    <w:p>
      <w:bookmarkStart w:id="144" w:name="source_R118"/>
      <w:pPr>
        <w:pStyle w:val="SourceTitle"/>
      </w:pPr>
      <w:r>
        <w:t>R118  Property Now, 338 Lytton Road listing</w:t>
      </w:r>
      <w:bookmarkEnd w:id="144"/>
    </w:p>
    <w:p>
      <w:pPr>
        <w:pStyle w:val="RegisterText"/>
      </w:pPr>
      <w:r>
        <w:t>300 m² listing $6,750 per month plus GST and outgoings, last updated 22 September 2026. A comparable asking rent, not a selected or approved 400 m² venue.</w:t>
      </w:r>
    </w:p>
    <w:p>
      <w:pPr>
        <w:pStyle w:val="SourceNote"/>
        <w:keepNext/>
      </w:pPr>
      <w:r>
        <w:t>Recorded observation date: 2026-10-29</w:t>
      </w:r>
    </w:p>
    <w:p>
      <w:pPr>
        <w:pStyle w:val="SourceNote"/>
      </w:pPr>
      <w:r>
        <w:t>page rechecked: Listing rechecked at 6750 AUD per month plus GST and outgoings, 300 m², updated 22 September 2026.</w:t>
      </w:r>
    </w:p>
    <w:p>
      <w:pPr>
        <w:pStyle w:val="SourceNote"/>
      </w:pPr>
      <w:r>
        <w:t>Supplier quotation date: none recorded.</w:t>
      </w:r>
    </w:p>
    <w:p>
      <w:pPr>
        <w:pStyle w:val="SourceNote"/>
      </w:pPr>
      <w:hyperlink r:id="rId117">
        <w:r>
          <w:rPr>
            <w:color w:val="275E67"/>
            <w:u w:val="single"/>
          </w:rPr>
          <w:t xml:space="preserve">https://www.commercialrealestate.com.au/property/338-lytton-road-morningside-qld-4170-18288980</w:t>
        </w:r>
      </w:hyperlink>
    </w:p>
    <w:p>
      <w:bookmarkStart w:id="145" w:name="source_R119"/>
      <w:pPr>
        <w:pStyle w:val="SourceTitle"/>
      </w:pPr>
      <w:r>
        <w:t>R119  Chase Commercial, 4/65 Riverside Place listing</w:t>
      </w:r>
      <w:bookmarkEnd w:id="145"/>
    </w:p>
    <w:p>
      <w:pPr>
        <w:pStyle w:val="RegisterText"/>
      </w:pPr>
      <w:r>
        <w:t>Rechecked advertised rent: 300 m² two-level premises at 78,000 AUD per year plus outgoings and GST, equivalent to 260 AUD/m²/year. Page update 11 September 2026; observed 29 October 2026. No lease or site choice.</w:t>
      </w:r>
    </w:p>
    <w:p>
      <w:pPr>
        <w:pStyle w:val="SourceNote"/>
        <w:keepNext/>
      </w:pPr>
      <w:r>
        <w:t>Recorded observation date: 2026-10-29</w:t>
      </w:r>
    </w:p>
    <w:p>
      <w:pPr>
        <w:pStyle w:val="SourceNote"/>
      </w:pPr>
      <w:r>
        <w:t>page rechecked: Correction: retrieved listing asks 78000 AUD per year plus GST and outgoings, 300 m², updated 11 September 2026. Earlier 72000 AUD value superseded.</w:t>
      </w:r>
    </w:p>
    <w:p>
      <w:pPr>
        <w:pStyle w:val="SourceNote"/>
      </w:pPr>
      <w:r>
        <w:t>Supplier quotation date: none recorded.</w:t>
      </w:r>
    </w:p>
    <w:p>
      <w:pPr>
        <w:pStyle w:val="SourceNote"/>
      </w:pPr>
      <w:hyperlink r:id="rId118">
        <w:r>
          <w:rPr>
            <w:color w:val="275E67"/>
            <w:u w:val="single"/>
          </w:rPr>
          <w:t xml:space="preserve">https://www.commercialrealestate.com.au/property/4-65-riverside-place-morningside-qld-4170-18314217</w:t>
        </w:r>
      </w:hyperlink>
    </w:p>
    <w:p>
      <w:bookmarkStart w:id="146" w:name="source_R120"/>
      <w:pPr>
        <w:pStyle w:val="SourceTitle"/>
      </w:pPr>
      <w:r>
        <w:t>R120  Alliance Electrical, Northern Rivers rates</w:t>
      </w:r>
      <w:bookmarkEnd w:id="146"/>
    </w:p>
    <w:p>
      <w:pPr>
        <w:pStyle w:val="RegisterText"/>
      </w:pPr>
      <w:r>
        <w:t>Inherited observation, recorded 2026-10-29. Northern Rivers NSW regional comparison only: first hour $190 excluding GST, later $110; effective 30 July 2026, materials and specified travel additional. Not used as a Brisbane quote.</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119">
        <w:r>
          <w:rPr>
            <w:color w:val="275E67"/>
            <w:u w:val="single"/>
          </w:rPr>
          <w:t xml:space="preserve">https://allianceelectrical.com.au/rates</w:t>
        </w:r>
      </w:hyperlink>
    </w:p>
    <w:p>
      <w:bookmarkStart w:id="147" w:name="source_R121"/>
      <w:pPr>
        <w:pStyle w:val="SourceTitle"/>
      </w:pPr>
      <w:r>
        <w:t>R121  OpenAI, current API prices</w:t>
      </w:r>
      <w:bookmarkEnd w:id="147"/>
    </w:p>
    <w:p>
      <w:pPr>
        <w:pStyle w:val="RegisterText"/>
      </w:pPr>
      <w:r>
        <w:t>Current file transcription gpt-transcribe estimated US$0.0045/minute; live transcription US$0.017/minute. Standard gpt-6.1-sol US$2/million input and US$10/million output tokens; web search US$10/1000 calls plus content tokens; file search US$2.50/1000 calls. These are current unit-price benchmarks, not model selections or subscriptions.</w:t>
      </w:r>
    </w:p>
    <w:p>
      <w:pPr>
        <w:pStyle w:val="SourceNote"/>
        <w:keepNext/>
      </w:pPr>
      <w:r>
        <w:t>Recorded observation date: 2026-10-29</w:t>
      </w:r>
    </w:p>
    <w:p>
      <w:pPr>
        <w:pStyle w:val="SourceNote"/>
      </w:pPr>
      <w:r>
        <w:t>page rechecked: Official pricing and named model pages rechecked. Standard short-context gpt-6.1-sol input/output examples are 2/10 USD per million; transcription examples 0.0045/0.017 USD per minute.</w:t>
      </w:r>
    </w:p>
    <w:p>
      <w:pPr>
        <w:pStyle w:val="SourceNote"/>
      </w:pPr>
      <w:r>
        <w:t>Supplier quotation date: none recorded.</w:t>
      </w:r>
    </w:p>
    <w:p>
      <w:pPr>
        <w:pStyle w:val="SourceNote"/>
      </w:pPr>
      <w:hyperlink r:id="rId120">
        <w:r>
          <w:rPr>
            <w:color w:val="275E67"/>
            <w:u w:val="single"/>
          </w:rPr>
          <w:t xml:space="preserve">https://developers.openai.com/api/docs/pricing</w:t>
        </w:r>
      </w:hyperlink>
    </w:p>
    <w:p>
      <w:bookmarkStart w:id="148" w:name="source_R122"/>
      <w:pPr>
        <w:pStyle w:val="SourceTitle"/>
      </w:pPr>
      <w:r>
        <w:t>R122  OpenAI, current transcription workflows</w:t>
      </w:r>
      <w:bookmarkEnd w:id="148"/>
    </w:p>
    <w:p>
      <w:pPr>
        <w:pStyle w:val="RegisterText"/>
      </w:pPr>
      <w:r>
        <w:t>Recommends gpt-transcribe for recorded files and gpt-live-transcribe for live incoming audio. Older whisper/4o transcription models are deprecated; this budget uses the current file benchmark.</w:t>
      </w:r>
    </w:p>
    <w:p>
      <w:pPr>
        <w:pStyle w:val="SourceNote"/>
        <w:keepNext/>
      </w:pPr>
      <w:r>
        <w:t>Recorded observation date: 2026-10-29</w:t>
      </w:r>
    </w:p>
    <w:p>
      <w:pPr>
        <w:pStyle w:val="SourceNote"/>
      </w:pPr>
      <w:r>
        <w:t>page rechecked: Official transcription guide retrieved. Workflow/model names are documentation examples, not business choices.</w:t>
      </w:r>
    </w:p>
    <w:p>
      <w:pPr>
        <w:pStyle w:val="SourceNote"/>
      </w:pPr>
      <w:r>
        <w:t>Supplier quotation date: none recorded.</w:t>
      </w:r>
    </w:p>
    <w:p>
      <w:pPr>
        <w:pStyle w:val="SourceNote"/>
      </w:pPr>
      <w:hyperlink r:id="rId121">
        <w:r>
          <w:rPr>
            <w:color w:val="275E67"/>
            <w:u w:val="single"/>
          </w:rPr>
          <w:t xml:space="preserve">https://developers.openai.com/api/docs/guides/transcription</w:t>
        </w:r>
      </w:hyperlink>
    </w:p>
    <w:p>
      <w:bookmarkStart w:id="149" w:name="source_R123"/>
      <w:pPr>
        <w:pStyle w:val="SourceTitle"/>
      </w:pPr>
      <w:r>
        <w:t>R123  OpenAI, API credit currency</w:t>
      </w:r>
      <w:bookmarkEnd w:id="149"/>
    </w:p>
    <w:p>
      <w:pPr>
        <w:pStyle w:val="RegisterText"/>
      </w:pPr>
      <w:r>
        <w:t>Inherited observation, recorded 2026-10-29. API credit purchases are currently limited to USD. Translate actual invoice amounts using the actual AUD conversion and separately record taxes and payment charges.</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122">
        <w:r>
          <w:rPr>
            <w:color w:val="275E67"/>
            <w:u w:val="single"/>
          </w:rPr>
          <w:t xml:space="preserve">https://help.openai.com/en/articles/10421635-multicurrency-billing</w:t>
        </w:r>
      </w:hyperlink>
    </w:p>
    <w:p>
      <w:bookmarkStart w:id="150" w:name="source_R124"/>
      <w:pPr>
        <w:pStyle w:val="SourceTitle"/>
      </w:pPr>
      <w:r>
        <w:t>R124  Deepgram, processed multichannel duration pricing rule</w:t>
      </w:r>
      <w:bookmarkEnd w:id="150"/>
    </w:p>
    <w:p>
      <w:pPr>
        <w:pStyle w:val="RegisterText"/>
      </w:pPr>
      <w:r>
        <w:t>Inherited observation, recorded 2026-10-29. The official pricing page says multichannel processing is billed by total processed duration across channels. This supports the conservative separate-channel volume method; the selected unit-price example is a separate OpenAI file transcription benchmark.</w:t>
      </w:r>
    </w:p>
    <w:p>
      <w:pPr>
        <w:pStyle w:val="SourceNote"/>
        <w:keepNext/>
      </w:pPr>
      <w:r>
        <w:t>Recorded observation date: 2026-10-29</w:t>
      </w:r>
    </w:p>
    <w:p>
      <w:pPr>
        <w:pStyle w:val="SourceNote"/>
      </w:pPr>
      <w:r>
        <w:t>inherited reference requires verification: Source retained from the previous edition; not independently rechecked in this revision. Treat specific factual or price claims as inherited observations.</w:t>
      </w:r>
    </w:p>
    <w:p>
      <w:pPr>
        <w:pStyle w:val="SourceNote"/>
      </w:pPr>
      <w:r>
        <w:t>Supplier quotation date: none recorded.</w:t>
      </w:r>
    </w:p>
    <w:p>
      <w:pPr>
        <w:pStyle w:val="SourceNote"/>
      </w:pPr>
      <w:hyperlink r:id="rId123">
        <w:r>
          <w:rPr>
            <w:color w:val="275E67"/>
            <w:u w:val="single"/>
          </w:rPr>
          <w:t xml:space="preserve">https://deepgram.com/pricing</w:t>
        </w:r>
      </w:hyperlink>
    </w:p>
    <w:p>
      <w:bookmarkStart w:id="151" w:name="source_R125"/>
      <w:pPr>
        <w:pStyle w:val="SourceTitle"/>
      </w:pPr>
      <w:r>
        <w:t>R125  ATO Payday Super</w:t>
      </w:r>
      <w:bookmarkEnd w:id="151"/>
    </w:p>
    <w:p>
      <w:pPr>
        <w:pStyle w:val="RegisterText"/>
      </w:pPr>
      <w:r>
        <w:t>The official ATO page states that from 1 July 2026 super guarantee is calculated at 12% of qualifying earnings and paid on payday. The actual payroll treatment requires the relevant current rules.</w:t>
      </w:r>
    </w:p>
    <w:p>
      <w:pPr>
        <w:pStyle w:val="SourceNote"/>
        <w:keepNext/>
      </w:pPr>
      <w:r>
        <w:t>Recorded observation date: 2026-10-29</w:t>
      </w:r>
    </w:p>
    <w:p>
      <w:pPr>
        <w:pStyle w:val="SourceNote"/>
      </w:pPr>
      <w:r>
        <w:t>page rechecked: Official ATO source retrieved for the 12% rate and payment timing from 1 July 2026.</w:t>
      </w:r>
    </w:p>
    <w:p>
      <w:pPr>
        <w:pStyle w:val="SourceNote"/>
      </w:pPr>
      <w:r>
        <w:t>Supplier quotation date: none recorded.</w:t>
      </w:r>
    </w:p>
    <w:p>
      <w:pPr>
        <w:pStyle w:val="SourceNote"/>
      </w:pPr>
      <w:hyperlink r:id="rId124">
        <w:r>
          <w:rPr>
            <w:color w:val="275E67"/>
            <w:u w:val="single"/>
          </w:rPr>
          <w:t xml:space="preserve">https://softwaredevelopers.ato.gov.au/PaydaySuper</w:t>
        </w:r>
      </w:hyperlink>
    </w:p>
    <w:p>
      <w:bookmarkStart w:id="152" w:name="rights"/>
      <w:pPr>
        <w:pStyle w:val="Heading1"/>
        <w:spacing w:before="360"/>
      </w:pPr>
      <w:r>
        <w:t>Rights and provenance</w:t>
      </w:r>
      <w:bookmarkEnd w:id="152"/>
    </w:p>
    <w:p>
      <w:pPr/>
      <w:r>
        <w:t>Original business direction and manuscript: Luke Nathan Hayes / Strange But True / Aura of Intelligence.</w:t>
      </w:r>
    </w:p>
    <w:p>
      <w:pPr/>
      <w:r>
        <w:t>The Strange But True Public Source Licence is copied from Installing the Missing Middle, changing only the project identifier to escape-room-team-building. The substantive terms are unchanged. No Creative Commons or blanket open-source licence has been substituted.</w:t>
      </w:r>
    </w:p>
    <w:p>
      <w:pPr/>
      <w:r>
        <w:t>The presentation follows the established Installing the Missing Middle styling and navigation. Original source documents are preserved byte-for-byte, with their own dates, wording and rights. The source register identifies the material available in the reference archive and how it informs this plan.</w:t>
      </w:r>
    </w:p>
    <w:p>
      <w:pPr/>
      <w:r>
        <w:t>New page heroes are generated concept artwork commissioned for this business plan. Their prompts, local asset paths and generation provenance are retained in content/artwork.json. They illustrate the proposed experience, places and work, and do not establish a completed venue or institutional endorsement.</w:t>
      </w:r>
    </w:p>
    <w:p>
      <w:pPr/>
      <w:r>
        <w:t>Third-party libraries, source documents, services and externally linked material retain their own rights. No font files are bundled.</w:t>
      </w:r>
    </w:p>
    <w:p>
      <w:bookmarkStart w:id="153" w:name="licence"/>
      <w:pPr>
        <w:pStyle w:val="Heading1"/>
        <w:spacing w:before="360"/>
      </w:pPr>
      <w:r>
        <w:t>Strange But True Public Source Licence</w:t>
      </w:r>
      <w:bookmarkEnd w:id="153"/>
    </w:p>
    <w:p>
      <w:pPr>
        <w:spacing w:after="100"/>
      </w:pPr>
      <w:r>
        <w:t>Copyright (c) 2026 Luke Nathan Hayes / Strange But True / Aura of Intelligence. All rights reserved except as allowed below.</w:t>
      </w:r>
    </w:p>
    <w:p>
      <w:pPr>
        <w:spacing w:after="100"/>
      </w:pPr>
      <w:r>
        <w:t>This is a plain-language licence for escape-room-team-building.</w:t>
      </w:r>
    </w:p>
    <w:p>
      <w:pPr>
        <w:spacing w:after="100"/>
      </w:pPr>
      <w:r>
        <w:t>This is not an open-source licence. It is a public source licence: people can read, learn from and use the work personally, but commercial and corporate rights stay with Luke Nathan Hayes.</w:t>
      </w:r>
    </w:p>
    <w:p>
      <w:pPr>
        <w:pStyle w:val="Heading2"/>
        <w:spacing w:before="240"/>
      </w:pPr>
      <w:r>
        <w:t>1. What You Can Do</w:t>
      </w:r>
    </w:p>
    <w:p>
      <w:pPr>
        <w:spacing w:after="100"/>
      </w:pPr>
      <w:r>
        <w:t>You may view, share, clone, study, reference and adapt this repo for personal, educational, artistic, research, community or other non-commercial use.</w:t>
      </w:r>
    </w:p>
    <w:p>
      <w:pPr>
        <w:spacing w:after="100"/>
      </w:pPr>
      <w:r>
        <w:t>You may use a personal AI assistant to help read, explain or adapt the repo for those allowed non-commercial uses.</w:t>
      </w:r>
    </w:p>
    <w:p>
      <w:pPr>
        <w:spacing w:after="100"/>
      </w:pPr>
      <w:r>
        <w:t>If you use or adapt the work, give clear credit:</w:t>
      </w:r>
    </w:p>
    <w:p>
      <w:pPr>
        <w:spacing w:after="100"/>
      </w:pPr>
      <w:r>
        <w:t xml:space="preserve">Based on escape-room-team-building by Luke Nathan Hayes / Strange But True / Aura of Intelligence. Original project: </w:t>
      </w:r>
      <w:hyperlink r:id="rId125">
        <w:r>
          <w:rPr>
            <w:color w:val="275E67"/>
            <w:u w:val="single"/>
          </w:rPr>
          <w:t xml:space="preserve">https://github.com/auraofintelligence/escape-room-team-building</w:t>
        </w:r>
      </w:hyperlink>
      <w:r/>
      <w:r>
        <w:t xml:space="preserve"> Used under the Strange But True Public Source Licence.</w:t>
      </w:r>
    </w:p>
    <w:p>
      <w:pPr>
        <w:pStyle w:val="Heading2"/>
        <w:spacing w:before="240"/>
      </w:pPr>
      <w:r>
        <w:t>2. What You Cannot Do Without Permission</w:t>
      </w:r>
    </w:p>
    <w:p>
      <w:pPr>
        <w:spacing w:after="100"/>
      </w:pPr>
      <w:r>
        <w:t>You may not use this repo, its code, ideas, text, designs, workflows, data structures, assets, names or close derivatives for commercial, corporate, institutional, government, startup, agency, client or employer purposes without written permission from Luke Nathan Hayes.</w:t>
      </w:r>
    </w:p>
    <w:p>
      <w:pPr>
        <w:spacing w:after="100"/>
      </w:pPr>
      <w:r>
        <w:t>That means you may not:</w:t>
      </w:r>
    </w:p>
    <w:p>
      <w:pPr>
        <w:pStyle w:val="ListBullet"/>
        <w:spacing w:after="100"/>
      </w:pPr>
      <w:r>
        <w:t>sell, monetise, repackage, licence, sponsor, advertise with or commercially distribute the work;</w:t>
      </w:r>
    </w:p>
    <w:p>
      <w:pPr>
        <w:pStyle w:val="ListBullet"/>
        <w:spacing w:after="100"/>
      </w:pPr>
      <w:r>
        <w:t>use it in paid products, SaaS tools, client work, consulting, courses, workshops, dashboards, templates or commercial infrastructure;</w:t>
      </w:r>
    </w:p>
    <w:p>
      <w:pPr>
        <w:pStyle w:val="ListBullet"/>
        <w:spacing w:after="100"/>
      </w:pPr>
      <w:r>
        <w:t>use it inside a company, agency, startup, institution, government body or funded commercial project;</w:t>
      </w:r>
    </w:p>
    <w:p>
      <w:pPr>
        <w:pStyle w:val="ListBullet"/>
        <w:spacing w:after="100"/>
      </w:pPr>
      <w:r>
        <w:t>use it for commercial AI training, datasets, embeddings, knowledge bases, agents, model products or evaluation systems;</w:t>
      </w:r>
    </w:p>
    <w:p>
      <w:pPr>
        <w:pStyle w:val="ListBullet"/>
        <w:spacing w:after="100"/>
      </w:pPr>
      <w:r>
        <w:t>remove attribution or present the work as your own;</w:t>
      </w:r>
    </w:p>
    <w:p>
      <w:pPr>
        <w:pStyle w:val="ListBullet"/>
        <w:spacing w:after="100"/>
      </w:pPr>
      <w:r>
        <w:t>use Strange But True, Aura of Intelligence, Luke Nathan Hayes, project names, screenshots, music, writing, images or brand material to imply endorsement, partnership or approval.</w:t>
      </w:r>
    </w:p>
    <w:p>
      <w:pPr>
        <w:pStyle w:val="Heading2"/>
        <w:spacing w:before="240"/>
      </w:pPr>
      <w:r>
        <w:t>3. Commercial Rights</w:t>
      </w:r>
    </w:p>
    <w:p>
      <w:pPr>
        <w:spacing w:after="100"/>
      </w:pPr>
      <w:r>
        <w:t>All commercial rights are reserved to Luke Nathan Hayes.</w:t>
      </w:r>
    </w:p>
    <w:p>
      <w:pPr>
        <w:spacing w:after="100"/>
      </w:pPr>
      <w:r>
        <w:t>Commercial use requires written permission from Luke Nathan Hayes. Permission can be granted, denied, limited, priced or handled under a separate agreement.</w:t>
      </w:r>
    </w:p>
    <w:p>
      <w:pPr>
        <w:pStyle w:val="Heading2"/>
        <w:spacing w:before="240"/>
      </w:pPr>
      <w:r>
        <w:t>4. Your Own Outputs</w:t>
      </w:r>
    </w:p>
    <w:p>
      <w:pPr>
        <w:spacing w:after="100"/>
      </w:pPr>
      <w:r>
        <w:t>If this repo lets you create your own notes, Markdown files, exports, maps, profiles, plans or other personal outputs, those outputs belong to you.</w:t>
      </w:r>
    </w:p>
    <w:p>
      <w:pPr>
        <w:spacing w:after="100"/>
      </w:pPr>
      <w:r>
        <w:t>You are responsible for what you put into the tool, what you export, and where you share it.</w:t>
      </w:r>
    </w:p>
    <w:p>
      <w:pPr>
        <w:pStyle w:val="Heading2"/>
        <w:spacing w:before="240"/>
      </w:pPr>
      <w:r>
        <w:t>5. Third-Party Material</w:t>
      </w:r>
    </w:p>
    <w:p>
      <w:pPr>
        <w:spacing w:after="100"/>
      </w:pPr>
      <w:r>
        <w:t>This licence only covers original material created by Luke Nathan Hayes / Strange But True / Aura of Intelligence.</w:t>
      </w:r>
    </w:p>
    <w:p>
      <w:pPr>
        <w:spacing w:after="100"/>
      </w:pPr>
      <w:r>
        <w:t>Third-party libraries, fonts, APIs, platforms, services or embedded material keep their own licences.</w:t>
      </w:r>
    </w:p>
    <w:p>
      <w:pPr>
        <w:pStyle w:val="Heading2"/>
        <w:spacing w:before="240"/>
      </w:pPr>
      <w:r>
        <w:t>6. No Harmful Or Misleading Use</w:t>
      </w:r>
    </w:p>
    <w:p>
      <w:pPr>
        <w:spacing w:after="100"/>
      </w:pPr>
      <w:r>
        <w:t>You may not use this repo or its material for deceptive, exploitative, aggressive, hateful, harassing, unsafe or harmful purposes.</w:t>
      </w:r>
    </w:p>
    <w:p>
      <w:pPr>
        <w:spacing w:after="100"/>
      </w:pPr>
      <w:r>
        <w:t>You may not use it to mislead people about privacy, security, law, finance, health, public safety, governance, crypto, AI capability or current events.</w:t>
      </w:r>
    </w:p>
    <w:p>
      <w:pPr>
        <w:pStyle w:val="Heading2"/>
        <w:spacing w:before="240"/>
      </w:pPr>
      <w:r>
        <w:t>7. No Warranty</w:t>
      </w:r>
    </w:p>
    <w:p>
      <w:pPr>
        <w:spacing w:after="100"/>
      </w:pPr>
      <w:r>
        <w:t>This repo is provided as-is.</w:t>
      </w:r>
    </w:p>
    <w:p>
      <w:pPr>
        <w:spacing w:after="100"/>
      </w:pPr>
      <w:r>
        <w:t>Luke Nathan Hayes / Strange But True / Aura of Intelligence make no warranties and accept no liability for how you use, adapt, interpret, deploy or rely on this material.</w:t>
      </w:r>
    </w:p>
    <w:p>
      <w:pPr>
        <w:spacing w:after="100"/>
      </w:pPr>
      <w:r>
        <w:t>Public prototypes are not finished legal, medical, financial, privacy, security, public-safety, governance, crypto, AI-governance or production infrastructure unless Luke Nathan Hayes explicitly says so in writing.</w:t>
      </w:r>
    </w:p>
    <w:sectPr w:rsidR="00FC693F" w:rsidRPr="0006063C" w:rsidSect="00034616">
      <w:footerReference w:type="default" r:id="rId9"/>
      <w:pgSz w:w="12240" w:h="15840"/>
      <w:pgMar w:top="936" w:right="1044" w:bottom="936" w:left="1044"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data"/>
      <w:tabs>
        <w:tab w:pos="10152" w:val="right"/>
      </w:tabs>
      <w:spacing w:after="0"/>
    </w:pPr>
    <w:r>
      <w:t>Escape Room Team Building  |  Luke Nathan Hayes</w:t>
      <w:tab/>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eastAsia="Arial" w:cs="Arial"/>
      <w:b w:val="0"/>
      <w:color w:val="000000"/>
      <w:sz w:val="22"/>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4" w:lineRule="auto"/>
      <w:outlineLvl w:val="0"/>
    </w:pPr>
    <w:rPr>
      <w:rFonts w:asciiTheme="majorHAnsi" w:eastAsiaTheme="majorEastAsia" w:hAnsiTheme="majorHAnsi" w:cstheme="majorBidi" w:ascii="Arial" w:hAnsi="Arial" w:eastAsia="Arial" w:cs="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20" w:after="140" w:line="254" w:lineRule="auto"/>
      <w:outlineLvl w:val="1"/>
    </w:pPr>
    <w:rPr>
      <w:rFonts w:asciiTheme="majorHAnsi" w:eastAsiaTheme="majorEastAsia" w:hAnsiTheme="majorHAnsi" w:cstheme="majorBidi" w:ascii="Arial" w:hAnsi="Arial" w:eastAsia="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54" w:lineRule="auto"/>
      <w:outlineLvl w:val="2"/>
    </w:pPr>
    <w:rPr>
      <w:rFonts w:asciiTheme="majorHAnsi" w:eastAsiaTheme="majorEastAsia" w:hAnsiTheme="majorHAnsi" w:cstheme="majorBidi"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54" w:lineRule="auto" w:before="0"/>
      <w:contextualSpacing/>
    </w:pPr>
    <w:rPr>
      <w:rFonts w:asciiTheme="majorHAnsi" w:eastAsiaTheme="majorEastAsia" w:hAnsiTheme="majorHAnsi" w:cstheme="majorBidi" w:ascii="Arial" w:hAnsi="Arial" w:eastAsia="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00" w:line="254" w:lineRule="auto"/>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4" w:lineRule="auto" w:after="100"/>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4" w:lineRule="auto" w:after="100"/>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line="264" w:lineRule="auto" w:after="120"/>
    </w:pPr>
    <w:rPr>
      <w:rFonts w:ascii="Arial" w:hAnsi="Arial" w:eastAsia="Arial" w:cs="Arial"/>
      <w:b w:val="0"/>
      <w:color w:val="000000"/>
      <w:sz w:val="26"/>
    </w:rPr>
  </w:style>
  <w:style w:type="paragraph" w:customStyle="1" w:styleId="Metadata">
    <w:name w:val="Metadata"/>
    <w:basedOn w:val="Normal"/>
    <w:pPr>
      <w:spacing w:line="264" w:lineRule="auto" w:after="120"/>
    </w:pPr>
    <w:rPr>
      <w:rFonts w:ascii="Arial" w:hAnsi="Arial" w:eastAsia="Arial" w:cs="Arial"/>
      <w:b w:val="0"/>
      <w:color w:val="526568"/>
      <w:sz w:val="19"/>
    </w:rPr>
  </w:style>
  <w:style w:type="paragraph" w:customStyle="1" w:styleId="SourceNote">
    <w:name w:val="SourceNote"/>
    <w:basedOn w:val="Normal"/>
    <w:pPr>
      <w:spacing w:line="264" w:lineRule="auto" w:after="120"/>
    </w:pPr>
    <w:rPr>
      <w:rFonts w:ascii="Arial" w:hAnsi="Arial" w:eastAsia="Arial" w:cs="Arial"/>
      <w:b w:val="0"/>
      <w:color w:val="526568"/>
      <w:sz w:val="18"/>
    </w:rPr>
  </w:style>
  <w:style w:type="paragraph" w:customStyle="1" w:styleId="TableText">
    <w:name w:val="TableText"/>
    <w:basedOn w:val="Normal"/>
    <w:pPr>
      <w:spacing w:line="254" w:lineRule="auto" w:after="0"/>
    </w:pPr>
    <w:rPr>
      <w:rFonts w:ascii="Arial" w:hAnsi="Arial" w:eastAsia="Arial" w:cs="Arial"/>
      <w:b w:val="0"/>
      <w:color w:val="000000"/>
      <w:sz w:val="20"/>
    </w:rPr>
  </w:style>
  <w:style w:type="paragraph" w:customStyle="1" w:styleId="TableHead">
    <w:name w:val="TableHead"/>
    <w:basedOn w:val="Normal"/>
    <w:pPr>
      <w:keepNext/>
      <w:spacing w:line="254" w:lineRule="auto" w:after="0"/>
    </w:pPr>
    <w:rPr>
      <w:rFonts w:ascii="Arial" w:hAnsi="Arial" w:eastAsia="Arial" w:cs="Arial"/>
      <w:b/>
      <w:color w:val="FFFFFF"/>
      <w:sz w:val="20"/>
    </w:rPr>
  </w:style>
  <w:style w:type="paragraph" w:customStyle="1" w:styleId="Contents">
    <w:name w:val="Contents"/>
    <w:basedOn w:val="Normal"/>
    <w:pPr>
      <w:tabs>
        <w:tab w:pos="10152" w:val="right" w:leader="dot"/>
      </w:tabs>
      <w:spacing w:line="264" w:lineRule="auto" w:after="220"/>
    </w:pPr>
    <w:rPr>
      <w:rFonts w:ascii="Arial" w:hAnsi="Arial" w:eastAsia="Arial" w:cs="Arial"/>
      <w:b w:val="0"/>
      <w:color w:val="000000"/>
      <w:sz w:val="22"/>
    </w:rPr>
  </w:style>
  <w:style w:type="paragraph" w:customStyle="1" w:styleId="SourceTitle">
    <w:name w:val="SourceTitle"/>
    <w:basedOn w:val="Normal"/>
    <w:pPr>
      <w:keepNext/>
      <w:spacing w:line="264" w:lineRule="auto" w:after="120" w:before="200"/>
    </w:pPr>
    <w:rPr>
      <w:rFonts w:ascii="Arial" w:hAnsi="Arial" w:eastAsia="Arial" w:cs="Arial"/>
      <w:b/>
      <w:color w:val="000000"/>
      <w:sz w:val="22"/>
    </w:rPr>
  </w:style>
  <w:style w:type="paragraph" w:customStyle="1" w:styleId="RegisterText">
    <w:name w:val="RegisterText"/>
    <w:basedOn w:val="Normal"/>
    <w:pPr>
      <w:spacing w:line="264" w:lineRule="auto" w:after="120"/>
    </w:pPr>
    <w:rPr>
      <w:rFonts w:ascii="Arial" w:hAnsi="Arial" w:eastAsia="Arial" w:cs="Arial"/>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uraofintelligence.github.io/aura-genesis-geode-atlas/" TargetMode="External"/><Relationship Id="rId11" Type="http://schemas.openxmlformats.org/officeDocument/2006/relationships/hyperlink" Target="https://github.com/auraofintelligence/p4a-xyz-cinema" TargetMode="External"/><Relationship Id="rId12" Type="http://schemas.openxmlformats.org/officeDocument/2006/relationships/image" Target="media/image1.png"/><Relationship Id="rId13" Type="http://schemas.openxmlformats.org/officeDocument/2006/relationships/hyperlink" Target="https://auraofintelligence.github.io/escape-room-team-building/" TargetMode="External"/><Relationship Id="rId14" Type="http://schemas.openxmlformats.org/officeDocument/2006/relationships/hyperlink" Target="https://auraofintelligence.github.io/escape-room-team-building/sources.html" TargetMode="External"/><Relationship Id="rId15" Type="http://schemas.openxmlformats.org/officeDocument/2006/relationships/hyperlink" Target="https://auraofintelligence.github.io/escape-room-team-building/content/sources.json" TargetMode="External"/><Relationship Id="rId16" Type="http://schemas.openxmlformats.org/officeDocument/2006/relationships/hyperlink" Target="https://auraofintelligence.github.io/escape-room-team-building/content/embedded-links.json" TargetMode="External"/><Relationship Id="rId17" Type="http://schemas.openxmlformats.org/officeDocument/2006/relationships/hyperlink" Target="https://auraofintelligence.github.io/escape-room-team-building/documents/originals/A%20Fair%20Go%20for%20the%20AI%20Age_%20Postcode-Level%20Sovereign%20Compute%20as%20Shared%20National%20Infrastructure%2820261029-080505%29.docx" TargetMode="External"/><Relationship Id="rId18" Type="http://schemas.openxmlformats.org/officeDocument/2006/relationships/hyperlink" Target="https://auraofintelligence.github.io/escape-room-team-building/documents/readers/D01.html" TargetMode="External"/><Relationship Id="rId19" Type="http://schemas.openxmlformats.org/officeDocument/2006/relationships/hyperlink" Target="https://raw.githubusercontent.com/auraofintelligence/Redlands_discovers_Luke_Hayes/2a8990819b78fda139f9948068f9bdfdd9fa58d9/references/files/hayes-fair-go-ai-age-postcode-sovereign-compute-2026-08-18.docx" TargetMode="External"/><Relationship Id="rId20" Type="http://schemas.openxmlformats.org/officeDocument/2006/relationships/hyperlink" Target="https://auraofintelligence.github.io/escape-room-team-building/documents/originals/AUKUS_Public_Inquiry_Submission_Luke_Nathan_Hayes_2026%2820261029-080505%29.docx" TargetMode="External"/><Relationship Id="rId21" Type="http://schemas.openxmlformats.org/officeDocument/2006/relationships/hyperlink" Target="https://auraofintelligence.github.io/escape-room-team-building/documents/readers/D02.html" TargetMode="External"/><Relationship Id="rId22" Type="http://schemas.openxmlformats.org/officeDocument/2006/relationships/hyperlink" Target="https://raw.githubusercontent.com/auraofintelligence/UNGA81-Luke-Hayes/12afc71ba7375a2096ab4c307934198568e58bed/documents/AUKUS_Public_Inquiry_Submission_Luke_Nathan_Hayes_2026.docx" TargetMode="External"/><Relationship Id="rId23" Type="http://schemas.openxmlformats.org/officeDocument/2006/relationships/hyperlink" Target="https://auraofintelligence.github.io/escape-room-team-building/documents/originals/Aura_Genesis_Children_and_Teens_Australian_Care%282%29.docx" TargetMode="External"/><Relationship Id="rId24" Type="http://schemas.openxmlformats.org/officeDocument/2006/relationships/hyperlink" Target="https://auraofintelligence.github.io/escape-room-team-building/documents/readers/D03.html" TargetMode="External"/><Relationship Id="rId25" Type="http://schemas.openxmlformats.org/officeDocument/2006/relationships/hyperlink" Target="https://raw.githubusercontent.com/auraofintelligence/aura-child-services/4d879d2eb14c46fd7ea4292760ac9e9fc5ada96f/documents/Aura_Genesis_Children_and_Teens_Australian_Care.docx" TargetMode="External"/><Relationship Id="rId26" Type="http://schemas.openxmlformats.org/officeDocument/2006/relationships/hyperlink" Target="https://auraofintelligence.github.io/escape-room-team-building/documents/originals/Aura_Genesis_Geode_Development_Edition_3%284%29.pdf" TargetMode="External"/><Relationship Id="rId27" Type="http://schemas.openxmlformats.org/officeDocument/2006/relationships/hyperlink" Target="https://auraofintelligence.github.io/escape-room-team-building/documents/readers/D04.html" TargetMode="External"/><Relationship Id="rId28" Type="http://schemas.openxmlformats.org/officeDocument/2006/relationships/hyperlink" Target="https://raw.githubusercontent.com/auraofintelligence/open-record-luke-nathan-hayes/e4ffea29e5ba99ec4a3caa256277658bb87d3fb0/documents/supplementary/Aura_Genesis_Geode_Development_Edition_3.pdf" TargetMode="External"/><Relationship Id="rId29" Type="http://schemas.openxmlformats.org/officeDocument/2006/relationships/hyperlink" Target="https://auraofintelligence.github.io/escape-room-team-building/documents/originals/Aura_Teacher_Training_60_Days%287%29.pdf" TargetMode="External"/><Relationship Id="rId30" Type="http://schemas.openxmlformats.org/officeDocument/2006/relationships/hyperlink" Target="https://auraofintelligence.github.io/escape-room-team-building/documents/readers/D05.html" TargetMode="External"/><Relationship Id="rId31" Type="http://schemas.openxmlformats.org/officeDocument/2006/relationships/hyperlink" Target="https://raw.githubusercontent.com/auraofintelligence/Redlands_discovers_Luke_Hayes/2a8990819b78fda139f9948068f9bdfdd9fa58d9/references/files/hayes-aura-teacher-training-sixty-days-2026-10-14.pdf" TargetMode="External"/><Relationship Id="rId32" Type="http://schemas.openxmlformats.org/officeDocument/2006/relationships/hyperlink" Target="https://auraofintelligence.github.io/escape-room-team-building/documents/originals/Aura_of_Intelligence_Adaptive_Whole_of_Life_Support%282%29.docx" TargetMode="External"/><Relationship Id="rId33" Type="http://schemas.openxmlformats.org/officeDocument/2006/relationships/hyperlink" Target="https://auraofintelligence.github.io/escape-room-team-building/documents/readers/D06.html" TargetMode="External"/><Relationship Id="rId34" Type="http://schemas.openxmlformats.org/officeDocument/2006/relationships/hyperlink" Target="https://raw.githubusercontent.com/auraofintelligence/aura-whole-of-life/9197431e5064a8c9ebdea8d36f9ef79561e8a2aa/documents/Aura_of_Intelligence_Adaptive_Whole_of_Life_Support.docx" TargetMode="External"/><Relationship Id="rId35" Type="http://schemas.openxmlformats.org/officeDocument/2006/relationships/hyperlink" Target="https://auraofintelligence.github.io/escape-room-team-building/documents/originals/Aura_of_Intelligence_Tourism_and_Domestic_Travel%282%29.docx" TargetMode="External"/><Relationship Id="rId36" Type="http://schemas.openxmlformats.org/officeDocument/2006/relationships/hyperlink" Target="https://auraofintelligence.github.io/escape-room-team-building/documents/readers/D07.html" TargetMode="External"/><Relationship Id="rId37" Type="http://schemas.openxmlformats.org/officeDocument/2006/relationships/hyperlink" Target="https://raw.githubusercontent.com/auraofintelligence/aura-tourism/7c2b6af8cf109475444597d8a9b3760aa593b081/sources/originals/Aura_of_Intelligence_Tourism_and_Domestic_Travel.docx" TargetMode="External"/><Relationship Id="rId38" Type="http://schemas.openxmlformats.org/officeDocument/2006/relationships/hyperlink" Target="https://auraofintelligence.github.io/escape-room-team-building/documents/originals/Building%20an%20Australian%20Legal%20RAG%20System%2820261029-080516%29.pdf" TargetMode="External"/><Relationship Id="rId39" Type="http://schemas.openxmlformats.org/officeDocument/2006/relationships/hyperlink" Target="https://auraofintelligence.github.io/escape-room-team-building/documents/readers/D08.html" TargetMode="External"/><Relationship Id="rId40" Type="http://schemas.openxmlformats.org/officeDocument/2006/relationships/hyperlink" Target="https://raw.githubusercontent.com/auraofintelligence/aura-disaster-resilience/e781e7c2f24c2cf38f6ab422790247cde86b889f/sources/documents/Building%20an%20Australian%20Legal%20RAG%20System.pdf" TargetMode="External"/><Relationship Id="rId41" Type="http://schemas.openxmlformats.org/officeDocument/2006/relationships/hyperlink" Target="https://auraofintelligence.github.io/escape-room-team-building/documents/originals/Do%20Not%20Put%20All%20Our%20Eggs%20in%20One%20Basket%289%29.docx" TargetMode="External"/><Relationship Id="rId42" Type="http://schemas.openxmlformats.org/officeDocument/2006/relationships/hyperlink" Target="https://auraofintelligence.github.io/escape-room-team-building/documents/readers/D09.html" TargetMode="External"/><Relationship Id="rId43" Type="http://schemas.openxmlformats.org/officeDocument/2006/relationships/hyperlink" Target="https://raw.githubusercontent.com/auraofintelligence/aura-disaster-resilience/e781e7c2f24c2cf38f6ab422790247cde86b889f/sources/documents/Do%20Not%20Put%20All%20Our%20Eggs%20in%20One%20Basket.docx" TargetMode="External"/><Relationship Id="rId44" Type="http://schemas.openxmlformats.org/officeDocument/2006/relationships/hyperlink" Target="https://auraofintelligence.github.io/escape-room-team-building/documents/originals/Fiji_Australia_Vuvale_Union_Submission_Luke_Nathan_Hayes_2026%2820261029-080505%29.docx" TargetMode="External"/><Relationship Id="rId45" Type="http://schemas.openxmlformats.org/officeDocument/2006/relationships/hyperlink" Target="https://auraofintelligence.github.io/escape-room-team-building/documents/readers/D10.html" TargetMode="External"/><Relationship Id="rId46" Type="http://schemas.openxmlformats.org/officeDocument/2006/relationships/hyperlink" Target="https://raw.githubusercontent.com/auraofintelligence/UNGA81-Luke-Hayes/12afc71ba7375a2096ab4c307934198568e58bed/documents/fiji-australia-vuvale-union-submission.docx" TargetMode="External"/><Relationship Id="rId47" Type="http://schemas.openxmlformats.org/officeDocument/2006/relationships/hyperlink" Target="https://auraofintelligence.github.io/escape-room-team-building/documents/originals/Ocean_of_Peace_Alliance_Veitacini_Treaty_Submission_Luke_Nathan_Hayes_2026%2820261029-080506%29.docx" TargetMode="External"/><Relationship Id="rId48" Type="http://schemas.openxmlformats.org/officeDocument/2006/relationships/hyperlink" Target="https://auraofintelligence.github.io/escape-room-team-building/documents/readers/D12.html" TargetMode="External"/><Relationship Id="rId49" Type="http://schemas.openxmlformats.org/officeDocument/2006/relationships/hyperlink" Target="https://raw.githubusercontent.com/auraofintelligence/UNGA81-Luke-Hayes/12afc71ba7375a2096ab4c307934198568e58bed/documents/Ocean_of_Peace_Alliance_Veitacini_Treaty_Submission_Luke_Nathan_Hayes_2026.docx" TargetMode="External"/><Relationship Id="rId50" Type="http://schemas.openxmlformats.org/officeDocument/2006/relationships/hyperlink" Target="https://auraofintelligence.github.io/escape-room-team-building/documents/originals/SETCo%202026%20Pitch%20Plan%20Revision%2820261029-080533%29.pdf" TargetMode="External"/><Relationship Id="rId51" Type="http://schemas.openxmlformats.org/officeDocument/2006/relationships/hyperlink" Target="https://auraofintelligence.github.io/escape-room-team-building/documents/readers/D13.html" TargetMode="External"/><Relationship Id="rId52" Type="http://schemas.openxmlformats.org/officeDocument/2006/relationships/hyperlink" Target="https://raw.githubusercontent.com/auraofintelligence/Redlands_discovers_Luke_Hayes/2a8990819b78fda139f9948068f9bdfdd9fa58d9/references/files/hayes-ready-set-co-2026-strategy-undated.pdf" TargetMode="External"/><Relationship Id="rId53" Type="http://schemas.openxmlformats.org/officeDocument/2006/relationships/hyperlink" Target="https://auraofintelligence.github.io/escape-room-team-building/documents/originals/Web3%20Sensorium%20for%20Science%20Debate%2820261029-083308%29.pdf" TargetMode="External"/><Relationship Id="rId54" Type="http://schemas.openxmlformats.org/officeDocument/2006/relationships/hyperlink" Target="https://auraofintelligence.github.io/escape-room-team-building/documents/readers/D14.html" TargetMode="External"/><Relationship Id="rId55" Type="http://schemas.openxmlformats.org/officeDocument/2006/relationships/hyperlink" Target="https://raw.githubusercontent.com/auraofintelligence/Redlands_discovers_Luke_Hayes/2a8990819b78fda139f9948068f9bdfdd9fa58d9/references/files/hayes-decentralized-global-sensorium-strategic-plan-undated.pdf" TargetMode="External"/><Relationship Id="rId56" Type="http://schemas.openxmlformats.org/officeDocument/2006/relationships/hyperlink" Target="https://auraofintelligence.github.io/escape-room-team-building/documents/originals/Local-Government-Funding-Submission-Public-Copy.pdf" TargetMode="External"/><Relationship Id="rId57" Type="http://schemas.openxmlformats.org/officeDocument/2006/relationships/hyperlink" Target="https://auraofintelligence.github.io/escape-room-team-building/documents/readers/D15.html" TargetMode="External"/><Relationship Id="rId58" Type="http://schemas.openxmlformats.org/officeDocument/2006/relationships/hyperlink" Target="https://raw.githubusercontent.com/auraofintelligence/Redlands_discovers_Luke_Hayes/main/references/files/hayes-local-government-funding-submission-2-undated.pdf" TargetMode="External"/><Relationship Id="rId59" Type="http://schemas.openxmlformats.org/officeDocument/2006/relationships/hyperlink" Target="https://auraofintelligence.github.io/UNGA81-Luke-Hayes/" TargetMode="External"/><Relationship Id="rId60" Type="http://schemas.openxmlformats.org/officeDocument/2006/relationships/hyperlink" Target="https://auraofintelligence.github.io/ready-set-co-op-cultural-intelligence-node/index.html" TargetMode="External"/><Relationship Id="rId61" Type="http://schemas.openxmlformats.org/officeDocument/2006/relationships/hyperlink" Target="https://auraofintelligence.github.io/ready-set-co-op-trust-hub/" TargetMode="External"/><Relationship Id="rId62" Type="http://schemas.openxmlformats.org/officeDocument/2006/relationships/hyperlink" Target="https://auraofintelligence.github.io/500-Queens-VC-2026/" TargetMode="External"/><Relationship Id="rId63" Type="http://schemas.openxmlformats.org/officeDocument/2006/relationships/hyperlink" Target="https://auraofintelligence.github.io/mutual-futures/" TargetMode="External"/><Relationship Id="rId64" Type="http://schemas.openxmlformats.org/officeDocument/2006/relationships/hyperlink" Target="https://auraofintelligence.github.io/australian-law-2012-lukes-relevance/" TargetMode="External"/><Relationship Id="rId65" Type="http://schemas.openxmlformats.org/officeDocument/2006/relationships/hyperlink" Target="https://github.com/auraofintelligence/australian-legal-engine" TargetMode="External"/><Relationship Id="rId66" Type="http://schemas.openxmlformats.org/officeDocument/2006/relationships/hyperlink" Target="https://auraofintelligence.github.io/legal-memory-workbench/" TargetMode="External"/><Relationship Id="rId67" Type="http://schemas.openxmlformats.org/officeDocument/2006/relationships/hyperlink" Target="https://auraofintelligence.github.io/C-Hour-introduction/" TargetMode="External"/><Relationship Id="rId68" Type="http://schemas.openxmlformats.org/officeDocument/2006/relationships/hyperlink" Target="https://p4a.xyz/" TargetMode="External"/><Relationship Id="rId69" Type="http://schemas.openxmlformats.org/officeDocument/2006/relationships/hyperlink" Target="https://auraofintelligence.github.io/Oceania-healthy-de-slop-co-ops/" TargetMode="External"/><Relationship Id="rId70" Type="http://schemas.openxmlformats.org/officeDocument/2006/relationships/hyperlink" Target="https://github.com/auraofintelligence/Anglican-Diocese-82-Claytons-Amity" TargetMode="External"/><Relationship Id="rId71" Type="http://schemas.openxmlformats.org/officeDocument/2006/relationships/hyperlink" Target="https://github.com/auraofintelligence/installing-the-missing-middle" TargetMode="External"/><Relationship Id="rId72" Type="http://schemas.openxmlformats.org/officeDocument/2006/relationships/hyperlink" Target="https://www.tra.gov.au/" TargetMode="External"/><Relationship Id="rId73" Type="http://schemas.openxmlformats.org/officeDocument/2006/relationships/hyperlink" Target="https://www.tra.gov.au/en/tourism-statistics/domestic-tourism-statistics-results" TargetMode="External"/><Relationship Id="rId74" Type="http://schemas.openxmlformats.org/officeDocument/2006/relationships/hyperlink" Target="https://www.abs.gov.au/statistics/people/education/schools/latest-release" TargetMode="External"/><Relationship Id="rId75" Type="http://schemas.openxmlformats.org/officeDocument/2006/relationships/hyperlink" Target="https://www.tra.gov.au/en/tourism-statistics/business-events-data" TargetMode="External"/><Relationship Id="rId76" Type="http://schemas.openxmlformats.org/officeDocument/2006/relationships/hyperlink" Target="https://www.tourism.australia.com/en/resources/industry-resources/trade-show-tips/the-travel-distribution-system.html" TargetMode="External"/><Relationship Id="rId77" Type="http://schemas.openxmlformats.org/officeDocument/2006/relationships/hyperlink" Target="https://www.tourism.australia.com/en/resources/industry-resources/building-your-tourism-business/getting-your-product-on-australia-com.html" TargetMode="External"/><Relationship Id="rId78" Type="http://schemas.openxmlformats.org/officeDocument/2006/relationships/hyperlink" Target="https://foxinaboxbrisbane.com/corporate-events/" TargetMode="External"/><Relationship Id="rId79" Type="http://schemas.openxmlformats.org/officeDocument/2006/relationships/hyperlink" Target="https://foxinaboxbrisbane.com/" TargetMode="External"/><Relationship Id="rId80" Type="http://schemas.openxmlformats.org/officeDocument/2006/relationships/hyperlink" Target="https://www.redlockescaperooms.com.au/pricing/" TargetMode="External"/><Relationship Id="rId81" Type="http://schemas.openxmlformats.org/officeDocument/2006/relationships/hyperlink" Target="https://www.teamescape.com.au/capacity/" TargetMode="External"/><Relationship Id="rId82" Type="http://schemas.openxmlformats.org/officeDocument/2006/relationships/hyperlink" Target="https://www.amicus.com.au/projects/the-great-escape-melbourne" TargetMode="External"/><Relationship Id="rId83" Type="http://schemas.openxmlformats.org/officeDocument/2006/relationships/hyperlink" Target="https://greatescapeau.com/melbourne/game-overview/?venue=melbourne" TargetMode="External"/><Relationship Id="rId84" Type="http://schemas.openxmlformats.org/officeDocument/2006/relationships/hyperlink" Target="https://www.missionsydney.com/trapped/" TargetMode="External"/><Relationship Id="rId85" Type="http://schemas.openxmlformats.org/officeDocument/2006/relationships/hyperlink" Target="https://erworkshop.com/escape-room-supplier-australia/" TargetMode="External"/><Relationship Id="rId86" Type="http://schemas.openxmlformats.org/officeDocument/2006/relationships/hyperlink" Target="https://www.commercialrealestate.com.au/news/how-this-duo-built-an-escape-room-business-from-scratch-1211242/" TargetMode="External"/><Relationship Id="rId87" Type="http://schemas.openxmlformats.org/officeDocument/2006/relationships/hyperlink" Target="https://themysteryrooms.com.au/escape-room-geelong/" TargetMode="External"/><Relationship Id="rId88" Type="http://schemas.openxmlformats.org/officeDocument/2006/relationships/hyperlink" Target="https://padlockd.com.au/rooms/" TargetMode="External"/><Relationship Id="rId89" Type="http://schemas.openxmlformats.org/officeDocument/2006/relationships/hyperlink" Target="https://puzzledroomescape.com.au/pricing/" TargetMode="External"/><Relationship Id="rId90" Type="http://schemas.openxmlformats.org/officeDocument/2006/relationships/hyperlink" Target="https://puzzledroomescape.com.au/student-programs/" TargetMode="External"/><Relationship Id="rId91" Type="http://schemas.openxmlformats.org/officeDocument/2006/relationships/hyperlink" Target="https://www.projectimmersive.com/events" TargetMode="External"/><Relationship Id="rId92" Type="http://schemas.openxmlformats.org/officeDocument/2006/relationships/hyperlink" Target="https://www.tra.gov.au/en/tourism-industry-analysis/state-and-regional-sta" TargetMode="External"/><Relationship Id="rId93" Type="http://schemas.openxmlformats.org/officeDocument/2006/relationships/hyperlink" Target="https://www.destinationnsw.com.au/destination-nsw-business-support/nsw-first-program/how-to-sell-online-via-distribution-partners" TargetMode="External"/><Relationship Id="rId94" Type="http://schemas.openxmlformats.org/officeDocument/2006/relationships/hyperlink" Target="https://www.aph.gov.au/Parliamentary_Business/Committees/House/Regional_Development_Infrastructure_and_Transport/LocalGovernmentFunding/Submissions" TargetMode="External"/><Relationship Id="rId95" Type="http://schemas.openxmlformats.org/officeDocument/2006/relationships/hyperlink" Target="https://www.australiancurriculum.edu.au/curriculum-information/understand-this-general-capability/personal-and-social-capability/" TargetMode="External"/><Relationship Id="rId96" Type="http://schemas.openxmlformats.org/officeDocument/2006/relationships/hyperlink" Target="https://www.qcaa.qld.edu.au/downloads/aciqv9/general-resources/ac9_gc_personal_social_capability_learning_continuum.pdf" TargetMode="External"/><Relationship Id="rId97" Type="http://schemas.openxmlformats.org/officeDocument/2006/relationships/hyperlink" Target="https://awards.fairwork.gov.au/MA000080.html" TargetMode="External"/><Relationship Id="rId98" Type="http://schemas.openxmlformats.org/officeDocument/2006/relationships/hyperlink" Target="https://smallbusiness.taxsuperandyou.gov.au/super-guarantee-employer-obligations/how-to-calculate-super-guarantee" TargetMode="External"/><Relationship Id="rId99" Type="http://schemas.openxmlformats.org/officeDocument/2006/relationships/hyperlink" Target="https://stripe.com/au/pricing" TargetMode="External"/><Relationship Id="rId100" Type="http://schemas.openxmlformats.org/officeDocument/2006/relationships/hyperlink" Target="https://dashgroup.net.au/labour-hire-brisbane" TargetMode="External"/><Relationship Id="rId101" Type="http://schemas.openxmlformats.org/officeDocument/2006/relationships/hyperlink" Target="https://www.voltoraindustries.com.au/" TargetMode="External"/><Relationship Id="rId102" Type="http://schemas.openxmlformats.org/officeDocument/2006/relationships/hyperlink" Target="https://www.storedj.com.au/products/rode-wireless-pro-dual-compact-wireless-mic-system-w-accessories-black" TargetMode="External"/><Relationship Id="rId103" Type="http://schemas.openxmlformats.org/officeDocument/2006/relationships/hyperlink" Target="https://help.rode.com/hc/en-us/articles/9220351205135-Can-I-use-multiple-Wireless-PRO-kits-at-a-single-location" TargetMode="External"/><Relationship Id="rId104" Type="http://schemas.openxmlformats.org/officeDocument/2006/relationships/hyperlink" Target="https://www.bettermusic.com.au/products/zoom-l8-livetrak" TargetMode="External"/><Relationship Id="rId105" Type="http://schemas.openxmlformats.org/officeDocument/2006/relationships/hyperlink" Target="https://www.storedj.com.au/products/hosa-cmp-159-3-5mm-trs-to-dual-1-4-ts-stereo-breakout-cable-10ft" TargetMode="External"/><Relationship Id="rId106" Type="http://schemas.openxmlformats.org/officeDocument/2006/relationships/hyperlink" Target="https://www.officeworks.com.au/shop/officeworks/p/matrix-visitor-chair-jbmatvmbk" TargetMode="External"/><Relationship Id="rId107" Type="http://schemas.openxmlformats.org/officeDocument/2006/relationships/hyperlink" Target="https://www.officeworks.com.au/shop/officeworks/c/furniture/chairs-seating/lounge-chairs" TargetMode="External"/><Relationship Id="rId108" Type="http://schemas.openxmlformats.org/officeDocument/2006/relationships/hyperlink" Target="https://www.officeworks.com.au/shop/officeworks/p/matrix-mesh-visitor-armchair-black-jbmatvmabk" TargetMode="External"/><Relationship Id="rId109" Type="http://schemas.openxmlformats.org/officeDocument/2006/relationships/hyperlink" Target="https://dannysdesks.com.au/product-category/clearance/clearance-visitor-chairs/" TargetMode="External"/><Relationship Id="rId110" Type="http://schemas.openxmlformats.org/officeDocument/2006/relationships/hyperlink" Target="https://dannysdesks.com.au/product/chibel-office-chair-ex-hire-stock/" TargetMode="External"/><Relationship Id="rId111" Type="http://schemas.openxmlformats.org/officeDocument/2006/relationships/hyperlink" Target="https://www.officeworks.com.au/shop/officeworks/c/furniture/desks-tables/folding-trestle-tables" TargetMode="External"/><Relationship Id="rId112" Type="http://schemas.openxmlformats.org/officeDocument/2006/relationships/hyperlink" Target="https://www.macks.com.au/collections/second-hand-furniture/products/secondhand-metal-frame-desk-1600-x-800" TargetMode="External"/><Relationship Id="rId113" Type="http://schemas.openxmlformats.org/officeDocument/2006/relationships/hyperlink" Target="https://www.macks.com.au/collections/second-hand-furniture/products/second-hand-cupboard-1600h-x-900w-x-430d" TargetMode="External"/><Relationship Id="rId114" Type="http://schemas.openxmlformats.org/officeDocument/2006/relationships/hyperlink" Target="https://www.macks.com.au/collections/second-hand-furniture" TargetMode="External"/><Relationship Id="rId115" Type="http://schemas.openxmlformats.org/officeDocument/2006/relationships/hyperlink" Target="https://www.australiancomputertraders.com.au/" TargetMode="External"/><Relationship Id="rId116" Type="http://schemas.openxmlformats.org/officeDocument/2006/relationships/hyperlink" Target="https://www.scorptec.com.au/cyberpowerupsfreedel" TargetMode="External"/><Relationship Id="rId117" Type="http://schemas.openxmlformats.org/officeDocument/2006/relationships/hyperlink" Target="https://www.commercialrealestate.com.au/property/338-lytton-road-morningside-qld-4170-18288980" TargetMode="External"/><Relationship Id="rId118" Type="http://schemas.openxmlformats.org/officeDocument/2006/relationships/hyperlink" Target="https://www.commercialrealestate.com.au/property/4-65-riverside-place-morningside-qld-4170-18314217" TargetMode="External"/><Relationship Id="rId119" Type="http://schemas.openxmlformats.org/officeDocument/2006/relationships/hyperlink" Target="https://allianceelectrical.com.au/rates" TargetMode="External"/><Relationship Id="rId120" Type="http://schemas.openxmlformats.org/officeDocument/2006/relationships/hyperlink" Target="https://developers.openai.com/api/docs/pricing" TargetMode="External"/><Relationship Id="rId121" Type="http://schemas.openxmlformats.org/officeDocument/2006/relationships/hyperlink" Target="https://developers.openai.com/api/docs/guides/transcription" TargetMode="External"/><Relationship Id="rId122" Type="http://schemas.openxmlformats.org/officeDocument/2006/relationships/hyperlink" Target="https://help.openai.com/en/articles/10421635-multicurrency-billing" TargetMode="External"/><Relationship Id="rId123" Type="http://schemas.openxmlformats.org/officeDocument/2006/relationships/hyperlink" Target="https://deepgram.com/pricing" TargetMode="External"/><Relationship Id="rId124" Type="http://schemas.openxmlformats.org/officeDocument/2006/relationships/hyperlink" Target="https://softwaredevelopers.ato.gov.au/PaydaySuper" TargetMode="External"/><Relationship Id="rId125" Type="http://schemas.openxmlformats.org/officeDocument/2006/relationships/hyperlink" Target="https://github.com/auraofintelligence/escape-room-team-buil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Escape Room Team Building</dc:title>
  <dc:subject>Australian escape-room network business plan</dc:subject>
  <dc:creator>Luke Nathan Hayes</dc:creator>
  <cp:keywords>escape rooms, team building, tourism, whole-of-life learning, Australia</cp:keywords>
  <dc:description/>
  <cp:lastModifiedBy/>
  <cp:revision>1</cp:revision>
  <dcterms:created xsi:type="dcterms:W3CDTF">2013-12-23T23:15:00Z</dcterms:created>
  <dcterms:modified xsi:type="dcterms:W3CDTF">2013-12-23T23:15:00Z</dcterms:modified>
  <cp:category/>
</cp:coreProperties>
</file>