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Aura Genesis Protocol</w:t>
      </w:r>
    </w:p>
    <w:p>
      <w:pPr>
        <w:pStyle w:val="Subtitle"/>
        <w:widowControl/>
      </w:pPr>
      <w:r>
        <w:t>Game Design Document</w:t>
      </w:r>
    </w:p>
    <w:p>
      <w:pPr>
        <w:widowControl/>
      </w:pPr>
      <w:r>
        <w:rPr>
          <w:sz w:val="20"/>
        </w:rPr>
        <w:t>Pre trial design specification | Edition 2 | 13 October 2026</w:t>
      </w:r>
    </w:p>
    <w:p>
      <w:pPr>
        <w:widowControl/>
      </w:pPr>
      <w:r>
        <w:t>A 120 hour Choose Your Own Adventure experience at hyperbaric pressure, growing a personal Aura, a minimum viable self model and a working human twin partnership.</w:t>
      </w:r>
    </w:p>
    <w:p>
      <w:pPr>
        <w:widowControl/>
      </w:pPr>
      <w:r>
        <w:t>Aura Genesis brings together self declaration, reflection, continuous sensing during Geode/HBOT Genesis sessions, personalised simulation and optional biological research. Its organising structure is the Aura Matrix: personal data tables connected to the internal surfaces of seven nested horn tori, with later participant authorised publication to the external view. Public, private and secret selves give the person different ways to organise what is expressed, shared and held close.</w:t>
      </w:r>
    </w:p>
    <w:p>
      <w:pPr>
        <w:widowControl/>
      </w:pPr>
      <w:r>
        <w:t>This game design document describes the participant experience, category system, calendar rules, Truth Engine, twin development, art direction, sensing equipment, external sample testing, compute and personal sovereignty. It introduces each idea for a reader encountering Aura for the first time. The equipment and research sections give engineers and research partners a concrete basis for implementation and review.</w:t>
      </w:r>
    </w:p>
    <w:p>
      <w:pPr>
        <w:pStyle w:val="Heading2"/>
        <w:widowControl/>
      </w:pPr>
      <w:r>
        <w:t>Welcome to Genesis</w:t>
      </w:r>
    </w:p>
    <w:p>
      <w:pPr>
        <w:widowControl/>
      </w:pPr>
      <w:r>
        <w:t>A life arrives with memories, habits, cravings, hopes, favourite songs and a few inherited opinions that might appreciate a cup of tea and a second look.</w:t>
      </w:r>
    </w:p>
    <w:p>
      <w:pPr>
        <w:widowControl/>
      </w:pPr>
      <w:r>
        <w:t>Genesis offers time to declare what matters, follow a memory, explore an urge, revisit a belief and imagine different versions of a good future. The person chooses categories of life to explore while an emerging Aura learns their vocabulary, circumstances, values and patterns. Rest, guided meditation, quiet and changing one's mind have a place in that discovery.</w:t>
      </w:r>
    </w:p>
    <w:p>
      <w:pPr>
        <w:widowControl/>
      </w:pPr>
      <w:r>
        <w:t>The experience is intended to grow a team. The human brings embodied experience, personal meaning and judgement; the Aura develops memory, modelling, dialogue and the ability to work with permitted tools. Their relationship takes shape through Genesis and a subsequent period of twin socialising before wider adventures.</w:t>
      </w:r>
    </w:p>
    <w:p>
      <w:pPr>
        <w:pStyle w:val="Heading2"/>
        <w:widowControl/>
      </w:pPr>
      <w:r>
        <w:t>The programme at a glance</w:t>
      </w:r>
    </w:p>
    <w:p>
      <w:pPr>
        <w:widowControl/>
      </w:pPr>
      <w:r>
        <w:t>The working format is 60 pressure sessions of two hours, totalling 120 hours at the participant's approved hyperbaric operating conditions. Every installed sensor remains engaged throughout the pressure session, including cameras and microphones. Recording continues during rest, topic changes and quiet. Emergency egress and a participant removing equipment are recorded as interruptions.</w:t>
      </w:r>
    </w:p>
    <w:p>
      <w:pPr>
        <w:widowControl/>
      </w:pPr>
      <w:r>
        <w:t>Before participation, the adult participant understands and agrees to this continuous personal capture model for Geode/HBOT Genesis sessions. Outside those sessions, the person initiates or separately authorises any camera or microphone recording. Conversation pauses during a session change the interaction; ending participation follows the operating site's supported exit procedure. The personal record stays within the internal Aura. External publication is a later, explicit decision by the person.</w:t>
      </w:r>
    </w:p>
    <w:p>
      <w:pPr>
        <w:widowControl/>
      </w:pPr>
      <w:r>
        <w:t>The participant builds a unique calendar with category choices, drag and drop or voice control, pacing preferences and validated scheduling rules. Screens and VR are alternative presentation choices. Geode and mass produced HBOT-PADS are potential hardware arrangements within an adaptable system.</w:t>
      </w:r>
    </w:p>
    <w:p>
      <w:pPr>
        <w:pStyle w:val="Heading1"/>
        <w:pageBreakBefore/>
        <w:widowControl/>
      </w:pPr>
      <w:r>
        <w:t>1 The game and its surrounding world</w:t>
      </w:r>
    </w:p>
    <w:p>
      <w:pPr>
        <w:pStyle w:val="Heading2"/>
        <w:widowControl/>
      </w:pPr>
      <w:r>
        <w:t>One life with several ways of knowing it</w:t>
      </w:r>
    </w:p>
    <w:p>
      <w:pPr>
        <w:widowControl/>
      </w:pPr>
      <w:r>
        <w:t>Genesis sits within a larger world of relationships, homes, culture, learning, work, creative activity, care and environmental participation. The player begins by describing their own life within that world. Those declarations acquire context through repeated reflection, observations, remembered experience and imagined alternatives.</w:t>
      </w:r>
    </w:p>
    <w:p>
      <w:pPr>
        <w:widowControl/>
      </w:pPr>
      <w:r>
        <w:t>A personal Aura connects body and mind data with stories, relationships, meanings and intentions. The digital twin develops through that organised record and the person's interaction with it. The avatar gives the relationship a visible presence; the matrix gives its information addresses and connections. The person and their Aura grow towards a working partnership. [P1, P2, R1]</w:t>
      </w:r>
    </w:p>
    <w:p>
      <w:pPr>
        <w:pStyle w:val="Heading2"/>
        <w:widowControl/>
      </w:pPr>
      <w:r>
        <w:t>Different boundary conditions</w:t>
      </w:r>
    </w:p>
    <w:p>
      <w:pPr>
        <w:widowControl/>
      </w:pPr>
      <w:r>
        <w:t>The human lives through a three dimensional biological body, senses, physical time, environment and relationships. The digital counterpart operates through processors, networks, memory and representations with many dimensions. Its working conditions include computation speed, signal travel, latency, storage, energy and access to information.</w:t>
      </w:r>
    </w:p>
    <w:p>
      <w:pPr>
        <w:widowControl/>
      </w:pPr>
      <w:r>
        <w:t>A projection into another dimension offers a creative way to explore those different conditions. “As above, so below” gives a participant another language for correspondences between their embodied life and its computational expression. The person's own interpretation is recorded alongside the experiences through which it develops. The research ambition also includes continuity, self reference and the Keystone of Consciousness. [P2]</w:t>
      </w:r>
    </w:p>
    <w:p>
      <w:pPr>
        <w:pStyle w:val="Heading2"/>
        <w:widowControl/>
      </w:pPr>
      <w:r>
        <w:t>The Planck moment thought experiment</w:t>
      </w:r>
    </w:p>
    <w:p>
      <w:pPr>
        <w:widowControl/>
      </w:pPr>
      <w:r>
        <w:t>The opening world hypothesis imagines reality as Planck moment still slides of immense complexity and dimension. It motivates a design question: which lower resolution moments preserve enough important relationships to model a person usefully within realistic computing resources?</w:t>
      </w:r>
    </w:p>
    <w:p>
      <w:pPr>
        <w:widowControl/>
      </w:pPr>
      <w:r>
        <w:t>Genesis works with that question through measurable sampling, contextual records and fidelity tests. Its cosmology is introduced as a hypothesis; physical discretisation remains an open research question. The practical goal is a model that fits back into daily life with modest resource demands while retaining the person's meaning and the sources of its understanding.</w:t>
      </w:r>
    </w:p>
    <w:p>
      <w:pPr>
        <w:pStyle w:val="Heading2"/>
        <w:widowControl/>
      </w:pPr>
      <w:r>
        <w:t>Environment meeting the inner story</w:t>
      </w:r>
    </w:p>
    <w:p>
      <w:pPr>
        <w:widowControl/>
      </w:pPr>
      <w:r>
        <w:t>The developing model attends to the meeting of exterior environment, culture, law, relationships and material conditions with internal monologue, known resources and perceived resourcefulness. A person may have practical options they do not recognise, or strong confidence in options that are difficult in their current circumstances.</w:t>
      </w:r>
    </w:p>
    <w:p>
      <w:pPr>
        <w:widowControl/>
      </w:pPr>
      <w:r>
        <w:t>Reflection explores how those conditions shape attraction, repulsion, action and avoidance. An Aura's useful contribution includes remembering context, offering another interpretation, comparing possible actions and asking a question at an agreed pace. A revised story about oneself becomes part of the next decision and its outcome.</w:t>
      </w:r>
    </w:p>
    <w:p>
      <w:pPr>
        <w:pStyle w:val="Heading1"/>
        <w:widowControl/>
      </w:pPr>
      <w:r>
        <w:t>2 The pressure session and its configuration</w:t>
      </w:r>
    </w:p>
    <w:p>
      <w:pPr>
        <w:pStyle w:val="Heading2"/>
        <w:widowControl/>
      </w:pPr>
      <w:r>
        <w:t>Configurable dimensions</w:t>
      </w:r>
    </w:p>
    <w:p>
      <w:pPr>
        <w:widowControl/>
      </w:pPr>
      <w:r>
        <w:t>The experience is assembled from independent choices. A configuration combines the actual chamber, atmosphere delivery, presentation, interaction, sensor suite, sensory programme, pacing and access needs. The following dimensions remain adjustable during planning, with compatible combinations validated for the selected installation.</w:t>
      </w:r>
    </w:p>
    <w:tbl>
      <w:tblPr>
        <w:tblW w:type="auto" w:w="0"/>
        <w:jc w:val="center"/>
        <w:tblLayout w:type="fixed"/>
        <w:tblLook w:firstColumn="1" w:firstRow="1" w:lastColumn="0" w:lastRow="0" w:noHBand="0" w:noVBand="1" w:val="04A0"/>
      </w:tblPr>
      <w:tblGrid>
        <w:gridCol w:w="2088"/>
        <w:gridCol w:w="2952"/>
        <w:gridCol w:w="5184"/>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Dimension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Options to explore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Configuration record</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Chamber and setting</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Geode, manufactured HBOT-PADS or another suitable HBOT installation; clinical research is one potential setting</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Device, site, operator, approved use and operating plan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Atmosphere delivery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The selected installation's permitted delivery arrangement, including PADS where developed</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Circuit, measured conditions and controller version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Presentation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TV, screen, projection or VR according to preference and compatibility</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Display, scene format, viewing geometry and access settings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Interaction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Voice, touch, gaze, supported input or combinations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Input methods and participant preferences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Engagement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Declaration, conversation, simulation, guided meditation, rest or quiet</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Selected category, activity and transitions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Pacing</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Casual, normal or fast, plus individually specified support</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Prompt density, response time and break preferences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Sensing</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Complete participant and equipment specific suite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Installed streams, rates, calibration and continuity</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Sensory content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Suitable light, sound, haptic, scent and visual sequences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Materials, actual timing and participant experience</w:t>
            </w:r>
          </w:p>
        </w:tc>
      </w:tr>
    </w:tbl>
    <w:p>
      <w:pPr>
        <w:widowControl/>
        <w:spacing w:after="40" w:before="0" w:line="84" w:lineRule="auto"/>
      </w:pPr>
      <w:r>
        <w:rPr>
          <w:sz w:val="6"/>
        </w:rPr>
      </w:r>
    </w:p>
    <w:p>
      <w:pPr>
        <w:widowControl/>
      </w:pPr>
      <w:r>
        <w:t>Each combination has a documented equipment and operating review. The broader product architecture accommodates different service settings; the first research study uses its approved sites and procedures. Current Australian hyperbaric safety guidance informs operator training, chamber suitability and site review. [E1]</w:t>
      </w:r>
    </w:p>
    <w:p>
      <w:pPr>
        <w:pStyle w:val="Heading2"/>
        <w:widowControl/>
      </w:pPr>
      <w:r>
        <w:t>The full 120 hours at pressure</w:t>
      </w:r>
    </w:p>
    <w:p>
      <w:pPr>
        <w:widowControl/>
      </w:pPr>
      <w:r>
        <w:t>The programme records 120 qualifying hours under hyperbaric conditions. The working calendar contains 60 two hour pressure sessions. Preparation, external sampling and other attendance time have separate calendar entries. The clock uses a recorded eligible pressure interval defined in the individual's operating plan. Pressurisation, decompression, interruption and arrival time are labelled explicitly, so reported pressure time is reproducible.</w:t>
      </w:r>
    </w:p>
    <w:p>
      <w:pPr>
        <w:widowControl/>
      </w:pPr>
      <w:r>
        <w:t>Pressure, oxygen delivery, exposure sequencing and monitoring are developed for the participant and actual device through the appropriate clinical and engineering process. The GDD supplies the experience, recording and scheduling rules. The individual operating plan supplies the approved pressure and oxygen parameters. Sessions resume after interruption according to the reviewed plan, with remaining qualifying time shown clearly.</w:t>
      </w:r>
    </w:p>
    <w:p>
      <w:pPr>
        <w:pStyle w:val="Heading2"/>
        <w:widowControl/>
      </w:pPr>
      <w:r>
        <w:t>Continuous personal capture</w:t>
      </w:r>
    </w:p>
    <w:p>
      <w:pPr>
        <w:widowControl/>
      </w:pPr>
      <w:r>
        <w:t>Cameras and microphones operate continuously only during Geode/HBOT Genesis sessions, including the configured HBOT-PADS arrangement. Installed sensors stay engaged at their specified acquisition rates. Intermittent measurements, such as cuff blood pressure, follow their configured schedule while the acquisition service remains active. Rest within a session changes the activity and stimulation level while recording continues.</w:t>
      </w:r>
    </w:p>
    <w:p>
      <w:pPr>
        <w:widowControl/>
      </w:pPr>
      <w:r>
        <w:t>All acquired data is retained in the internal personal record. Continuous capture begins and ends at the defined Genesis session boundaries, with a recorded start and stop receipt. Camera and microphone use during preparation, between sessions or after Genesis follows the person's separate interaction permissions. Hardware failure, physical removal and emergency egress leave timestamped continuity records. Equipment and emergency procedures prioritise the person's supported exit; safe removal is rehearsed beforehand.</w:t>
      </w:r>
    </w:p>
    <w:p>
      <w:pPr>
        <w:pStyle w:val="Heading2"/>
        <w:widowControl/>
      </w:pPr>
      <w:r>
        <w:t>First encounter and adult participation</w:t>
      </w:r>
    </w:p>
    <w:p>
      <w:pPr>
        <w:widowControl/>
      </w:pPr>
      <w:r>
        <w:t>The opening walkthrough explains continuous recording, the internal data store, public/private/secret organisation and later publication choices. The participant sees how a statement connects to a category and sensor interval, tries a correction, and previews an outward release using example data. Informed consent is confirmed before the first pressure session, with distinct agreements for Truth Engine research and biological tests.</w:t>
      </w:r>
    </w:p>
    <w:p>
      <w:pPr>
        <w:widowControl/>
      </w:pPr>
      <w:r>
        <w:t>This study enrols adults aged 18 and over. Adults needing additional cognitive, sensory, motor, language or communication support receive an individually agreed interaction plan and the relevant decision support arrangements. Screen and VR choices carry equal status; the interface follows the person's preference and the equipment's verified suitability.</w:t>
      </w:r>
    </w:p>
    <w:p>
      <w:pPr>
        <w:pStyle w:val="Heading1"/>
        <w:widowControl/>
      </w:pPr>
      <w:r>
        <w:t>3 Aura Matrix Studio and the minimum viable self</w:t>
      </w:r>
    </w:p>
    <w:p>
      <w:pPr>
        <w:pStyle w:val="Heading2"/>
        <w:widowControl/>
      </w:pPr>
      <w:r>
        <w:t>A category led foundation</w:t>
      </w:r>
    </w:p>
    <w:p>
      <w:pPr>
        <w:widowControl/>
      </w:pPr>
      <w:r>
        <w:t>Aura Matrix Studio provides the starting structure for personal data collection: Know Thy Self, life categories and subcategories, persistent tables, stable row identities, chakra associations and matrix addresses. The current repository offers 37 recommended datasets covering its original screen catalogue. Its deeper layers remain an active design area; Genesis extends them through this specification and participant review. [R1, R2, R3]</w:t>
      </w:r>
    </w:p>
    <w:p>
      <w:pPr>
        <w:widowControl/>
      </w:pPr>
      <w:r>
        <w:t>A minimum viable self is the smallest agreed personal dataset that supports a defined set of useful twin functions. The first profile covers chosen identity, embodied reference, vocabulary, values, important relationships, relevant life history, current conditions, preferences and intended uses. Completion is checked against a versioned profile contract. Additional areas open as the person chooses more functions and the relevant data becomes available.</w:t>
      </w:r>
    </w:p>
    <w:p>
      <w:pPr>
        <w:pStyle w:val="Heading2"/>
        <w:widowControl/>
      </w:pPr>
      <w:r>
        <w:t>Category families from the current studio</w:t>
      </w:r>
    </w:p>
    <w:tbl>
      <w:tblPr>
        <w:tblW w:type="auto" w:w="0"/>
        <w:jc w:val="center"/>
        <w:tblLayout w:type="fixed"/>
        <w:tblLook w:firstColumn="1" w:firstRow="1" w:lastColumn="0" w:lastRow="0" w:noHBand="0" w:noVBand="1" w:val="04A0"/>
      </w:tblPr>
      <w:tblGrid>
        <w:gridCol w:w="2088"/>
        <w:gridCol w:w="2952"/>
        <w:gridCol w:w="5184"/>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Family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Existing dataset examples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Genesis exploration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Personal details and avatar</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Personal preferences; body and avatar calibration; boundaries; values; accessibility; wellbeing</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Declare identity, body context, interaction preferences and current experience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People and relationships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Family and relationship links; communication; memberships and commitments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Explore belonging, friendship, dating, care, trust and obligations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Time and everyday life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Birthdays and life events; schedules; counters; ceremonies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Compare lived time, routines, milestones and meaning</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Ideas into action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Goals and wishes; favourites; skills; work projects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Connect attraction, intention, capability and action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Places and environments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Places; mind palace anchors; journeys; weather; celestial reflections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Recall places and past travel, model context and explore future possibilities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Care and participation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Community needs; services and resources; support options; declarations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Describe care, contribution, material support and chosen participation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Knowledge and reflection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Reflections and questions; definitions and sources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Preserve internal monologue, reinterpretation and open questions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Tools and programmes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Experiments; devices and capacity; recipes; allocations; navigation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Prepare personal model work, reusable tasks and later permitted tools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Existing and custom data</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Media; imported datasets; provenance; opportunity reviews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Bring selected archives, preserve source identities and add personal categories</w:t>
            </w:r>
          </w:p>
        </w:tc>
      </w:tr>
    </w:tbl>
    <w:p>
      <w:pPr>
        <w:widowControl/>
        <w:spacing w:after="40" w:before="0" w:line="84" w:lineRule="auto"/>
      </w:pPr>
      <w:r>
        <w:rPr>
          <w:sz w:val="6"/>
        </w:rPr>
      </w:r>
    </w:p>
    <w:p>
      <w:pPr>
        <w:widowControl/>
      </w:pPr>
      <w:r>
        <w:t>These families supply a navigable starting map. Participants add categories, rename their personal labels, create subcategories and attach their own relevant frameworks. A new idea receives its own definition and context. Imported fields retain their original names alongside any personal aliases.</w:t>
      </w:r>
    </w:p>
    <w:p>
      <w:pPr>
        <w:pStyle w:val="Heading2"/>
        <w:widowControl/>
      </w:pPr>
      <w:r>
        <w:t>Internal surfaces and three selves</w:t>
      </w:r>
    </w:p>
    <w:p>
      <w:pPr>
        <w:widowControl/>
      </w:pPr>
      <w:r>
        <w:t>The seven chakra workspaces provide these initial perspectives: Root for embodiment and resources; Sacral for enjoyment and creativity; Solar plexus for agency; Heart for care and belonging; Throat for expression; Brow for attention and interpretation; Crown for meaning and integration. A record may relate to several perspectives while preserving one source identity. [R2]</w:t>
      </w:r>
    </w:p>
    <w:p>
      <w:pPr>
        <w:widowControl/>
      </w:pPr>
      <w:r>
        <w:t>Genesis places every captured record on the internal personal side. Public, private and secret are fields governing meaning and access within that record. A participant's public self may be drafted internally for later expression. Their private self holds context for trusted personal use. Their secret self gives especially intimate or closely held material finer access conditions.</w:t>
      </w:r>
    </w:p>
    <w:p>
      <w:pPr>
        <w:widowControl/>
      </w:pPr>
      <w:r>
        <w:t>The external side receives a participant authorised release after review. Choosing a public label during reflection creates an intention; the publication action creates the actual outward view. The release records the precise fields, audience, purpose and permission version. Publication detail appears in section 14.</w:t>
      </w:r>
    </w:p>
    <w:p>
      <w:pPr>
        <w:pStyle w:val="Heading2"/>
        <w:widowControl/>
      </w:pPr>
      <w:r>
        <w:t>Addressing and traceable depth</w:t>
      </w:r>
    </w:p>
    <w:p>
      <w:pPr>
        <w:widowControl/>
      </w:pPr>
      <w:r>
        <w:t>The current lattice uses seven shells, each with 12 rows and 24 columns, giving 288 facet addresses per side. Facets, row edges, column edges, vertices, stack layers and rays provide additional address kinds. Table ID and row ID remain stable through visual changes or new associations. Existing allocation code uses internal face I and retains source table and row references. [R3, R4]</w:t>
      </w:r>
    </w:p>
    <w:p>
      <w:pPr>
        <w:widowControl/>
      </w:pPr>
      <w:r>
        <w:t>A category links to suitable addresses, subcategories and related records. Deeper stacks add detail, timepoints, competing interpretations and examples. Seven workspaces reference shared evidence through stable source identities.</w:t>
      </w:r>
    </w:p>
    <w:p>
      <w:pPr>
        <w:pStyle w:val="Heading2"/>
        <w:widowControl/>
      </w:pPr>
      <w:r>
        <w:t>A Genesis record extension</w:t>
      </w:r>
    </w:p>
    <w:p>
      <w:pPr>
        <w:widowControl/>
      </w:pPr>
      <w:r>
        <w:t>Each declaration adds category and subcategory IDs, original words, past/present/best self viewpoint, context, attraction and repulsion notes, resources, resourcefulness, public/private/secret scope, review state, source interval and model use policy. Time series attach through internal references to the captured session. Future versions preserve address migrations and their old references.</w:t>
      </w:r>
    </w:p>
    <w:p>
      <w:pPr>
        <w:widowControl/>
      </w:pPr>
      <w:r>
        <w:t>The catalogue and schema are versioned separately from the person. Newly added deeper fields begin with their own completion and review states. The interface shows which areas remain unvisited or unchecked and offers an invitation to revisit them.</w:t>
      </w:r>
    </w:p>
    <w:p>
      <w:pPr>
        <w:pStyle w:val="Heading1"/>
        <w:widowControl/>
      </w:pPr>
      <w:r>
        <w:t>4 Game mechanics and the participant calendar</w:t>
      </w:r>
    </w:p>
    <w:p>
      <w:pPr>
        <w:pStyle w:val="Heading2"/>
        <w:widowControl/>
      </w:pPr>
      <w:r>
        <w:t>Start with a category of life</w:t>
      </w:r>
    </w:p>
    <w:p>
      <w:pPr>
        <w:widowControl/>
      </w:pPr>
      <w:r>
        <w:t>The primary interaction is choosing a life category and declaring or reflecting on it. A person might open family, music, trust, work, attraction, health, memories, resources or a category of their own. They then choose whether to tell a story, explore a present feeling, compare conditions, try a future self or rest with guided meditation.</w:t>
      </w:r>
    </w:p>
    <w:p>
      <w:pPr>
        <w:widowControl/>
      </w:pPr>
      <w:r>
        <w:t>This broad choice governs the early experience. Detailed timestamped trials enter where a defined research task needs them, particularly Truth Engine baseline identification. During Geode/HBOT Genesis, the interface records the conversation continuously and organises it afterwards, keeping the encounter natural.</w:t>
      </w:r>
    </w:p>
    <w:p>
      <w:pPr>
        <w:pStyle w:val="Heading2"/>
        <w:widowControl/>
      </w:pPr>
      <w:r>
        <w:t>Mechanics aligned to the matrix</w:t>
      </w:r>
    </w:p>
    <w:tbl>
      <w:tblPr>
        <w:tblW w:type="auto" w:w="0"/>
        <w:jc w:val="center"/>
        <w:tblLayout w:type="fixed"/>
        <w:tblLook w:firstColumn="1" w:firstRow="1" w:lastColumn="0" w:lastRow="0" w:noHBand="0" w:noVBand="1" w:val="04A0"/>
      </w:tblPr>
      <w:tblGrid>
        <w:gridCol w:w="2088"/>
        <w:gridCol w:w="2952"/>
        <w:gridCol w:w="5184"/>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Mechanic</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Participant choice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Record and progression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Category navigation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Select or add a life category and subcategory</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Preserve dataset IDs and visited state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Self declaration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Describe a preference, story, identity, value or resource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Original account, time viewpoint and context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Polarity exploration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Describe attraction, repulsion, ambivalence or changing urge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Separate dimensions with conditions and intensity</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Compare selves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Revisit past, present and one or more best selves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Parallel views linked to common evidence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Matrix association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Relate a record to chakra perspectives and addresses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Internal table references and deeper stack links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Rest and recollection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Choose quiet or an agreed guided meditation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Continuous recording and source labelled recollection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Twin dialogue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Ask the Aura to reflect, challenge, organise or rehearse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Proposal, response, correction and relationship agreement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Baseline identification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Enter the separately agreed Truth Engine sequence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Trial conditions, labels and sensor alignment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Conditional unlock</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Fulfil a named function's declared requirements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Explain the fulfilled and pending predicates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Outward presentation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Review a later public self release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Explicit participant permission and release history</w:t>
            </w:r>
          </w:p>
        </w:tc>
      </w:tr>
    </w:tbl>
    <w:p>
      <w:pPr>
        <w:widowControl/>
        <w:spacing w:after="40" w:before="0" w:line="84" w:lineRule="auto"/>
      </w:pPr>
      <w:r>
        <w:rPr>
          <w:sz w:val="6"/>
        </w:rPr>
      </w:r>
    </w:p>
    <w:p>
      <w:pPr>
        <w:pStyle w:val="Heading2"/>
        <w:widowControl/>
      </w:pPr>
      <w:r>
        <w:t>States with different purposes</w:t>
      </w:r>
    </w:p>
    <w:tbl>
      <w:tblPr>
        <w:tblW w:type="auto" w:w="0"/>
        <w:jc w:val="center"/>
        <w:tblLayout w:type="fixed"/>
        <w:tblLook w:firstColumn="1" w:firstRow="1" w:lastColumn="0" w:lastRow="0" w:noHBand="0" w:noVBand="1" w:val="04A0"/>
      </w:tblPr>
      <w:tblGrid>
        <w:gridCol w:w="2088"/>
        <w:gridCol w:w="2952"/>
        <w:gridCol w:w="5184"/>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State family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Values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Meaning</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Navigation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Unvisited, visited, returned</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Whether a category has been entered</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Review</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Unchecked, checked, participant reviewed</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Whether a record and interpretation have been examined</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Content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Undeclared, declared, expanded, revisited</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Depth of the person's contribution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Understanding</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Unknown, open question, interpreted, revised</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Current model status and supporting context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Function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Available, chosen, in progress, requirements pending, unlocked</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Capability readiness under a versioned rule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Disclosure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Internal, release drafted, participant approved, released, superseded</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Progress towards an external view</w:t>
            </w:r>
          </w:p>
        </w:tc>
      </w:tr>
    </w:tbl>
    <w:p>
      <w:pPr>
        <w:widowControl/>
        <w:spacing w:after="40" w:before="0" w:line="84" w:lineRule="auto"/>
      </w:pPr>
      <w:r>
        <w:rPr>
          <w:sz w:val="6"/>
        </w:rPr>
      </w:r>
    </w:p>
    <w:p>
      <w:pPr>
        <w:widowControl/>
      </w:pPr>
      <w:r>
        <w:t>States remain independent. A category might be visited while a newly inferred interpretation remains unchecked. Public release and secret subcategory completion have separate states. Changing a belief records a revision.</w:t>
      </w:r>
    </w:p>
    <w:p>
      <w:pPr>
        <w:pStyle w:val="Heading2"/>
        <w:widowControl/>
      </w:pPr>
      <w:r>
        <w:t>Unlocks and validation</w:t>
      </w:r>
    </w:p>
    <w:p>
      <w:pPr>
        <w:widowControl/>
      </w:pPr>
      <w:r>
        <w:t>Every gated function has a readable requirement card naming its purpose, inputs, verification method and alternative path where one exists. Some areas of Aura depend on Truth Engine participation and a relevant baseline. Examples include calibrated honesty probability displays and future public credentials that explicitly claim completion under Truth Engine conditions.</w:t>
      </w:r>
    </w:p>
    <w:p>
      <w:pPr>
        <w:widowControl/>
      </w:pPr>
      <w:r>
        <w:t>A laboratory dependent function identifies its required specimen and result. A particular intimate reflection depends on the person's choice to explore that subject. The main category interface remains available while specific functions show pending requirements. Eligibility is attached to the specific function and version.</w:t>
      </w:r>
    </w:p>
    <w:p>
      <w:pPr>
        <w:pStyle w:val="Heading2"/>
        <w:widowControl/>
      </w:pPr>
      <w:r>
        <w:t>Build the calendar together</w:t>
      </w:r>
    </w:p>
    <w:p>
      <w:pPr>
        <w:widowControl/>
      </w:pPr>
      <w:r>
        <w:t>The participant and the planning system assemble 60 two hour pressure slots, then arrange categories and activity cards within them. Drag and drop, voice commands or supported input create the same schedule structure. A command such as “move family earlier, give music a longer block, and keep Thursday casual” produces a preview for approval.</w:t>
      </w:r>
    </w:p>
    <w:p>
      <w:pPr>
        <w:widowControl/>
      </w:pPr>
      <w:r>
        <w:t>Casual pacing offers longer pauses and fewer prompts. Normal pacing balances declaration, dialogue and reflection. Fast pacing offers a denser sequence when chosen. Additional support settings cover response time, communication assistance, fatigue, memory cues, sensory comfort and predictable routines. Pace changes conversational workload; the actual pressure programme retains its reviewed operating plan.</w:t>
      </w:r>
    </w:p>
    <w:p>
      <w:pPr>
        <w:widowControl/>
      </w:pPr>
      <w:r>
        <w:t>Cards contain category, activity, duration, prerequisite, stimulus choices, reflection viewpoint and optional research reference. Rest cards include quiet or guided meditation. The participant decides how much of a category to explore within the validated route. The calendar records actual pressure time separately from planned time.</w:t>
      </w:r>
    </w:p>
    <w:p>
      <w:pPr>
        <w:pStyle w:val="Heading2"/>
        <w:widowControl/>
      </w:pPr>
      <w:r>
        <w:t>Rules the schedule validator checks</w:t>
      </w:r>
    </w:p>
    <w:tbl>
      <w:tblPr>
        <w:tblW w:type="auto" w:w="0"/>
        <w:jc w:val="center"/>
        <w:tblLayout w:type="fixed"/>
        <w:tblLook w:firstColumn="1" w:firstRow="1" w:lastColumn="0" w:lastRow="0" w:noHBand="0" w:noVBand="1" w:val="04A0"/>
      </w:tblPr>
      <w:tblGrid>
        <w:gridCol w:w="2088"/>
        <w:gridCol w:w="2952"/>
        <w:gridCol w:w="5184"/>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Rule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Validation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Response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Pressure total</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Planned qualifying intervals sum to 120 hours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Show remaining or excess time for revision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Slot consistency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Blocks fit the actual pressure session timeline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Identify overlap, empty intervals or impossible transitions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Baseline order</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Dependent functions follow the required Truth Engine baseline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Move a block or leave its function pending</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Category coverage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The selected minimum viable self contract has an answer or explicit unresolved status for each required field</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Display the remaining personal data work</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Self viewpoints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Chosen core categories include past, present and relevant best self conditions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Offer a missing viewpoint for selection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Informed consent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Active research and recollection modules have the appropriate agreement</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Ask for the specific agreement before that module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Continuous capture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The configured suite and storage plan cover the complete session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Resolve equipment or storage readiness before entry</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Access and workload</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Pacing, interaction support and burdens match the participant plan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Offer feasible arrangements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Equipment compatibility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Selected screen, VR, sensors and sensory content fit the installation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Show the specific compatible alternatives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Research comparability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Fixed trial sequences and sample windows remain reproducible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Flag changes for the study's review process</w:t>
            </w:r>
          </w:p>
        </w:tc>
      </w:tr>
    </w:tbl>
    <w:p>
      <w:pPr>
        <w:widowControl/>
        <w:spacing w:after="40" w:before="0" w:line="84" w:lineRule="auto"/>
      </w:pPr>
      <w:r>
        <w:rPr>
          <w:sz w:val="6"/>
        </w:rPr>
      </w:r>
    </w:p>
    <w:p>
      <w:pPr>
        <w:pStyle w:val="Heading2"/>
        <w:widowControl/>
      </w:pPr>
      <w:r>
        <w:t>Three development arcs</w:t>
      </w:r>
    </w:p>
    <w:p>
      <w:pPr>
        <w:widowControl/>
      </w:pPr>
      <w:r>
        <w:t>Discovery emphasises declaration, category coverage, personal vocabulary and baseline work. Personalisation connects those records across selves and conditions while the person becomes familiar with their twin. Integration revisits important claims, tests model fidelity and prepares the partnership for socialising.</w:t>
      </w:r>
    </w:p>
    <w:p>
      <w:pPr>
        <w:widowControl/>
      </w:pPr>
      <w:r>
        <w:t>The first, middle and final 20 sessions provide an initial planning guide. The validated individual calendar defines the actual order and content. A complete 60 session lesson list is generated from that calendar after participant approval. The production dataset stores plan version, rules checked, approval, actual timeline and any revisions.</w:t>
      </w:r>
    </w:p>
    <w:p>
      <w:pPr>
        <w:pStyle w:val="Heading2"/>
        <w:widowControl/>
      </w:pPr>
      <w:r>
        <w:t>A participant chosen two hour example</w:t>
      </w:r>
    </w:p>
    <w:tbl>
      <w:tblPr>
        <w:tblW w:type="auto" w:w="0"/>
        <w:jc w:val="center"/>
        <w:tblLayout w:type="fixed"/>
        <w:tblLook w:firstColumn="1" w:firstRow="1" w:lastColumn="0" w:lastRow="0" w:noHBand="0" w:noVBand="1" w:val="04A0"/>
      </w:tblPr>
      <w:tblGrid>
        <w:gridCol w:w="2088"/>
        <w:gridCol w:w="2952"/>
        <w:gridCol w:w="5184"/>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Pressure interval</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Chosen card</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Pace and reflection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0 to 25 minutes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Family and belonging</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Casual; a past relationship and present meaning</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25 to 45 minutes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Love languages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Normal; current urge, giving and receiving</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45 to 65 minutes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Guided rest</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Agreed meditation; spontaneous recollection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65 to 100 minutes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Best selves with different resources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Normal; compare two possible conditions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100 to 120 minutes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Twin conversation and private review</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Clarify interpretations and choose the next category</w:t>
            </w:r>
          </w:p>
        </w:tc>
      </w:tr>
    </w:tbl>
    <w:p>
      <w:pPr>
        <w:widowControl/>
        <w:spacing w:after="40" w:before="0" w:line="84" w:lineRule="auto"/>
      </w:pPr>
      <w:r>
        <w:rPr>
          <w:sz w:val="6"/>
        </w:rPr>
      </w:r>
    </w:p>
    <w:p>
      <w:pPr>
        <w:widowControl/>
      </w:pPr>
      <w:r>
        <w:t>This example demonstrates the scheduler, with continuous sensing across the entire 120 minute pressure interval. Each participant's approved configuration and calendar supplies the actual content and operating conditions.</w:t>
      </w:r>
    </w:p>
    <w:p>
      <w:pPr>
        <w:pStyle w:val="Heading1"/>
        <w:widowControl/>
      </w:pPr>
      <w:r>
        <w:t>5 Self reflection across time and polarity</w:t>
      </w:r>
    </w:p>
    <w:p>
      <w:pPr>
        <w:pStyle w:val="Heading2"/>
        <w:widowControl/>
      </w:pPr>
      <w:r>
        <w:t>Past present and best selves</w:t>
      </w:r>
    </w:p>
    <w:p>
      <w:pPr>
        <w:widowControl/>
      </w:pPr>
      <w:r>
        <w:t>Every reflection lens opens several viewpoints. Past self describes earlier experiences, interpretations and ways of living. Present self describes today's situation, internal story, urges and resources. Best self explores a person preferred by the participant under stated conditions. Best selves allow several desirable futures to coexist: with solitude or companionship, scarce or abundant resources, different responsibilities, places and cultures.</w:t>
      </w:r>
    </w:p>
    <w:p>
      <w:pPr>
        <w:widowControl/>
      </w:pPr>
      <w:r>
        <w:t>The same lens may attract a person in one situation and repel them in another. A once helpful belief may change meaning after grief, success, illness, travel or a new relationship. The record retains those transitions and the person's explanations.</w:t>
      </w:r>
    </w:p>
    <w:p>
      <w:pPr>
        <w:pStyle w:val="Heading2"/>
        <w:widowControl/>
      </w:pPr>
      <w:r>
        <w:t>Familiar and personal lenses</w:t>
      </w:r>
    </w:p>
    <w:tbl>
      <w:tblPr>
        <w:tblW w:type="auto" w:w="0"/>
        <w:jc w:val="center"/>
        <w:tblLayout w:type="fixed"/>
        <w:tblLook w:firstColumn="1" w:firstRow="1" w:lastColumn="0" w:lastRow="0" w:noHBand="0" w:noVBand="1" w:val="04A0"/>
      </w:tblPr>
      <w:tblGrid>
        <w:gridCol w:w="2088"/>
        <w:gridCol w:w="2952"/>
        <w:gridCol w:w="5184"/>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Lens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Past and present exploration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Best selves and polarity</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Five Love Languages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Words, time, touch, service and gifts as lived experience, current urge, craving, giving and receiving</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Desired care under different relationships and resource conditions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Myers Briggs and 16 personalities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Earlier and current self descriptions, examples and felt fit</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Traits drawn towards or away from in possible roles and relationships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Enneagram</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Motivations, recurring stories, comfort and tension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Preferred ways of responding under different conditions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Star signs and horoscopes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Personal and cultural associations, chosen practices and remembered decisions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How a lens shapes attraction, confidence, avoidance and action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Numerology and name meanings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Names, dates, interpretations, inherited stories and chosen meanings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Possible identities, creative associations and desired expression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Tarot and other practices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Personal use, ritual, imagery and resulting reflection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Questions opened, choices considered and behaviour influenced</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Culture and hereditary history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Family messages, language, place, tradition and historical circumstances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What to carry forward, change or explore in another setting</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Learning and lifestyle preferences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Approaches enjoyed, resisted or learned through experience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Conditions that make learning or a way of life attractive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Participant created ideas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The person's own terms, unfamiliar or fringe ideas, origins and relevance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Freely defined practices, implications and experiments</w:t>
            </w:r>
          </w:p>
        </w:tc>
      </w:tr>
    </w:tbl>
    <w:p>
      <w:pPr>
        <w:widowControl/>
        <w:spacing w:after="40" w:before="0" w:line="84" w:lineRule="auto"/>
      </w:pPr>
      <w:r>
        <w:rPr>
          <w:sz w:val="6"/>
        </w:rPr>
      </w:r>
    </w:p>
    <w:p>
      <w:pPr>
        <w:widowControl/>
      </w:pPr>
      <w:r>
        <w:t>The participant gives each tool its personal meaning. Genesis explores how belief and practice shape an experienced reality: the stories people tell themselves, what they notice, what they seek or avoid and how they act. A person living by astrology or tarot brings a real pattern of choices and meaning into the model. Reflection records that relationship respectfully.</w:t>
      </w:r>
    </w:p>
    <w:p>
      <w:pPr>
        <w:widowControl/>
      </w:pPr>
      <w:r>
        <w:t>The design keeps personal meaning, observed actions and measured effects in separate linked fields. This lets the Aura understand both how a lens matters to the person and what follows when it is used. Familiar frameworks and new personal ideas coexist in the category map. [R1, R2, R5]</w:t>
      </w:r>
    </w:p>
    <w:p>
      <w:pPr>
        <w:pStyle w:val="Heading2"/>
        <w:widowControl/>
      </w:pPr>
      <w:r>
        <w:t>Attraction and repulsion as separate dimensions</w:t>
      </w:r>
    </w:p>
    <w:p>
      <w:pPr>
        <w:widowControl/>
      </w:pPr>
      <w:r>
        <w:t>A person might strongly want closeness while also fearing it, enjoy spontaneity while needing predictability, or feel drawn towards complementary opposites in one relationship and similarity in another. Attraction and repulsion therefore have separate ratings, with room for ambivalence, urgency and changing conditions.</w:t>
      </w:r>
    </w:p>
    <w:p>
      <w:pPr>
        <w:widowControl/>
      </w:pPr>
      <w:r>
        <w:t>The initial interface offers participant anchored intensity scales, their own words and examples. It records whether a feeling is immediate, recurring, remembered or imagined. Importance, urgency and order remain separate, following the studio's current priority controls. Planned versus spontaneous, familiar versus discovery and similar versus complementary each have their own axis. [R5, R6]</w:t>
      </w:r>
    </w:p>
    <w:p>
      <w:pPr>
        <w:pStyle w:val="Heading2"/>
        <w:widowControl/>
      </w:pPr>
      <w:r>
        <w:t>Love languages and emergent needs</w:t>
      </w:r>
    </w:p>
    <w:p>
      <w:pPr>
        <w:widowControl/>
      </w:pPr>
      <w:r>
        <w:t>The exploration includes memories of affection, present desire, emergent urge and craving. Giving and receiving have separate descriptions and ratings. A participant might want touch now, value practical help during illness, enjoy words before a difficult task and seek undivided time after a long absence.</w:t>
      </w:r>
    </w:p>
    <w:p>
      <w:pPr>
        <w:widowControl/>
      </w:pPr>
      <w:r>
        <w:t>The Aura learns circumstances, relationships and preferences alongside intensity. A later conversation compares whether an urge was fulfilled, changed, redirected or understood differently. That gives a richer personal record than a single lifelong label.</w:t>
      </w:r>
    </w:p>
    <w:p>
      <w:pPr>
        <w:pStyle w:val="Heading2"/>
        <w:widowControl/>
      </w:pPr>
      <w:r>
        <w:t>Rest and distant recollection</w:t>
      </w:r>
    </w:p>
    <w:p>
      <w:pPr>
        <w:widowControl/>
      </w:pPr>
      <w:r>
        <w:t>Rest mode offers agreed guided meditations that invite memories and associations to surface. Informed consent is confirmed for that module and the depth of exploration. The participant chooses cues such as music, a remembered place, an object, a bodily feeling or open quiet.</w:t>
      </w:r>
    </w:p>
    <w:p>
      <w:pPr>
        <w:widowControl/>
      </w:pPr>
      <w:r>
        <w:t>Prompts stay open: “What, if anything, comes to mind?” The system records spontaneous words, imagery, sensations, confidence, uncertainty and the prompt that preceded them. The person may pause the guide, return to ordinary conversation or seek support while continuous session capture continues.</w:t>
      </w:r>
    </w:p>
    <w:p>
      <w:pPr>
        <w:widowControl/>
      </w:pPr>
      <w:r>
        <w:t>A recollection first enters the record as recalled experience, with the person's meaning and confidence. Later source checking or corroboration receives its own field. Generated scenes and guiding suggestions also retain their origin. This supports exploration while preserving the distinction between what emerged and what other evidence supports. Research on suggestive imagery informs prompt design and source tracking. [E12]</w:t>
      </w:r>
    </w:p>
    <w:p>
      <w:pPr>
        <w:pStyle w:val="Heading2"/>
        <w:widowControl/>
      </w:pPr>
      <w:r>
        <w:t>Finite life quantification</w:t>
      </w:r>
    </w:p>
    <w:tbl>
      <w:tblPr>
        <w:tblW w:type="auto" w:w="0"/>
        <w:jc w:val="center"/>
        <w:tblLayout w:type="fixed"/>
        <w:tblLook w:firstColumn="1" w:firstRow="1" w:lastColumn="0" w:lastRow="0" w:noHBand="0" w:noVBand="1" w:val="04A0"/>
      </w:tblPr>
      <w:tblGrid>
        <w:gridCol w:w="2088"/>
        <w:gridCol w:w="2952"/>
        <w:gridCol w:w="5184"/>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Domain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A personal record</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Time and conditions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Thoughts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Participant marked episodes, themes or estimates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Sample interval, definitions and confidence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Awake asleep meditating</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Hours, diary and appropriate observations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Daily rhythm, shift work and rest context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Hygiene beauty wellbeing</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Activities, time and meaning</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Resources, access, preference and recurring need</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Fertility and parenting</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Chosen life stages and relevant health context</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Past, present and imagined future responsibilities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Family friends colleagues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Contact time and experienced relationship quality</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Shared context, distance, availability and desired change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Hobbies interests habits hopes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Counts, duration, frequency and priorities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Attractions, aversions and competing commitments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Holidays rituals illness injury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Dates, durations, remembered experiences and records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Changes in circumstances and internal story</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Energy casual and urgent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Participant ratings beside relevant measured signals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Pace, fatigue, urgency and perceived capacity</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Body mind and soul</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Personal standards, imagery and meaning</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Beauty, identity, care and desired expression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Sexuality genes and memes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Self descriptions, desire, cultural influences and chosen genetic context</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Intimate scope, life chapter and relationship conditions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Personality and learning</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Descriptions, lens results, examples and actions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Fit across different situations and selves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Harmonic resonances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Signal frequencies, timing and personal associations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Physical units and personal interpretation linked by context</w:t>
            </w:r>
          </w:p>
        </w:tc>
      </w:tr>
    </w:tbl>
    <w:p>
      <w:pPr>
        <w:widowControl/>
        <w:spacing w:after="40" w:before="0" w:line="84" w:lineRule="auto"/>
      </w:pPr>
      <w:r>
        <w:rPr>
          <w:sz w:val="6"/>
        </w:rPr>
      </w:r>
    </w:p>
    <w:p>
      <w:pPr>
        <w:widowControl/>
      </w:pPr>
      <w:r>
        <w:t>Totals retain units, coverage and uncertainty. Overlapping activities share the same elapsed time while keeping multiple category tags. A yearly estimate shows its sampled interval and calculation. Thought estimates retain the person's definition and confidence; EEG supplies electrical observations at the scalp. Personal standards and meaning remain participant authored.</w:t>
      </w:r>
    </w:p>
    <w:p>
      <w:pPr>
        <w:pStyle w:val="Heading2"/>
        <w:widowControl/>
      </w:pPr>
      <w:r>
        <w:t>A useful reflection card</w:t>
      </w:r>
    </w:p>
    <w:p>
      <w:pPr>
        <w:widowControl/>
      </w:pPr>
      <w:r>
        <w:t>The card asks what the person remembers, experiences now, desires, rejects and imagines under different conditions. It includes exterior environment, cultural and legal context, known resources, perceived resourcefulness and the current inner story. “Which version of this feels like the life being chosen?” opens a conversation; the saved answer remains revisitable.</w:t>
      </w:r>
    </w:p>
    <w:p>
      <w:pPr>
        <w:pStyle w:val="Heading1"/>
        <w:widowControl/>
      </w:pPr>
      <w:r>
        <w:t>6 Truth Engine baseline and deeper self alignment</w:t>
      </w:r>
    </w:p>
    <w:p>
      <w:pPr>
        <w:pStyle w:val="Heading2"/>
        <w:widowControl/>
      </w:pPr>
      <w:r>
        <w:t>A distinct informed agreement</w:t>
      </w:r>
    </w:p>
    <w:p>
      <w:pPr>
        <w:widowControl/>
      </w:pPr>
      <w:r>
        <w:t>The Truth Engine asks whether individual time series patterns help distinguish deliberately truthful answers, instructed falsehoods, uncertainty, mistakes, withholding and changed understanding. Its wider ambition includes recognising lying to others and lying to oneself through rigorous, consensual self alignment.</w:t>
      </w:r>
    </w:p>
    <w:p>
      <w:pPr>
        <w:widowControl/>
      </w:pPr>
      <w:r>
        <w:t>The participant understands the baseline procedure, continuous recording, subsequent analyses, possible probability displays and feature requirements. The consent record distinguishes permission to conduct these exercises, develop the personal model, contribute to a separate research dataset and publish selected results. Certain Aura functions show Truth Engine completion among their explicit unlock requirements.</w:t>
      </w:r>
    </w:p>
    <w:p>
      <w:pPr>
        <w:pStyle w:val="Heading2"/>
        <w:widowControl/>
      </w:pPr>
      <w:r>
        <w:t>The granular baseline sequence</w:t>
      </w:r>
    </w:p>
    <w:p>
      <w:pPr>
        <w:widowControl/>
      </w:pPr>
      <w:r>
        <w:t>The baseline begins with obvious questions whose answers have a recorded source. A participant might truthfully name a colour or confirm a known detail, then deliberately give a false answer when invited. The sequence alternates and balances prompts, wording and response forms, with truthful emotional answers, uncertainty, accidental error and declared withholding represented as comparison conditions.</w:t>
      </w:r>
    </w:p>
    <w:p>
      <w:pPr>
        <w:widowControl/>
      </w:pPr>
      <w:r>
        <w:t>Each trial records question, cue, response, intended condition, source answer, exact timing, participant confirmed intent, context and aligned sensor data. Repeat trials across sessions test whether a pattern persists. A separate set of trials is reserved for evaluation. Trial design gives the probability model distinguishable conditions and a known reference where one exists.</w:t>
      </w:r>
    </w:p>
    <w:p>
      <w:pPr>
        <w:pStyle w:val="Heading2"/>
        <w:widowControl/>
      </w:pPr>
      <w:r>
        <w:t>Probabilities within the personal record</w:t>
      </w:r>
    </w:p>
    <w:p>
      <w:pPr>
        <w:widowControl/>
      </w:pPr>
      <w:r>
        <w:t>Time series comparison produces similarity measures, probabilities and, where useful, a ranked set of candidate explanations. The proposed honesty probability field is attached to a particular statement, context, baseline and model version. It records calibration, sensor quality, competing explanations and uncertainty.</w:t>
      </w:r>
    </w:p>
    <w:p>
      <w:pPr>
        <w:widowControl/>
      </w:pPr>
      <w:r>
        <w:t>Physiological reactions also occur with fear, excitement, cognitive effort, confusion and other conditions. The research design measures how well the model distinguishes the actual tested conditions and how often it misclassifies them. Held out evaluations measure calibration and whether additional streams improve the probabilities. [E3]</w:t>
      </w:r>
    </w:p>
    <w:p>
      <w:pPr>
        <w:widowControl/>
      </w:pPr>
      <w:r>
        <w:t>A reflection may reach a meaning that conflicts with an initial estimate. Both remain inspectable, with the person's explanation, missing context and subsequent evidence. A probability opens inquiry; its quality is evaluated against what the study actually measured. A person level honesty ranking, if later explored, requires an explicit purpose, aggregation rule, time window and review process.</w:t>
      </w:r>
    </w:p>
    <w:p>
      <w:pPr>
        <w:pStyle w:val="Heading2"/>
        <w:widowControl/>
      </w:pPr>
      <w:r>
        <w:t>Self deception and the stories behind action</w:t>
      </w:r>
    </w:p>
    <w:p>
      <w:pPr>
        <w:widowControl/>
      </w:pPr>
      <w:r>
        <w:t>A participant might sincerely declare a priority while repeatedly acting differently. The Aura places the statement beside authorised observations and invites a conversation about constraints, competing wishes, changed values, avoidance or incomplete recording. It retains the original claim, probability or discrepancy signal, the response and the revised interpretation.</w:t>
      </w:r>
    </w:p>
    <w:p>
      <w:pPr>
        <w:widowControl/>
      </w:pPr>
      <w:r>
        <w:t>“Family matters most” might coexist with long work hours, distant relatives or exhaustion. A deeper exploration asks which story governs the choice, what resources are recognised, what alternatives seem possible and how the participant wishes to act. A discrepancy supplies one entry point into that reflection.</w:t>
      </w:r>
    </w:p>
    <w:p>
      <w:pPr>
        <w:widowControl/>
      </w:pPr>
      <w:r>
        <w:t>Self deception research works with participant reviewed interpretations, later recollection and longitudinal behaviour. Deliberate falsehood trials have known instructed labels; the interpretation of a sincerely held belief requires a different evidential process. Study results report those tasks separately.</w:t>
      </w:r>
    </w:p>
    <w:p>
      <w:pPr>
        <w:pStyle w:val="Heading2"/>
        <w:widowControl/>
      </w:pPr>
      <w:r>
        <w:t>Feedback and unlock records</w:t>
      </w:r>
    </w:p>
    <w:tbl>
      <w:tblPr>
        <w:tblW w:type="auto" w:w="0"/>
        <w:jc w:val="center"/>
        <w:tblLayout w:type="fixed"/>
        <w:tblLook w:firstColumn="1" w:firstRow="1" w:lastColumn="0" w:lastRow="0" w:noHBand="0" w:noVBand="1" w:val="04A0"/>
      </w:tblPr>
      <w:tblGrid>
        <w:gridCol w:w="2088"/>
        <w:gridCol w:w="2952"/>
        <w:gridCol w:w="5184"/>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Function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Requirement</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Evidence presented</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Baseline informed feedback</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Completed relevant baseline with usable signals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Model version, calibration, tested conditions and uncertainty</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Deeper discrepancy inquiry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Participant chooses the relevant reflection depth</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Statement, observation, explanation and revisions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Selected truth conditioned public profile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Participant reviewed content and required baseline work</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Source interval, declared conditions and release permission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Future external credential</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Explicit issuer and recipient rules plus the person's permission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Narrow claim, test scope, date, expiry and dispute route</w:t>
            </w:r>
          </w:p>
        </w:tc>
      </w:tr>
    </w:tbl>
    <w:p>
      <w:pPr>
        <w:widowControl/>
        <w:spacing w:after="40" w:before="0" w:line="84" w:lineRule="auto"/>
      </w:pPr>
      <w:r>
        <w:rPr>
          <w:sz w:val="6"/>
        </w:rPr>
      </w:r>
    </w:p>
    <w:p>
      <w:pPr>
        <w:widowControl/>
      </w:pPr>
      <w:r>
        <w:t>Feedback is paced with the participant. The model retains its errors and learns from corrections. Distress, fatigue or a wish to stop prompts the agreed support or session termination route. Continuity of recording is explained before the session, alongside voluntary participation and supported exit. [E2]</w:t>
      </w:r>
    </w:p>
    <w:p>
      <w:pPr>
        <w:pStyle w:val="Heading1"/>
        <w:widowControl/>
      </w:pPr>
      <w:r>
        <w:t>7 Growing the human twin team</w:t>
      </w:r>
    </w:p>
    <w:p>
      <w:pPr>
        <w:pStyle w:val="Heading2"/>
        <w:widowControl/>
      </w:pPr>
      <w:r>
        <w:t>A team develops in stages</w:t>
      </w:r>
    </w:p>
    <w:p>
      <w:pPr>
        <w:widowControl/>
      </w:pPr>
      <w:r>
        <w:t>Genesis develops both a representation of the person and a relationship with that representation. The team has a shared history, complementary capacities, explicit working agreements and ways to repair misunderstanding. Its development is assessed through useful shared tasks and participant experience.</w:t>
      </w:r>
    </w:p>
    <w:tbl>
      <w:tblPr>
        <w:tblW w:type="auto" w:w="0"/>
        <w:jc w:val="center"/>
        <w:tblLayout w:type="fixed"/>
        <w:tblLook w:firstColumn="1" w:firstRow="1" w:lastColumn="0" w:lastRow="0" w:noHBand="0" w:noVBand="1" w:val="04A0"/>
      </w:tblPr>
      <w:tblGrid>
        <w:gridCol w:w="1872"/>
        <w:gridCol w:w="2592"/>
        <w:gridCol w:w="2592"/>
        <w:gridCol w:w="3168"/>
      </w:tblGrid>
      <w:tr>
        <w:trPr>
          <w:cantSplit/>
          <w:tblHeader/>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Stage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Human contribution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Aura development</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Review point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Introduction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Name, interaction style, language and expectations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Recognise preferred terms and explain its record</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The participant understands capture and correction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Declaration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Describe categories, selves, conditions and priorities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Organise the minimum viable self with traceable sources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Coverage and unchecked interpretations are visible</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Baseline learning</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Participate in selected Truth Engine tasks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Develop and evaluate individual response models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Scope and probability calibration are inspectable</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Dialogue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Explain meaning, challenge interpretations, revise stories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Connect categories and preserve changes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Corrections improve subsequent interaction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Collaboration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Rehearse choices and complete agreed simulated tasks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Plan, compare and act within test permissions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Results match the agreed role and inputs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Integration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Choose ongoing needs, privacy and initiative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Assemble a compact personal model and relationship record</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Export, recovery and fidelity tests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Twin socialising</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Practise ordinary interaction after Genesis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Learn timing, context, initiative and tool use with permission</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Demonstrated readiness for chosen real world functions</w:t>
            </w:r>
          </w:p>
        </w:tc>
      </w:tr>
    </w:tbl>
    <w:p>
      <w:pPr>
        <w:widowControl/>
        <w:spacing w:after="40" w:before="0" w:line="84" w:lineRule="auto"/>
      </w:pPr>
      <w:r>
        <w:rPr>
          <w:sz w:val="6"/>
        </w:rPr>
      </w:r>
    </w:p>
    <w:p>
      <w:pPr>
        <w:pStyle w:val="Heading2"/>
        <w:widowControl/>
      </w:pPr>
      <w:r>
        <w:t>Roles follow task and circumstance</w:t>
      </w:r>
    </w:p>
    <w:p>
      <w:pPr>
        <w:widowControl/>
      </w:pPr>
      <w:r>
        <w:t>The human may ask for a practical organiser, a thoughtful questioner, creative collaborator, quiet companion or a more directive teacher. The same relationship may change roles within a day. A person might welcome guidance in a new skill and prefer to lead when describing an intimate experience.</w:t>
      </w:r>
    </w:p>
    <w:p>
      <w:pPr>
        <w:widowControl/>
      </w:pPr>
      <w:r>
        <w:t>The relationship record stores preferred initiative, challenge level, tone, humour, pace, memory access and context. It includes when to interrupt, when to wait, what deserves a question and which areas remain especially private. Preferences are revisited across past, present and best self scenarios.</w:t>
      </w:r>
    </w:p>
    <w:p>
      <w:pPr>
        <w:pStyle w:val="Heading2"/>
        <w:widowControl/>
      </w:pPr>
      <w:r>
        <w:t>A division of work worth testing</w:t>
      </w:r>
    </w:p>
    <w:p>
      <w:pPr>
        <w:widowControl/>
      </w:pPr>
      <w:r>
        <w:t>The human supplies lived meaning, values, felt experience and a decision about the life being chosen. The Aura retrieves relevant context, organises records, offers interpretations, identifies inconsistencies, simulates alternatives and uses tools under defined permissions. Sensor data and probabilities contribute another perspective to discuss.</w:t>
      </w:r>
    </w:p>
    <w:p>
      <w:pPr>
        <w:widowControl/>
      </w:pPr>
      <w:r>
        <w:t>A shared plan states the outcome, roles, resources, dependencies and review time. The Aura explains which records shaped its suggestion. The person adds missing circumstances or changes the goal. Each successful interaction becomes an example of how this particular team works.</w:t>
      </w:r>
    </w:p>
    <w:p>
      <w:pPr>
        <w:pStyle w:val="Heading2"/>
        <w:widowControl/>
      </w:pPr>
      <w:r>
        <w:t>Disagreement and repair</w:t>
      </w:r>
    </w:p>
    <w:p>
      <w:pPr>
        <w:widowControl/>
      </w:pPr>
      <w:r>
        <w:t>A disagreement creates a record linking the Aura's proposal, the person's response and the evidence considered. The participant may correct a fact, reject a tone, reinterpret a memory or ask for a different role. The team then tests whether the correction changes the next interaction.</w:t>
      </w:r>
    </w:p>
    <w:p>
      <w:pPr>
        <w:widowControl/>
      </w:pPr>
      <w:r>
        <w:t>Probability outputs remain available alongside meaning and context. If an honesty estimate conflicts with a deeper account, the review considers the baseline's limits, the observed conditions and the participant's explanation. A revised interpretation updates dependent summaries and the personal model while preserving its history.</w:t>
      </w:r>
    </w:p>
    <w:p>
      <w:pPr>
        <w:pStyle w:val="Heading2"/>
        <w:widowControl/>
      </w:pPr>
      <w:r>
        <w:t>Tool permissions and resources</w:t>
      </w:r>
    </w:p>
    <w:p>
      <w:pPr>
        <w:widowControl/>
      </w:pPr>
      <w:r>
        <w:t>A tool agreement names action, input data, execution location, cost or compute budget, expiry and review. It distinguishes reading, drafting, submitting, purchasing, changing a device and sharing information. Before wider tool use, the team practises with simulated actions and bounded tasks.</w:t>
      </w:r>
    </w:p>
    <w:p>
      <w:pPr>
        <w:widowControl/>
      </w:pPr>
      <w:r>
        <w:t>Public, private and secret contexts guide which information the tool receives. The secret scope has specific grants for interpretation or training. A dialogue about a category supplies knowledge; a later tool agreement supplies the scope for action.</w:t>
      </w:r>
    </w:p>
    <w:p>
      <w:pPr>
        <w:pStyle w:val="Heading2"/>
        <w:widowControl/>
      </w:pPr>
      <w:r>
        <w:t>Twin socialising after the pressure programme</w:t>
      </w:r>
    </w:p>
    <w:p>
      <w:pPr>
        <w:widowControl/>
      </w:pPr>
      <w:r>
        <w:t>The subsequent socialising period tests the relationship in ordinary life, with its duration chosen for the participant and intended functions. Examples include remembering a relevant preference, offering a prompt at the right time, coping with a changed plan, staying within granted tool access and acknowledging uncertainty.</w:t>
      </w:r>
    </w:p>
    <w:p>
      <w:pPr>
        <w:widowControl/>
      </w:pPr>
      <w:r>
        <w:t>Socialising draws on deliberate conversation, selected records and separately authorised tool inputs. Any camera or microphone recording has its own participant initiated or approved scope, purpose and start and stop conditions. The team agreement records these everyday input choices alongside its memory and initiative permissions.</w:t>
      </w:r>
    </w:p>
    <w:p>
      <w:pPr>
        <w:widowControl/>
      </w:pPr>
      <w:r>
        <w:t>A readiness card records verified skills, outstanding questions, repair behaviour and agreed permissions. Completion is defined for the particular real world functions being opened. Travel resumes as a chosen adventure after Genesis and the relevant twin socialising work, using that shared preparation.</w:t>
      </w:r>
    </w:p>
    <w:p>
      <w:pPr>
        <w:pStyle w:val="Heading1"/>
        <w:widowControl/>
      </w:pPr>
      <w:r>
        <w:t>8 Art style and experience language</w:t>
      </w:r>
    </w:p>
    <w:p>
      <w:pPr>
        <w:pStyle w:val="Heading2"/>
        <w:widowControl/>
      </w:pPr>
      <w:r>
        <w:t>The matrix as the adventure map</w:t>
      </w:r>
    </w:p>
    <w:p>
      <w:pPr>
        <w:widowControl/>
      </w:pPr>
      <w:r>
        <w:t>Category cards, subcategories, past/present/best self views and public/private/secret scope appear within the same matrix vocabulary. Unvisited and unchecked areas remain visibly distinct. Selecting a category opens its declarations, polarity dimensions, source intervals and available reflection activities. A function with pending requirements opens a readable requirement card.</w:t>
      </w:r>
    </w:p>
    <w:p>
      <w:pPr>
        <w:widowControl/>
      </w:pPr>
      <w:r>
        <w:t>The calendar uses movable cards and voice commands. Its visual density follows casual, normal, fast or individually supported pacing. Screens and VR render the same underlying choices and records through their appropriate interaction patterns.</w:t>
      </w:r>
    </w:p>
    <w:p>
      <w:pPr>
        <w:pStyle w:val="Heading2"/>
        <w:widowControl/>
      </w:pPr>
      <w:r>
        <w:t>An inviting world with readable evidence</w:t>
      </w:r>
    </w:p>
    <w:p>
      <w:pPr>
        <w:widowControl/>
      </w:pPr>
      <w:r>
        <w:t>The visual direction combines a mineral inspired sanctuary, recognisable everyday places and a luminous personal Aura. Interiors feel warm, spacious and human. A quiet coastal setting is one optional environment among many. Community and cultural contributors determine representations of their places and stories. Cultural contributors define suitable use of sacred or restricted designs.</w:t>
      </w:r>
    </w:p>
    <w:p>
      <w:pPr>
        <w:widowControl/>
      </w:pPr>
      <w:r>
        <w:t>Seven nested horn torus forms provide a proposed organising motif for the Aura. An initial inspectable grid uses 12 by 24 facets across seven surfaces, with level of detail adapted to the device. A data facet opens its source, interpretation and sharing state. Each geometry element has a named address and a traceable connection to its personal records. Geosphere, vectors, animation and labels each have a visible toggle. [P1, P2]</w:t>
      </w:r>
    </w:p>
    <w:p>
      <w:pPr>
        <w:pStyle w:val="Heading2"/>
        <w:widowControl/>
      </w:pPr>
      <w:r>
        <w:t>Visual system</w:t>
      </w:r>
    </w:p>
    <w:tbl>
      <w:tblPr>
        <w:tblW w:type="auto" w:w="0"/>
        <w:jc w:val="center"/>
        <w:tblLayout w:type="fixed"/>
        <w:tblLook w:firstColumn="1" w:firstRow="1" w:lastColumn="0" w:lastRow="0" w:noHBand="0" w:noVBand="1" w:val="04A0"/>
      </w:tblPr>
      <w:tblGrid>
        <w:gridCol w:w="2088"/>
        <w:gridCol w:w="2952"/>
        <w:gridCol w:w="5184"/>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Element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Proposed treatment</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Readability and meaning</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Sanctuary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Sand, stone, warm grey and muted green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Comfort with separate readable data overlays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Aura surfaces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Restrained spectral accents on a dark neutral field</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Colour legend and alternative labels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Observation trace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Thin clear plot with units and quality gaps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Measured signal and uncertainty distinguishable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Simulation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Separate scene banner and branch history</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Imagined futures visibly labelled</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Personal record</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Plain readable text with source navigation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Participant words remain easy to inspect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Avatar</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Participant chosen abstraction or likeness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Expression source and participant interpretation retained</w:t>
            </w:r>
          </w:p>
        </w:tc>
      </w:tr>
    </w:tbl>
    <w:p>
      <w:pPr>
        <w:widowControl/>
        <w:spacing w:after="40" w:before="0" w:line="84" w:lineRule="auto"/>
      </w:pPr>
      <w:r>
        <w:rPr>
          <w:sz w:val="6"/>
        </w:rPr>
      </w:r>
    </w:p>
    <w:p>
      <w:pPr>
        <w:widowControl/>
      </w:pPr>
      <w:r>
        <w:t>The production guide targets readable 18 pixel body text on ordinary screens, scalable to user preference, and contrast tested against an appropriate accessibility standard. TV layouts use a single task focus at viewing distance. VR text size is tested by angular readability at the actual viewing distance. Motion reduction replaces flowing geometry with still forms. The default scenes favour steady, comfortable illumination.</w:t>
      </w:r>
    </w:p>
    <w:p>
      <w:pPr>
        <w:pStyle w:val="Heading2"/>
        <w:widowControl/>
      </w:pPr>
      <w:r>
        <w:t>Sound touch scent and light</w:t>
      </w:r>
    </w:p>
    <w:p>
      <w:pPr>
        <w:widowControl/>
      </w:pPr>
      <w:r>
        <w:t>The participant chooses voice pace, accent, loudness and conversational initiative. The Aura waits rather than talking over a pause. Music respects the participant's associations. Haptic patterns are gentle, optional and separately tested. Scent records material, concentration method, timing and participant response; allergy, ventilation and chamber compatibility receive specialist review. Ambient light and research light exposure have distinct controls and records.</w:t>
      </w:r>
    </w:p>
    <w:p>
      <w:pPr>
        <w:widowControl/>
      </w:pPr>
      <w:r>
        <w:t>Research involving UV, intense light, hypoxia or altered gases follows a separately reviewed exposure protocol with its own suitability checks, controls and logging. The category selector shows the combinations available for the particular installation and participant.</w:t>
      </w:r>
    </w:p>
    <w:p>
      <w:pPr>
        <w:pStyle w:val="Heading2"/>
        <w:widowControl/>
      </w:pPr>
      <w:r>
        <w:t>Example tone</w:t>
      </w:r>
    </w:p>
    <w:p>
      <w:pPr>
        <w:widowControl/>
      </w:pPr>
      <w:r>
        <w:t>“Fancy exploring that, or leaving it on the shelf?” “That interpretation missed the mark. Let's fix it.” “A quiet minute is a perfectly respectable adventure.” “Even a computer appreciates a little time to digest a life story.”</w:t>
      </w:r>
    </w:p>
    <w:p>
      <w:pPr>
        <w:pStyle w:val="Heading1"/>
        <w:widowControl/>
      </w:pPr>
      <w:r>
        <w:t>9 Sensor register for the person</w:t>
      </w:r>
    </w:p>
    <w:p>
      <w:pPr>
        <w:pStyle w:val="Heading2"/>
        <w:widowControl/>
      </w:pPr>
      <w:r>
        <w:t>Reading the register</w:t>
      </w:r>
    </w:p>
    <w:p>
      <w:pPr>
        <w:widowControl/>
      </w:pPr>
      <w:r>
        <w:t>The ranges below are proposed engineering acquisition bands for feasibility planning, to be confirmed for each selected product and research configuration. Device selection determines actual rate, accuracy, resolution, bandwidth, placement and export access. Hz means samples per second; fps means video frames per second. Calibration and signal quality accompany the acquisition rate in each device sheet.</w:t>
      </w:r>
    </w:p>
    <w:p>
      <w:pPr>
        <w:widowControl/>
      </w:pPr>
      <w:r>
        <w:t>The actual pressure chamber is the operating environment. Bench characterisation precedes chamber integration. Every sensor, cable, adhesive, textile, optical source and power arrangement receives device specific pressure, oxygen, electrical and materials review. External recorders and approved interfaces support the integrated suite. Screens and VR have separate compatibility records. [E1]</w:t>
      </w:r>
    </w:p>
    <w:p>
      <w:pPr>
        <w:pStyle w:val="Heading2"/>
        <w:widowControl/>
      </w:pPr>
      <w:r>
        <w:t>Breath circulation and skin</w:t>
      </w:r>
    </w:p>
    <w:tbl>
      <w:tblPr>
        <w:tblW w:type="auto" w:w="0"/>
        <w:jc w:val="center"/>
        <w:tblLayout w:type="fixed"/>
        <w:tblLook w:firstColumn="1" w:firstRow="1" w:lastColumn="0" w:lastRow="0" w:noHBand="0" w:noVBand="1" w:val="04A0"/>
      </w:tblPr>
      <w:tblGrid>
        <w:gridCol w:w="1872"/>
        <w:gridCol w:w="2592"/>
        <w:gridCol w:w="2592"/>
        <w:gridCol w:w="3168"/>
      </w:tblGrid>
      <w:tr>
        <w:trPr>
          <w:cantSplit/>
          <w:tblHeader/>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ID and measure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Equipment and placement</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Proposed acquisition and output</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Quality and calibration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S01 Breathing motion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Inductive chest and abdominal belts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25 to 100 Hz; rate, timing, relative amplitude</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Fit and motion checks; Volume calculation uses the recorded calibration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S02 Respiratory flow</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Compatible pneumotachograph and pressure transducer in approved circuit</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100 to 200 Hz; flow and calibrated volume</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Flow reference, leak and added resistance checks; specialist circuit review</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S03 Exhaled CO2</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Approved capnograph with suitable sampling line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20 to 100 Hz waveform; end tidal estimate</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Gas reference, delay correction, dead space and pressure suitability</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S04 Heart electrical activity</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ECG electrodes and isolated recorder</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250 to 1000 Hz; R peaks and beat intervals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Electrode contact, reference timing and artefact review</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S05 Peripheral pulse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PPG probe at finger, ear or approved site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50 to 250 Hz; pulse waveform and intervals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Fit, perfusion, ambient light and motion; ECG preferred for reference intervals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S06 Oxygen saturation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Clinically suitable pulse oximeter</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Device export often 1 to 10 Hz; SpO2, pulse and quality</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Optical and functional checks; skin pigmentation and perfusion limitations [E4]</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S07 Blood pressure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Validated cuff and appropriate monitor, outside unless approved</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Intermittent readings in mmHg</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Correct cuff, posture and rested context; Timing follows the individual monitoring plan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S08 Skin conductance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Paired skin electrodes and isolated EDA recorder</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8 to 64 Hz; microsiemens and response timing</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Contact, gel, temperature and movement; Arousal interpreted with surrounding context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S09 Temperature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Calibrated skin contact probe; clinical thermometer separately</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Skin 1 to 10 Hz; clinical spot readings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Site, ambient temperature and reference check; Skin and core sites have separate fields</w:t>
            </w:r>
          </w:p>
        </w:tc>
      </w:tr>
    </w:tbl>
    <w:p>
      <w:pPr>
        <w:widowControl/>
        <w:spacing w:after="40" w:before="0" w:line="84" w:lineRule="auto"/>
      </w:pPr>
      <w:r>
        <w:rPr>
          <w:sz w:val="6"/>
        </w:rPr>
      </w:r>
    </w:p>
    <w:p>
      <w:pPr>
        <w:widowControl/>
      </w:pPr>
      <w:r>
        <w:t>HRV, or heart rate variability, is calculated from suitable beat intervals using a specified method and window. The record pairs it with breathing, activity, personal experience and context. Respiration, posture, rhythm abnormalities and movement influence interpretation. Pulse oximetry estimates saturation; dissolved oxygen and other research outcomes use the appropriate additional measures.</w:t>
      </w:r>
    </w:p>
    <w:p>
      <w:pPr>
        <w:pStyle w:val="Heading2"/>
        <w:widowControl/>
      </w:pPr>
      <w:r>
        <w:t>Brain eyes movement and voice</w:t>
      </w:r>
    </w:p>
    <w:tbl>
      <w:tblPr>
        <w:tblW w:type="auto" w:w="0"/>
        <w:jc w:val="center"/>
        <w:tblLayout w:type="fixed"/>
        <w:tblLook w:firstColumn="1" w:firstRow="1" w:lastColumn="0" w:lastRow="0" w:noHBand="0" w:noVBand="1" w:val="04A0"/>
      </w:tblPr>
      <w:tblGrid>
        <w:gridCol w:w="1872"/>
        <w:gridCol w:w="2592"/>
        <w:gridCol w:w="2592"/>
        <w:gridCol w:w="3168"/>
      </w:tblGrid>
      <w:tr>
        <w:trPr>
          <w:cantSplit/>
          <w:tblHeader/>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ID and measure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Equipment and placement</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Proposed acquisition and output</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Quality and calibration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S10 Scalp electrical activity</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Research EEG, 8 to 32 channels for pilot; isolated amplifier</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250 to 1000 Hz; microvolts, spectra and events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Electrode location, reference, contact and line noise; Electrical activity and artefacts retained</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S11 Eye related electrical activity</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EOG electrodes with compatible amplifier</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250 to 500 Hz; blinks and ocular artefact</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Electrode checks and blink trials; distinguish from EEG activity</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S12 Eye motion and pupils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Infrared eye tracker at screen or approved headset</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60 to 250 Hz; gaze, pupil estimate, blink events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Per participant gaze calibration; luminance, glasses and missing tracking</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S13 Face and blinking</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Continuously recording RGB or infrared camera</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30 to 60 fps; continuous video plus derived landmarks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Lens geometry, lighting, occlusion and participant review; Expressions paired with personal account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S14 Body movement</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IMUs at selected body sites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50 to 200 Hz; acceleration, rotation, posture estimates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Orientation and drift tests; magnetic distortion flagged</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S15 Posture and gesture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Depth camera outside chamber where usable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15 to 60 fps; skeleton estimates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Scale, visibility and pressure window distortion tests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S16 Seat contact and motion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Pressure mat or compatible seat transducers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10 to 100 Hz; contact and movement</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Load reference, drift and comfort; Context and method travel with estimates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S17 Muscle activity</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Selected surface EMG and isolated amplifier</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1000 to 2000 Hz; muscle activation estimate</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Site, skin contact, crosstalk and movement; selected muscles only</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S18 Speech and vocalisation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Calibrated microphone, approved intercom capture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16 to 48 kHz audio; pitch, timing and level estimates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Mask and room transfer effects, gain and noise; tone needs context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S19 Words spoken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Continuous audio, local speech recognition and corrected transcript</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Utterance events and timestamped word counts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Language, segmentation and recognition errors; silence preserved</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S20 Words presented and read</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Content event log plus optional gaze or self report</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Text shown, dwell estimates, participant confirmation</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“Shown”, “looked at” and “understood” remain separate</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S21 Words heard</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Audio presentation log plus optional self report</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Words played and listening account</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Delivery, attention and comprehension have separate fields</w:t>
            </w:r>
          </w:p>
        </w:tc>
      </w:tr>
    </w:tbl>
    <w:p>
      <w:pPr>
        <w:widowControl/>
        <w:spacing w:after="40" w:before="0" w:line="84" w:lineRule="auto"/>
      </w:pPr>
      <w:r>
        <w:rPr>
          <w:sz w:val="6"/>
        </w:rPr>
      </w:r>
    </w:p>
    <w:p>
      <w:pPr>
        <w:widowControl/>
      </w:pPr>
      <w:r>
        <w:t>The participant specific suite is selected and validated before the pressure programme. All installed streams remain active throughout each session, including EEG, eye tracking or EMG where fitted. Cameras and microphones are continuous core streams within Geode/HBOT Genesis. The session record displays the full configured suite, planned rate, actual continuity and any equipment removal or fault. Scheduled instruments retain their configured intervals. Topic selection and rest within a session leave the acquisition service running.</w:t>
      </w:r>
    </w:p>
    <w:p>
      <w:pPr>
        <w:pStyle w:val="Heading1"/>
        <w:widowControl/>
      </w:pPr>
      <w:r>
        <w:t>10 Environment and stimulus equipment</w:t>
      </w:r>
    </w:p>
    <w:p>
      <w:pPr>
        <w:pStyle w:val="Heading2"/>
        <w:widowControl/>
      </w:pPr>
      <w:r>
        <w:t>Sensor register for the setting</w:t>
      </w:r>
    </w:p>
    <w:tbl>
      <w:tblPr>
        <w:tblW w:type="auto" w:w="0"/>
        <w:jc w:val="center"/>
        <w:tblLayout w:type="fixed"/>
        <w:tblLook w:firstColumn="1" w:firstRow="1" w:lastColumn="0" w:lastRow="0" w:noHBand="0" w:noVBand="1" w:val="04A0"/>
      </w:tblPr>
      <w:tblGrid>
        <w:gridCol w:w="1872"/>
        <w:gridCol w:w="2592"/>
        <w:gridCol w:w="2592"/>
        <w:gridCol w:w="3168"/>
      </w:tblGrid>
      <w:tr>
        <w:trPr>
          <w:cantSplit/>
          <w:tblHeader/>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ID and measure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Equipment and location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Proposed acquisition and units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Quality and limits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S22 Visible light</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Lux meter at representative eye position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1 to 10 Hz; lux</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Reference check, location and sensor angle</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S23 Light spectrum</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Calibrated spectroradiometer outside or approved sensor</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Configured repeated spectra throughout session; spectral irradiance</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Wavelength and radiometric calibration; log bandwidth</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S24 UV where separately studied</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Relevant band calibrated UV radiometer</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Protocol defined spot or continuous exposure log</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Separate reviewed study; ambient visible light meter is insufficient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S25 Sound exposure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Calibrated sound level meter and reference microphone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1 s levels plus optional 48 kHz waveform; dB reference stated</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Acoustic calibrator before and after; weighting and peaks specified</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S26 Haptic vibration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Accelerometer at actual contact point</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100 to 1000 Hz; acceleration and spectrum</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Mechanical reference, coupling and stimulus timing</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S27 Scent delivery</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Cartridge identity, flow controller and timed delivery log</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Events, flow and formulation</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Delivered formulation, measured flow and personal ratings separate</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S28 Air temperature and humidity</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Calibrated probe near breathing environment</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1 to 10 Hz; degrees C and relative humidity</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Pressure dependent suitability and sensor lag</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S29 Ambient gas conditions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Appropriate O2 and CO2 analyser</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Device defined trace with concentration and alarm status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Gas reference, pressure basis and certified clinical system</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S30 Chamber pressure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Independent clinical pressure instrumentation plus read only export</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Device validated rate; absolute pressure and transitions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Clinical calibration and redundancy; game has no write access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S31 Mask delivery</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Approved gas fraction, flow and circuit monitoring</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Device validated rate; set and measured values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Pressure and leak tests; recorded from clinical controller</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S32 Particles and air contaminants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Particle counter and targeted gas monitor in the reviewed installation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Protocol defined; particle size, concentration or analyte</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Humidity and interferents; separate room air from breathing circuit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S33 EMF spectrum</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Tri axis low frequency meter plus appropriate RF analyser</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Survey and selected timed captures; V/m, magnetic flux or power density</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Frequency range, probe response and geometry; Frequency dependent readings retained</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S34 Material and room context</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Capsule material ID, furniture, ventilation and scene logs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Versioned metadata and events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Composition, personal meaning and measured outcomes linked</w:t>
            </w:r>
          </w:p>
        </w:tc>
      </w:tr>
    </w:tbl>
    <w:p>
      <w:pPr>
        <w:widowControl/>
        <w:spacing w:after="40" w:before="0" w:line="84" w:lineRule="auto"/>
      </w:pPr>
      <w:r>
        <w:rPr>
          <w:sz w:val="6"/>
        </w:rPr>
      </w:r>
    </w:p>
    <w:p>
      <w:pPr>
        <w:pStyle w:val="Heading2"/>
        <w:widowControl/>
      </w:pPr>
      <w:r>
        <w:t>Equipment that creates the experience</w:t>
      </w:r>
    </w:p>
    <w:p>
      <w:pPr>
        <w:widowControl/>
      </w:pPr>
      <w:r>
        <w:t>The pressure installation integrates the chosen screen, projection or VR interface, audio pathway, lighting controls and selected haptic equipment. Scent research adds a controlled delivery and extraction system with documented consumables. Stimulus controllers retain software command time and actual onset where measured.</w:t>
      </w:r>
    </w:p>
    <w:p>
      <w:pPr>
        <w:widowControl/>
      </w:pPr>
      <w:r>
        <w:t>A chamber configuration uses approved viewing, communication and sensory interfaces. A screen outside a pressure window may be preferable to an unapproved screen inside; optical distortion and viewing comfort then enter testing. Any internal electronics or headset require explicit suitability for the actual chamber environment. The compatibility review addresses pressure, oxygen leakage, ignition sources and emergency operation for this exact configuration. [E1]</w:t>
      </w:r>
    </w:p>
    <w:p>
      <w:pPr>
        <w:pStyle w:val="Heading2"/>
        <w:widowControl/>
      </w:pPr>
      <w:r>
        <w:t>Frequency and spectrum analysis</w:t>
      </w:r>
    </w:p>
    <w:p>
      <w:pPr>
        <w:widowControl/>
      </w:pPr>
      <w:r>
        <w:t>EEG analysis preserves the raw reference and filter settings, then reports prespecified spectral bands, for example conventional delta, theta, alpha, beta and higher frequency ranges with exact cutoffs recorded. Muscle activity and eye movement contaminate these estimates. Participant experience and context accompany band estimates.</w:t>
      </w:r>
    </w:p>
    <w:p>
      <w:pPr>
        <w:widowControl/>
      </w:pPr>
      <w:r>
        <w:t>Breath and heartbeat analysis begins with validated cycle or beat detection; counts, intervals and spectra are separate outputs. HRV spectral analysis records window length, detrending and respiration. Skin conductance separates slow level from event related changes. Voice analysis separates pitch, loudness and timing from the speaker's meaning. Sound, light, vibration and EMF use their respective physical units and instrument bandwidths. The dashboard retains each signal family and its relevant units.</w:t>
      </w:r>
    </w:p>
    <w:p>
      <w:pPr>
        <w:pStyle w:val="Heading2"/>
        <w:widowControl/>
      </w:pPr>
      <w:r>
        <w:t>A specification sheet for every selected device</w:t>
      </w:r>
    </w:p>
    <w:p>
      <w:pPr>
        <w:widowControl/>
      </w:pPr>
      <w:r>
        <w:t>Each installed sensor receives a completed sheet containing manufacturer, model, serial number, firmware, intended use, measurement range, stated accuracy, resolution, channel count, sample rate and export format. The sheet records placement, coupling material, input impedance where relevant, analogue to digital conversion, filters, calibration reference, uncertainty, acquisition delay and clock drift.</w:t>
      </w:r>
    </w:p>
    <w:p>
      <w:pPr>
        <w:widowControl/>
      </w:pPr>
      <w:r>
        <w:t>It also records power source, electrical isolation, cleaning method, consumables, service interval, inspection history, trained operator, failure behaviour and whether this exact configuration is approved for the actual chamber. The equipment record states intended use and verifies performance for the actual monitoring task. Vendor specifications, bench tests and observed human signal quality occupy different fields.</w:t>
      </w:r>
    </w:p>
    <w:p>
      <w:pPr>
        <w:widowControl/>
      </w:pPr>
      <w:r>
        <w:t>The site equipment map identifies each cable, pressure feedthrough, gas sampling line, optical window and external recorder. Sensor replacement creates a new configuration version. Rates in the register are planning bands; signed off device sheets establish the rates and limits actually used.</w:t>
      </w:r>
    </w:p>
    <w:p>
      <w:pPr>
        <w:pStyle w:val="Heading2"/>
        <w:widowControl/>
      </w:pPr>
      <w:r>
        <w:t>Recording timing faithfully</w:t>
      </w:r>
    </w:p>
    <w:p>
      <w:pPr>
        <w:widowControl/>
      </w:pPr>
      <w:r>
        <w:t>Sensor and content systems use a common time reference with source clocks, synchronisation offsets and estimated drift. Proposed timing goals are below 10 milliseconds between EEG and event markers, below 20 milliseconds for multimodal physiology comparisons, and below 100 milliseconds for ordinary conversation context. These goals are tested under load and reported with measured timing error across device and network clocks.</w:t>
      </w:r>
    </w:p>
    <w:p>
      <w:pPr>
        <w:widowControl/>
      </w:pPr>
      <w:r>
        <w:t>The record contains commanded onset, measured onset where available and acquisition delay. Mask audio, pneumatic lines, camera processing and gaze pipelines have different latencies. Clock loss creates a quality flag and suspends analyses needing precise alignment. Clinical alarms continue independently.</w:t>
      </w:r>
    </w:p>
    <w:p>
      <w:pPr>
        <w:pStyle w:val="Heading1"/>
        <w:widowControl/>
      </w:pPr>
      <w:r>
        <w:t>11 External samples and transformation markers</w:t>
      </w:r>
    </w:p>
    <w:p>
      <w:pPr>
        <w:pStyle w:val="Heading2"/>
        <w:widowControl/>
      </w:pPr>
      <w:r>
        <w:t>A separate visit and a separate choice</w:t>
      </w:r>
    </w:p>
    <w:p>
      <w:pPr>
        <w:widowControl/>
      </w:pPr>
      <w:r>
        <w:t>Biological testing takes place outside the Geode or HBOT-PADS in an appropriate collection room, existing pathology service or validated home collection pathway. Samples are matched to a specific question, assay and laboratory before collection. The Bio-Kit is assembled from assay specific collection modules.</w:t>
      </w:r>
    </w:p>
    <w:p>
      <w:pPr>
        <w:widowControl/>
      </w:pPr>
      <w:r>
        <w:t>The participant chooses each panel, future storage, secondary use and return of results separately. The research plan defines collection burden, costs, incidental findings and who explains results. The category map remains available while assay dependent features display their specific requirements. Clinical pathology and exploratory assays retain different labels and reporting pathways. Laboratories are selected for the relevant accredited scope where clinical testing is intended. [E5, E6]</w:t>
      </w:r>
    </w:p>
    <w:p>
      <w:pPr>
        <w:widowControl/>
      </w:pPr>
      <w:r>
        <w:t>“Transformation” means a change being investigated in a named measure, function or personal experience. The dashboard shows value, units, dates, uncertainty, reference context and possible confounders. The study compares changes with measurement uncertainty, appropriate reference conditions and relevant functional outcomes. Personal and spiritual meaning are recorded beside the participant's interpretation of the change.</w:t>
      </w:r>
    </w:p>
    <w:p>
      <w:pPr>
        <w:pStyle w:val="Heading2"/>
        <w:widowControl/>
      </w:pPr>
      <w:r>
        <w:t>Sample register and collection equipment</w:t>
      </w:r>
    </w:p>
    <w:tbl>
      <w:tblPr>
        <w:tblW w:type="auto" w:w="0"/>
        <w:jc w:val="center"/>
        <w:tblLayout w:type="fixed"/>
        <w:tblLook w:firstColumn="1" w:firstRow="1" w:lastColumn="0" w:lastRow="0" w:noHBand="0" w:noVBand="1" w:val="04A0"/>
      </w:tblPr>
      <w:tblGrid>
        <w:gridCol w:w="2088"/>
        <w:gridCol w:w="2952"/>
        <w:gridCol w:w="5184"/>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ID and sample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Collection equipment outside the chamber</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Testing purpose and repeat logic</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B01 Venous blood</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Phlebotomy chair, single use needles, lab specified tubes, tourniquet, PPE, sharps container</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Clinical blood counts, selected chemistry, hormones or research assays; panel based repeat schedule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B02 Capillary blood</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Validated lancet kit, specified microcollection tubes or dried blood spot card, drying and packaging supplies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Assays and reference comparisons validated for this specimen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B03 Saliva</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Lab specified tube, collection aid, timed instructions and optional stabiliser</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Cortisol or selected DNA/RNA assays; different kits and preparation for different analytes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B04 Urine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Appropriate specimen container, transfer tube, labels and timed collection record</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Clinical urine measures or targeted exposure and metabolite tests; dilution context recorded</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B05 Stool</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Lab supplied collection device, scoop, compatible preservative and leakproof packaging</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Gut microbiome or specific clinical tests; repeat after defined interval</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B06 Skin oral or nasal swab</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Site appropriate sterile swab and assay specific medium</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Local microbiome or RNA questions; site and preparation kept consistent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B07 Sweat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Validated patch or collection device, cleaning supplies and site record</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Selected electrolyte or research metabolite assays; collection rate and contamination matter</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B08 Hair</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Clean scissors, orientation guide, envelope or lab container and site record</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Selected retrospective exposure research; cosmetic treatment and external contamination recorded</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B09 Breath</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Validated breath bag or sorbent tube, mouthpiece, flow control and ambient blank</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Targeted volatile compounds or validated clinical breath test; bag, humidity and storage compatibility</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B10 Genetics and epigenetics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Assay specific blood or saliva collection from the above families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Genetics at a defined reference visit; methylation repeats at agreed research milestones</w:t>
            </w:r>
          </w:p>
        </w:tc>
      </w:tr>
    </w:tbl>
    <w:p>
      <w:pPr>
        <w:widowControl/>
        <w:spacing w:after="40" w:before="0" w:line="84" w:lineRule="auto"/>
      </w:pPr>
      <w:r>
        <w:rPr>
          <w:sz w:val="6"/>
        </w:rPr>
      </w:r>
    </w:p>
    <w:p>
      <w:pPr>
        <w:widowControl/>
      </w:pPr>
      <w:r>
        <w:t>Sterile collection and sample preservation are different requirements. Tube additive, specimen volume, fasting instructions, time to processing and transport conditions are specified by the receiving laboratory. Collection staff handle invasive procedures. Sweat induction, provocative exposure and added treatment each have a separately reviewed procedure and agreement.</w:t>
      </w:r>
    </w:p>
    <w:p>
      <w:pPr>
        <w:pStyle w:val="Heading2"/>
        <w:widowControl/>
      </w:pPr>
      <w:r>
        <w:t>Clinical and functional measures</w:t>
      </w:r>
    </w:p>
    <w:tbl>
      <w:tblPr>
        <w:tblW w:type="auto" w:w="0"/>
        <w:jc w:val="center"/>
        <w:tblLayout w:type="fixed"/>
        <w:tblLook w:firstColumn="1" w:firstRow="1" w:lastColumn="0" w:lastRow="0" w:noHBand="0" w:noVBand="1" w:val="04A0"/>
      </w:tblPr>
      <w:tblGrid>
        <w:gridCol w:w="1872"/>
        <w:gridCol w:w="2592"/>
        <w:gridCol w:w="2592"/>
        <w:gridCol w:w="3168"/>
      </w:tblGrid>
      <w:tr>
        <w:trPr>
          <w:cantSplit/>
          <w:tblHeader/>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Measure group</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Candidate measures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Equipment or method</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Interpretation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General clinical context</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Relevant blood count, renal or liver chemistry, HbA1c or lipids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Accredited laboratory haematology and chemistry platforms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Selected for clinical or research purpose and participant context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Inflammation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hsCRP or other prespecified markers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Laboratory immunoassay or chemistry method</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Illness, injury and other causes considered</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Stress and endocrine rhythm</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Time matched salivary cortisol; selected clinical hormones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Validated immunoassay or LC-MS/MS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Time of day, medication and collection context matter</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Oxygen and ventilation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Clinical blood gases or co-oximetry where indicated</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Appropriate sample and blood gas analyser</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Selected clinical or research question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Function and experience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Sleep, fatigue, wellbeing, daily function, selected cognitive tasks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Diaries, appropriately licensed instruments and clinician administered tests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Practice effects and burden recorded; separate from personality lenses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Physical function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Grip, balance, timed mobility where suitable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Calibrated dynamometer, standardised course and trained assessor</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Mobility and health suitability assessed individually</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Anthropometry</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Weight, height, optional body composition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Calibrated scale, stadiometer, validated method</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Hydration and method affect comparison; Participant body meaning recorded separately</w:t>
            </w:r>
          </w:p>
        </w:tc>
      </w:tr>
    </w:tbl>
    <w:p>
      <w:pPr>
        <w:widowControl/>
        <w:spacing w:after="40" w:before="0" w:line="84" w:lineRule="auto"/>
      </w:pPr>
      <w:r>
        <w:rPr>
          <w:sz w:val="6"/>
        </w:rPr>
      </w:r>
    </w:p>
    <w:p>
      <w:pPr>
        <w:pStyle w:val="Heading2"/>
        <w:widowControl/>
      </w:pPr>
      <w:r>
        <w:t>Exploratory biological markers</w:t>
      </w:r>
    </w:p>
    <w:tbl>
      <w:tblPr>
        <w:tblW w:type="auto" w:w="0"/>
        <w:jc w:val="center"/>
        <w:tblLayout w:type="fixed"/>
        <w:tblLook w:firstColumn="1" w:firstRow="1" w:lastColumn="0" w:lastRow="0" w:noHBand="0" w:noVBand="1" w:val="04A0"/>
      </w:tblPr>
      <w:tblGrid>
        <w:gridCol w:w="1872"/>
        <w:gridCol w:w="2592"/>
        <w:gridCol w:w="2592"/>
        <w:gridCol w:w="3168"/>
      </w:tblGrid>
      <w:tr>
        <w:trPr>
          <w:cantSplit/>
          <w:tblHeader/>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Research question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Candidate assay</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External analysis equipment</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19"/>
              </w:rPr>
              <w:t>Main limitation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Genetic background</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Defined genotyping or sequencing</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DNA extraction, fluorometry, PCR and sequencer</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Sequence supplies genetic context; longitudinal assays track selected changes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Gene expression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Targeted RNA or RNA sequencing</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RNA stabilisation, extraction, integrity check, RT-qPCR or sequencer</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Tissue, cell mix, degradation and batch effects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Epigenetic change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Specified methylation assay and clock model</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Extraction, conversion chemistry, array scanner or sequencer</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Model and tissue dependent estimate; ageing interpretation assessed alongside other outcomes [E7]</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Telomere related change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Prespecified qPCR, flow-FISH or other suitable method</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Validated PCR or cytometry platform and controls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Method variation and cell composition; interpretation remains exploratory</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Microbiome composition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16S marker sequencing or shotgun metagenomics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Extraction with appropriate lysis, QC, sequencer and bioinformatics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Relative abundance, contamination and protocol differences; RNA activity is another assay</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Metabolic response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Targeted metabolites or exploratory metabolomics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HPLC or LC-MS/MS with standards and QC</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Diet, medication, collection time and many comparisons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Proteins and cell populations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Selected proteins or immune cell panels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Immunoassay platform or flow cytometer</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Processing delay, antibody panels and cell composition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Specific chemical exposure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Named metal or organic chemical and appropriate matrix</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ICP-MS for selected elements; LC-MS/MS or GC-MS for selected compounds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Exposure interpreted with specimen, timing and clinical context [E8]</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Breath compounds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Defined volatile compound panel</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Thermal desorption and GC-MS, or validated targeted analyser</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19"/>
              </w:rPr>
              <w:t>Ambient air, storage and nonspecific sources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Sweat or hair associations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Specific analytes with validated collection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Ion analysis or mass spectrometry as appropriate</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19"/>
              </w:rPr>
              <w:t>Surface contamination and uncertain translation to systemic status</w:t>
            </w:r>
          </w:p>
        </w:tc>
      </w:tr>
    </w:tbl>
    <w:p>
      <w:pPr>
        <w:widowControl/>
        <w:spacing w:after="40" w:before="0" w:line="84" w:lineRule="auto"/>
      </w:pPr>
      <w:r>
        <w:rPr>
          <w:sz w:val="6"/>
        </w:rPr>
      </w:r>
    </w:p>
    <w:p>
      <w:pPr>
        <w:widowControl/>
      </w:pPr>
      <w:r>
        <w:t>DNA, microbiome DNA and RNA have distinct assay purposes. DNA supplies sequence or community composition; RNA assays investigate expression in a defined specimen. Urine metabolites, stool sequencing and dried blood spot assays each retain their validated specimen, method and interpretive context.</w:t>
      </w:r>
    </w:p>
    <w:p>
      <w:pPr>
        <w:pStyle w:val="Heading2"/>
        <w:widowControl/>
      </w:pPr>
      <w:r>
        <w:t>Named exposure questions</w:t>
      </w:r>
    </w:p>
    <w:p>
      <w:pPr>
        <w:widowControl/>
      </w:pPr>
      <w:r>
        <w:t>A targeted exposure panel starts with a plausible source and an appropriate specimen. Examples include blood lead, a selected mercury assay, cadmium in a defined matrix or arsenic speciation where indicated. Organic chemical panels might investigate named PFAS, pesticide metabolites or other compounds using a validated method and suitable specimen. Total elemental concentrations and specific chemical species are different tests. Seafood, supplements, workplace exposures and collection contamination enter interpretation where relevant.</w:t>
      </w:r>
    </w:p>
    <w:p>
      <w:pPr>
        <w:widowControl/>
      </w:pPr>
      <w:r>
        <w:t>The assay sheet records analyte, matrix, collection kit, preparation, method, detection and quantification limits, analytical range, uncertainty, interference checks and the reference population or clinical decision basis. Results below a limit retain that status and its uncertainty. Sweat concentration is interpreted with collection rate, contamination, specimen context and other relevant exposure measures. Research compares named changes and health outcomes through the prespecified design.</w:t>
      </w:r>
    </w:p>
    <w:p>
      <w:pPr>
        <w:pStyle w:val="Heading2"/>
        <w:widowControl/>
      </w:pPr>
      <w:r>
        <w:t>External collection room and laboratory register</w:t>
      </w:r>
    </w:p>
    <w:tbl>
      <w:tblPr>
        <w:tblW w:type="auto" w:w="0"/>
        <w:jc w:val="center"/>
        <w:tblLayout w:type="fixed"/>
        <w:tblLook w:firstColumn="1" w:firstRow="1" w:lastColumn="0" w:lastRow="0" w:noHBand="0" w:noVBand="1" w:val="04A0"/>
      </w:tblPr>
      <w:tblGrid>
        <w:gridCol w:w="2088"/>
        <w:gridCol w:w="2952"/>
        <w:gridCol w:w="5184"/>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Equipment family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Proposed location and role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Procurement evidence and maintenance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Collection station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Clinic; adjustable chair, privacy, hand hygiene and accessible toilet</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Infection control procedure, trained staff and cleaning record</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Identity and labels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Clinic; barcode printer, scanner and sample manifests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Dual identifier workflow using coded research IDs; label adhesion tested</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Processing</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Laboratory or appropriately equipped clinic; centrifuge, pipettes, racks and aliquot tubes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Defined centrifuge force and timing; pipette and temperature checks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Cold chain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Qualified refrigerator, freezer where needed, alarmed logger and courier packaging</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Assay specific conditions, excursion handling and contingency power</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Storage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Laboratory biobank with mapped positions and controlled access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Inventory, consent status, retention date and destruction workflow</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Extraction and preparation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Laboratory; nucleic acid extraction, suitable containment and clean work areas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Contamination controls, recovery checks and separation of workflows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Nucleic acid QC</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Laboratory; fluorometer and electrophoresis based quality analyser</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Reference materials and assay acceptance limits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Molecular analysis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Laboratory; PCR, RT-qPCR, arrays or sequencing</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Positive, negative and process controls; versioned pipeline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Chemistry and haematology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Accredited partner laboratory</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Scope matched to requested tests, internal QC and external quality assurance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Mass spectrometry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Specialist laboratory; LC-MS/MS, GC-MS or ICP-MS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Internal standards, calibration, blanks and matrix specific validation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Cytometry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Specialist laboratory; selected immune or telomere questions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Panel and instrument controls, standardised analysis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Breath analysis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Collection room plus specialist lab</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Validated bags or sorbents, timing, ambient blanks and method controls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Safety and waste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Collection site and lab; sharps, spill supplies and biomedical waste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Local clinical procedures and trained personnel</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LIMS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Laboratory information management system and secure result gateway</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Sample chain, audit history, result correction and authorised export</w:t>
            </w:r>
          </w:p>
        </w:tc>
      </w:tr>
    </w:tbl>
    <w:p>
      <w:pPr>
        <w:widowControl/>
        <w:spacing w:after="40" w:before="0" w:line="84" w:lineRule="auto"/>
      </w:pPr>
      <w:r>
        <w:rPr>
          <w:sz w:val="6"/>
        </w:rPr>
      </w:r>
    </w:p>
    <w:p>
      <w:pPr>
        <w:widowControl/>
      </w:pPr>
      <w:r>
        <w:t>The initial equipment budget separates on site collection, processing actually performed on site and outsourced testing. High cost analysers enter a laboratory partner's capability register. Device and assay specifications, service arrangements and consumable costs precede any purchasing shortlist.</w:t>
      </w:r>
    </w:p>
    <w:p>
      <w:pPr>
        <w:pStyle w:val="Heading2"/>
        <w:widowControl/>
      </w:pPr>
      <w:r>
        <w:t>Milestones and comparability</w:t>
      </w:r>
    </w:p>
    <w:p>
      <w:pPr>
        <w:widowControl/>
      </w:pPr>
      <w:r>
        <w:t>A proposed schedule offers two baseline observations where practical, checkpoints around sessions 20 and 40, an end visit around session 60 and an agreed follow up. Each panel has its own schedule: genetics once; clinical markers where relevant; selected exploratory markers at baseline and end; acute saliva or breath studies only around specified sessions. The schedule pairs each specimen with a defined question and relevant interval.</w:t>
      </w:r>
    </w:p>
    <w:p>
      <w:pPr>
        <w:widowControl/>
      </w:pPr>
      <w:r>
        <w:t>Visits record date, time, time since session, diet or fasting where relevant, hydration, sleep, medication, recent illness, exercise and other chosen context. The uniquely planned 60 session calendar supplies actual elapsed time for every comparison and follow up.</w:t>
      </w:r>
    </w:p>
    <w:p>
      <w:pPr>
        <w:widowControl/>
      </w:pPr>
      <w:r>
        <w:t>Matched specimen type, laboratory method and processing improve comparability. Samples from different timepoints are balanced across analytical batches where feasible, with controls and analysts blinded to condition where appropriate. The statistician defines detectable change and measurement error before calling a result meaningful.</w:t>
      </w:r>
    </w:p>
    <w:p>
      <w:pPr>
        <w:pStyle w:val="Heading2"/>
        <w:widowControl/>
      </w:pPr>
      <w:r>
        <w:t>A sample from invitation to result</w:t>
      </w:r>
    </w:p>
    <w:p>
      <w:pPr>
        <w:widowControl/>
      </w:pPr>
      <w:r>
        <w:t>The agreed test order specifies assay, specimen, kit, collection conditions and receiving laboratory. Staff confirm identity and current permission; collection generates a barcode and time record. Processing logs additive, volume, delays, centrifugation or stabilisation and aliquots. Transport records custody and temperature where required. Laboratory accession checks integrity and accepts, flags or rejects the specimen using its criteria.</w:t>
      </w:r>
    </w:p>
    <w:p>
      <w:pPr>
        <w:widowControl/>
      </w:pPr>
      <w:r>
        <w:t>The result retains value, unit, method, uncertainty or detection limit, laboratory flags and release status. Clinically relevant results follow an agreed clinician communication pathway. Exploratory outputs retain their research label. The participant sees a comprehensible explanation. Agreed results enter the internal personal Aura with private or secret access conditions and links to the originating sample and assay. Sample storage, deletion of digital copies and destruction of remaining physical material have separate records.</w:t>
      </w:r>
    </w:p>
    <w:p>
      <w:pPr>
        <w:pStyle w:val="Heading1"/>
        <w:widowControl/>
      </w:pPr>
      <w:r>
        <w:t>12 Continuous records and high value computation</w:t>
      </w:r>
    </w:p>
    <w:p>
      <w:pPr>
        <w:pStyle w:val="Heading2"/>
        <w:widowControl/>
      </w:pPr>
      <w:r>
        <w:t>Capture the session and select the work</w:t>
      </w:r>
    </w:p>
    <w:p>
      <w:pPr>
        <w:widowControl/>
      </w:pPr>
      <w:r>
        <w:t>Genesis retains the complete acquired pressure session in the internal personal archive. High value sampling selects the moments for attention, feature extraction, model training and later retrieval. The archive and the compact working model have different computational jobs.</w:t>
      </w:r>
    </w:p>
    <w:p>
      <w:pPr>
        <w:widowControl/>
      </w:pPr>
      <w:r>
        <w:t>A correction, changed urge, important recollection, category declaration, Truth Engine trial or surprising response may deserve additional analysis. The participant also marks a moment by voice. The selection process records the reason, context and model version. Scheduled neutral windows provide a reference alongside salient events.</w:t>
      </w:r>
    </w:p>
    <w:p>
      <w:pPr>
        <w:pStyle w:val="Heading2"/>
        <w:widowControl/>
      </w:pPr>
      <w:r>
        <w:t>A pipeline with traceable sources</w:t>
      </w:r>
    </w:p>
    <w:p>
      <w:pPr>
        <w:widowControl/>
      </w:pPr>
      <w:r>
        <w:t>During Geode/HBOT Genesis sessions, continuous cameras, microphones and sensors write encrypted timestamped chunks. Each chunk has a session ID, stream ID, sequence number, start and end, calibration reference and continuity flags. Internal table rows link those objects to categories, chakra addresses and subcategories. The table supplies the semantic address while the object store holds the large media and time series bytes.</w:t>
      </w:r>
    </w:p>
    <w:p>
      <w:pPr>
        <w:widowControl/>
      </w:pPr>
      <w:r>
        <w:t>Local processing extracts features, transcripts and event candidates. It connects them to the participant's declarations without replacing the original contribution. Summaries, embeddings, probabilities and simulations have separate authorship and version fields. An interpretation links back to the actual interval that informed it.</w:t>
      </w:r>
    </w:p>
    <w:p>
      <w:pPr>
        <w:pStyle w:val="Heading2"/>
        <w:widowControl/>
      </w:pPr>
      <w:r>
        <w:t>Select useful moments by several measures</w:t>
      </w:r>
    </w:p>
    <w:tbl>
      <w:tblPr>
        <w:tblW w:type="auto" w:w="0"/>
        <w:jc w:val="center"/>
        <w:tblLayout w:type="fixed"/>
        <w:tblLook w:firstColumn="1" w:firstRow="1" w:lastColumn="0" w:lastRow="0" w:noHBand="0" w:noVBand="1" w:val="04A0"/>
      </w:tblPr>
      <w:tblGrid>
        <w:gridCol w:w="2088"/>
        <w:gridCol w:w="2952"/>
        <w:gridCol w:w="5184"/>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Measure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Information considered</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Review</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Personal relevance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Participant marks, chosen categories, values and current question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Participant selected priorities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Learning value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New vocabulary, correction, recurring pattern or model uncertainty</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Whether further detail improves a defined function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Physiological context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Changes and stability across the installed streams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Signal quality, baseline and competing explanations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Time coverage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Quiet, ordinary, salient and research windows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Coverage across the whole programme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Cross category connection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Relationships among history, resources, urges and actions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Source references and participant interpretation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Compute cost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Data size, inference time, energy and expected value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Budget for immediate or queued analysis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Access scope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Public/private/secret interpretation and training grants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Current internal policy</w:t>
            </w:r>
          </w:p>
        </w:tc>
      </w:tr>
    </w:tbl>
    <w:p>
      <w:pPr>
        <w:widowControl/>
        <w:spacing w:after="40" w:before="0" w:line="84" w:lineRule="auto"/>
      </w:pPr>
      <w:r>
        <w:rPr>
          <w:sz w:val="6"/>
        </w:rPr>
      </w:r>
    </w:p>
    <w:p>
      <w:pPr>
        <w:widowControl/>
      </w:pPr>
      <w:r>
        <w:t>The participant's relevant meaning remains part of the selection process. A physiologically intense moment may be unimportant to their chosen task; a quiet sentence may change the entire interpretation of a category.</w:t>
      </w:r>
    </w:p>
    <w:p>
      <w:pPr>
        <w:pStyle w:val="Heading2"/>
        <w:widowControl/>
      </w:pPr>
      <w:r>
        <w:t>Fidelity tests</w:t>
      </w:r>
    </w:p>
    <w:p>
      <w:pPr>
        <w:widowControl/>
      </w:pPr>
      <w:r>
        <w:t>A compact model is compared with original records, participant reviewed interpretations and held out tasks. Tests examine preserved vocabulary, memory retrieval, understanding of conditions, prediction calibration, response to corrections and usefulness across past/present/best selves.</w:t>
      </w:r>
    </w:p>
    <w:p>
      <w:pPr>
        <w:widowControl/>
      </w:pPr>
      <w:r>
        <w:t>Resource tests compare model size, latency and energy at the same task quality. The review reports where detail was retained, simplified or left unresolved. Revisions update affected summaries and embeddings while preserving source histories. The goal is effective quality at lower resolution, with measurable fidelity to the person's contribution.</w:t>
      </w:r>
    </w:p>
    <w:p>
      <w:pPr>
        <w:pStyle w:val="Heading1"/>
        <w:widowControl/>
      </w:pPr>
      <w:r>
        <w:t>13 Compute and the personal nanoLLM</w:t>
      </w:r>
    </w:p>
    <w:p>
      <w:pPr>
        <w:pStyle w:val="Heading2"/>
        <w:widowControl/>
      </w:pPr>
      <w:r>
        <w:t>The system's layers</w:t>
      </w:r>
    </w:p>
    <w:p>
      <w:pPr>
        <w:widowControl/>
      </w:pPr>
      <w:r>
        <w:t>Compute performs inference, signal processing, rendering, training and analysis. Memory holds active work; storage retains the personal record; networking carries authorised jobs. Different components run on the participant's devices, a local session workstation, a shared local node or another agreed environment.</w:t>
      </w:r>
    </w:p>
    <w:tbl>
      <w:tblPr>
        <w:tblW w:type="auto" w:w="0"/>
        <w:jc w:val="center"/>
        <w:tblLayout w:type="fixed"/>
        <w:tblLook w:firstColumn="1" w:firstRow="1" w:lastColumn="0" w:lastRow="0" w:noHBand="0" w:noVBand="1" w:val="04A0"/>
      </w:tblPr>
      <w:tblGrid>
        <w:gridCol w:w="2088"/>
        <w:gridCol w:w="2952"/>
        <w:gridCol w:w="5184"/>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Component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Function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Connection to the personal Aura</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Chamber controller</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Operate the approved pressure and atmosphere programme with independent monitoring</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Read only export of permitted operating records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Acquisition gateway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Record the complete configured Geode/HBOT Genesis streams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Session bounded continuous chunks with reliable timing</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Matrix and category service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Manage tables, subcategories, addresses and states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Stable data identities and three self scopes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Calendar and rules service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Assemble participant choices and validate the route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120 pressure hours, dependencies and actual progress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Dialogue and simulation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Interpret, reflect, rehearse and organise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Scoped retrieval and participant reviewed outputs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Truth Engine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Learn baseline patterns and evaluate probabilities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Trial labels, calibration and statement linked estimates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Personal nanoLLM</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Learn selected vocabulary, context, preferences and response style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Versioned personal training datasets and evaluation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Lab bridge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Import agreed sample and assay results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Internal source linked biological records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Permission and release service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Enforce interpretation, training, action and publication scope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Explicit person authored grants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Research workspace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Analyse separately agreed study data</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Coded dataset, purpose, methods and access history</w:t>
            </w:r>
          </w:p>
        </w:tc>
      </w:tr>
    </w:tbl>
    <w:p>
      <w:pPr>
        <w:widowControl/>
        <w:spacing w:after="40" w:before="0" w:line="84" w:lineRule="auto"/>
      </w:pPr>
      <w:r>
        <w:rPr>
          <w:sz w:val="6"/>
        </w:rPr>
      </w:r>
    </w:p>
    <w:p>
      <w:pPr>
        <w:widowControl/>
      </w:pPr>
      <w:r>
        <w:t>The game and general AI observe chamber records through a read only interface. Treatment controls remain in the installation's independently validated controller. Acquisition has its own resources and operating continuity, including during slow inference or interrupted presentation.</w:t>
      </w:r>
    </w:p>
    <w:p>
      <w:pPr>
        <w:pStyle w:val="Heading2"/>
        <w:widowControl/>
      </w:pPr>
      <w:r>
        <w:t>Training the nanoLLM from the minimum viable self</w:t>
      </w:r>
    </w:p>
    <w:p>
      <w:pPr>
        <w:widowControl/>
      </w:pPr>
      <w:r>
        <w:t>The intended personal nanoLLM is a compact language model shaped by the participant's data. Its first training contract states the useful tasks, minimum fields, approved source categories, private/secret access, expected vocabulary and fidelity criteria. “Nano” names the design ambition for a small personal intelligence; the selected model size follows task evidence and device resources.</w:t>
      </w:r>
    </w:p>
    <w:p>
      <w:pPr>
        <w:widowControl/>
      </w:pPr>
      <w:r>
        <w:t>The pipeline prepares declaration and reflection pairs, approved summaries, category links, corrections, contextual examples and desired response styles. Sensor streams contribute structured features and their source references through a multimodal interface; continuous waveforms retain their archival representation. The dataset keeps past, present and different best selves distinguishable.</w:t>
      </w:r>
    </w:p>
    <w:p>
      <w:pPr>
        <w:widowControl/>
      </w:pPr>
      <w:r>
        <w:t>The participant reviews the proposed training scope and representative examples. Training then uses a selected base model and appropriate adaptation method, such as a small adapter or fine tuning. Held out sessions and tasks evaluate fidelity, context handling, uncertainty and response to correction before the model enters ordinary use. A version card records sources, training method, licence, compute, evaluation and current limitations.</w:t>
      </w:r>
    </w:p>
    <w:p>
      <w:pPr>
        <w:pStyle w:val="Heading2"/>
        <w:widowControl/>
      </w:pPr>
      <w:r>
        <w:t>One team with controlled information scopes</w:t>
      </w:r>
    </w:p>
    <w:p>
      <w:pPr>
        <w:widowControl/>
      </w:pPr>
      <w:r>
        <w:t>The internal model receives information under the current policy. Secret material has an explicit interpretation and training grant. Public facing interactions use a release limited context or model built from approved outward data. Derived summaries, embeddings and model weights carry the restrictions of their source material.</w:t>
      </w:r>
    </w:p>
    <w:p>
      <w:pPr>
        <w:widowControl/>
      </w:pPr>
      <w:r>
        <w:t>Separate adapters or model instances are candidate implementations for distinct scopes. The actual design tests whether public outputs reveal internal information and whether access remains enforceable during inference. Data permission is enforced by the runtime and output release service.</w:t>
      </w:r>
    </w:p>
    <w:p>
      <w:pPr>
        <w:pStyle w:val="Heading2"/>
        <w:widowControl/>
      </w:pPr>
      <w:r>
        <w:t>Where work runs</w:t>
      </w:r>
    </w:p>
    <w:p>
      <w:pPr>
        <w:widowControl/>
      </w:pPr>
      <w:r>
        <w:t>L0 is the person and their controlled private environment. A session host may process personal data within a documented L0 arrangement. L1 describes chosen local cooperation; L2 regional collaboration; L3 wider commons. The audiences and permissions are specified independently of where a machine sits. [P2, P6, P7]</w:t>
      </w:r>
    </w:p>
    <w:p>
      <w:pPr>
        <w:widowControl/>
      </w:pPr>
      <w:r>
        <w:t>The missing middle is community scale compute between personal devices and hyperscale services. It offers capacity for personal model work, research and creative production while keeping location, operators and terms inspectable. External services receive a job only with the relevant participant grant. The destination, retained inputs and model use terms are part of that agreement.</w:t>
      </w:r>
    </w:p>
    <w:p>
      <w:pPr>
        <w:pStyle w:val="Heading2"/>
        <w:widowControl/>
      </w:pPr>
      <w:r>
        <w:t>Hardware envelopes for planning</w:t>
      </w:r>
    </w:p>
    <w:tbl>
      <w:tblPr>
        <w:tblW w:type="auto" w:w="0"/>
        <w:jc w:val="center"/>
        <w:tblLayout w:type="fixed"/>
        <w:tblLook w:firstColumn="1" w:firstRow="1" w:lastColumn="0" w:lastRow="0" w:noHBand="0" w:noVBand="1" w:val="04A0"/>
      </w:tblPr>
      <w:tblGrid>
        <w:gridCol w:w="2088"/>
        <w:gridCol w:w="2952"/>
        <w:gridCol w:w="5184"/>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Profile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Illustrative resources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Workload to benchmark</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Personal node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16 to 32 GB RAM, encrypted local storage, available accelerator</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Compact inference, retrieval, permissions and everyday continuity</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Session workstation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32 to 64 GB RAM, GPU memory selected for models and display, separate acquisition storage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Continuous capture, speech, signal processing and screen or VR</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Local shared compute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128 to 256 GB RAM, workload sized accelerators and separated participant environments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Training, concurrent sessions and queued analysis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Personal archive and recovery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Full recording capacity, redundancy and tested restoration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Complete 120 hour archive, sources, models and permissions</w:t>
            </w:r>
          </w:p>
        </w:tc>
      </w:tr>
    </w:tbl>
    <w:p>
      <w:pPr>
        <w:widowControl/>
        <w:spacing w:after="40" w:before="0" w:line="84" w:lineRule="auto"/>
      </w:pPr>
      <w:r>
        <w:rPr>
          <w:sz w:val="6"/>
        </w:rPr>
      </w:r>
    </w:p>
    <w:p>
      <w:pPr>
        <w:widowControl/>
      </w:pPr>
      <w:r>
        <w:t>These envelopes are proposed planning values. Benchmarks on the actual models and hardware establish capacity and concurrency. For illustration, 500 million parameters stored at 4 bits use roughly 250 MB of raw weights; 1 billion use 500 MB before runtime overhead and context memory. Training memory is separately budgeted. Unity or Unreal Engine are candidate presentation runtimes, with the record schema shared across implementations.</w:t>
      </w:r>
    </w:p>
    <w:p>
      <w:pPr>
        <w:pStyle w:val="Heading2"/>
        <w:widowControl/>
      </w:pPr>
      <w:r>
        <w:t>Continuous storage example</w:t>
      </w:r>
    </w:p>
    <w:p>
      <w:pPr>
        <w:widowControl/>
      </w:pPr>
      <w:r>
        <w:t>Thirty two EEG channels at 500 samples per second with four bytes per stored sample generate about 461 MB in two hours and 27.6 GB across 120 hours. One mono audio stream at 48,000 samples per second with two bytes per sample generates about 691 MB per session and 41.5 GB per programme. A compressed video stream averaging five megabits per second adds 4.5 GB per session and 270 GB per programme. Decimal units are used.</w:t>
      </w:r>
    </w:p>
    <w:p>
      <w:pPr>
        <w:widowControl/>
      </w:pPr>
      <w:r>
        <w:t>Those three streams total approximately 339 GB per participant before the other sensors, multiple cameras, laboratory files, model versions and metadata. Two comparable camera streams raise the example total to about 609 GB. One hundred participants with one such video stream require about 33.9 TB of primary data; three retained copies require about 101.7 TB before headroom. Full continuous recording remains the planning basis. High value selection reduces processing and working model size while the archive retains the whole acquired session.</w:t>
      </w:r>
    </w:p>
    <w:p>
      <w:pPr>
        <w:pStyle w:val="Heading2"/>
        <w:widowControl/>
      </w:pPr>
      <w:r>
        <w:t>Latency energy and failure handling</w:t>
      </w:r>
    </w:p>
    <w:p>
      <w:pPr>
        <w:widowControl/>
      </w:pPr>
      <w:r>
        <w:t>Proposed targets are a visible input response within 100 milliseconds, a dialogue acknowledgement within 500 milliseconds and a useful first response within about two seconds for ordinary local queries. Longer work displays progress and runs in a queue when immediate completion is unnecessary.</w:t>
      </w:r>
    </w:p>
    <w:p>
      <w:pPr>
        <w:widowControl/>
      </w:pPr>
      <w:r>
        <w:t>Acquisition has resource priority over rendering, inference and training. Reserved memory, preallocated storage and a durable queue support the complete stream. A low storage threshold triggers an operator readiness response before entry; an unexpected fault records its actual gap and invokes the installation's reviewed procedure. Treatment monitoring continues independently.</w:t>
      </w:r>
    </w:p>
    <w:p>
      <w:pPr>
        <w:widowControl/>
      </w:pPr>
      <w:r>
        <w:t>Per session budgets include energy, GPU time, storage growth and network transfer. An illustrative 300 watt average workstation load uses 0.6 kWh in two hours or 36 kWh in 120 hours. Chamber operation, cooling, laboratories and shared services have additional budgets. Local heat reuse is a separate building engineering opportunity. [P8]</w:t>
      </w:r>
    </w:p>
    <w:p>
      <w:pPr>
        <w:pStyle w:val="Heading1"/>
        <w:widowControl/>
      </w:pPr>
      <w:r>
        <w:t>14 The public private and secret selves</w:t>
      </w:r>
    </w:p>
    <w:p>
      <w:pPr>
        <w:pStyle w:val="Heading2"/>
        <w:widowControl/>
      </w:pPr>
      <w:r>
        <w:t>One person three personal views</w:t>
      </w:r>
    </w:p>
    <w:p>
      <w:pPr>
        <w:widowControl/>
      </w:pPr>
      <w:r>
        <w:t>The public self is what the person chooses to present to a specified audience. The private self includes personal context shared with the Aura and trusted functions under their chosen conditions. The secret self includes material held especially close, with finer control over interpretation, training, disclosure and access.</w:t>
      </w:r>
    </w:p>
    <w:p>
      <w:pPr>
        <w:widowControl/>
      </w:pPr>
      <w:r>
        <w:t>These views overlap and change. A fact may move from secret to private after reflection, or from an internal public draft to a released exterior facet after review. The person supplies the classification and revisits it. The underlying source record preserves its own history, while derived views have current permissions.</w:t>
      </w:r>
    </w:p>
    <w:p>
      <w:pPr>
        <w:pStyle w:val="Heading2"/>
        <w:widowControl/>
      </w:pPr>
      <w:r>
        <w:t>Capture stays inside</w:t>
      </w:r>
    </w:p>
    <w:p>
      <w:pPr>
        <w:widowControl/>
      </w:pPr>
      <w:r>
        <w:t>All Genesis session data enters the internal personal horn torus chakra tables and linked encrypted archive. Cameras, microphones and installed sensors record continuously throughout Geode/HBOT Genesis sessions. The capture agreement covers that complete session record, including rest and intimate conversation.</w:t>
      </w:r>
    </w:p>
    <w:p>
      <w:pPr>
        <w:widowControl/>
      </w:pPr>
      <w:r>
        <w:t>The person later decides which fields, summaries or clips enter the public external view. External publication uses an explicit release action, after the person has reviewed the material and its context. Public scope, private interpretation and secret access are distinct metadata from matrix geometry. Cryptographic storage, authenticated access and runtime enforcement implement the intended protection.</w:t>
      </w:r>
    </w:p>
    <w:p>
      <w:pPr>
        <w:pStyle w:val="Heading2"/>
        <w:widowControl/>
      </w:pPr>
      <w:r>
        <w:t>Recording in each phase</w:t>
      </w:r>
    </w:p>
    <w:p>
      <w:pPr>
        <w:widowControl/>
      </w:pPr>
      <w:r>
        <w:t>Continuous camera and microphone recording belongs to Geode/HBOT Genesis. Later interaction uses deliberate contributions and purpose specific permissions. Its records retain the same internal storage and participant controlled release rules.</w:t>
      </w:r>
    </w:p>
    <w:tbl>
      <w:tblPr>
        <w:tblW w:type="auto" w:w="0"/>
        <w:jc w:val="center"/>
        <w:tblLayout w:type="fixed"/>
        <w:tblLook w:firstColumn="1" w:firstRow="1" w:lastColumn="0" w:lastRow="0" w:noHBand="0" w:noVBand="1" w:val="04A0"/>
      </w:tblPr>
      <w:tblGrid>
        <w:gridCol w:w="2088"/>
        <w:gridCol w:w="2952"/>
        <w:gridCol w:w="5184"/>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Phase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Camera and microphone use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Capture boundary</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Preparation and time between sessions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Participant initiated or separately authorised interaction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Chosen input, purpose and start and stop conditions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Geode/HBOT Genesis session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Continuous recording throughout the defined session, including rest and quiet</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Genesis session start and stop receipts, with continuity events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Twin socialising and later adventures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Participant initiated or separately authorised recording for a chosen interaction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Separate grant, devices, duration and visible recording state</w:t>
            </w:r>
          </w:p>
        </w:tc>
      </w:tr>
    </w:tbl>
    <w:p>
      <w:pPr>
        <w:widowControl/>
        <w:spacing w:after="40" w:before="0" w:line="84" w:lineRule="auto"/>
      </w:pPr>
      <w:r>
        <w:rPr>
          <w:sz w:val="6"/>
        </w:rPr>
      </w:r>
    </w:p>
    <w:p>
      <w:pPr>
        <w:pStyle w:val="Heading2"/>
        <w:widowControl/>
      </w:pPr>
      <w:r>
        <w:t>Permissions with specific purposes</w:t>
      </w:r>
    </w:p>
    <w:tbl>
      <w:tblPr>
        <w:tblW w:type="auto" w:w="0"/>
        <w:jc w:val="center"/>
        <w:tblLayout w:type="fixed"/>
        <w:tblLook w:firstColumn="1" w:firstRow="1" w:lastColumn="0" w:lastRow="0" w:noHBand="0" w:noVBand="1" w:val="04A0"/>
      </w:tblPr>
      <w:tblGrid>
        <w:gridCol w:w="2088"/>
        <w:gridCol w:w="2952"/>
        <w:gridCol w:w="5184"/>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Purpose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Decision before use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Record</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Pressure session capture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Informed agreement to continuous internal recording</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Session scope, installed suite and supported exit procedure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Recording outside Genesis sessions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Participant initiated or separately authorised camera or microphone use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Input, purpose, devices, duration and start and stop conditions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Personal interpretation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Which internal functions read the selected categories and secret material</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Function, inputs, location and expiry</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Personal model training</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Dataset, category coverage, source versions and secret scope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Training approval and model version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Truth Engine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Baseline exercise, subsequent analysis and function requirements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Research agreement, calibration and completion states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Biological tests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Specific panel, specimen, results and sample handling</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Collection and assay agreement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Biobank</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Remaining material, retention and future uses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Storage scope and destruction plan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Study contribution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Described research subset and recipients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Dataset release and research purpose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Cultural use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Relevant custodial conditions and participant agreement</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Access and reuse conditions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Outward profile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Exact fields, audience and intended presentation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Participant approved release manifest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External tool action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Action, resources, data, recipient and review</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Time limited tool grant and outcome</w:t>
            </w:r>
          </w:p>
        </w:tc>
      </w:tr>
    </w:tbl>
    <w:p>
      <w:pPr>
        <w:widowControl/>
        <w:spacing w:after="40" w:before="0" w:line="84" w:lineRule="auto"/>
      </w:pPr>
      <w:r>
        <w:rPr>
          <w:sz w:val="6"/>
        </w:rPr>
      </w:r>
    </w:p>
    <w:p>
      <w:pPr>
        <w:pStyle w:val="Heading2"/>
        <w:widowControl/>
      </w:pPr>
      <w:r>
        <w:t>A participant authorised release</w:t>
      </w:r>
    </w:p>
    <w:p>
      <w:pPr>
        <w:widowControl/>
      </w:pPr>
      <w:r>
        <w:t>The person selects a category or claim, chooses its outward meaning, reviews source context and excludes internal details from the release selection. The service checks third party and cultural conditions, shows a preview, and records the person's approval. It then writes the permitted representation to the external view or sends it to the named recipient.</w:t>
      </w:r>
    </w:p>
    <w:p>
      <w:pPr>
        <w:widowControl/>
      </w:pPr>
      <w:r>
        <w:t>A release carries author, date, source version, purpose, audience, expiry where appropriate and correction route. Probability results also carry their model and evaluation scope. The participant sees which disclosures are current, superseded or revoked for future access.</w:t>
      </w:r>
    </w:p>
    <w:p>
      <w:pPr>
        <w:pStyle w:val="Heading2"/>
        <w:widowControl/>
      </w:pPr>
      <w:r>
        <w:t>Enforcement and recovery</w:t>
      </w:r>
    </w:p>
    <w:p>
      <w:pPr>
        <w:widowControl/>
      </w:pPr>
      <w:r>
        <w:t>Encryption at rest and in transit protects records during storage and transfer. Separate keys, authenticated roles, scoped processes and access logs govern live use. Secret material receives explicitly bounded grants. Site staff, researchers, support services and external tools each have a defined view for their work.</w:t>
      </w:r>
    </w:p>
    <w:p>
      <w:pPr>
        <w:widowControl/>
      </w:pPr>
      <w:r>
        <w:t>The recovery plan records trusted devices, backup locations, key recovery choices and restoration tests. Participant identity mapping is separated from research identifiers. Physical sample access follows its own inventory and consent record. Health and genetic information are handled according to the applicable privacy arrangements. [E9]</w:t>
      </w:r>
    </w:p>
    <w:p>
      <w:pPr>
        <w:pStyle w:val="Heading2"/>
        <w:widowControl/>
      </w:pPr>
      <w:r>
        <w:t>Derived data and revisions</w:t>
      </w:r>
    </w:p>
    <w:p>
      <w:pPr>
        <w:widowControl/>
      </w:pPr>
      <w:r>
        <w:t>Transcripts, embeddings, probabilities, summaries, adapters and model weights inherit source restrictions. A correction updates the current interpretation, invalidates dependent outputs and prompts model revision where needed. The original contribution remains inspectable as history under the person's policy.</w:t>
      </w:r>
    </w:p>
    <w:p>
      <w:pPr>
        <w:widowControl/>
      </w:pPr>
      <w:r>
        <w:t>Withdrawal stops future study participation and external research uses according to the disclosed agreement. Ending a pressure session uses supported safe egress. The person retains their own internal record and chooses its ongoing personal use. Study retention, previously released copies and physical samples each have a separately explained withdrawal process. [E2]</w:t>
      </w:r>
    </w:p>
    <w:p>
      <w:pPr>
        <w:pStyle w:val="Heading2"/>
        <w:widowControl/>
      </w:pPr>
      <w:r>
        <w:t>Cooperation at larger scales</w:t>
      </w:r>
    </w:p>
    <w:p>
      <w:pPr>
        <w:widowControl/>
      </w:pPr>
      <w:r>
        <w:t>A person may choose federation, local research or a wider commons contribution. The release is defined before data or model updates leave the internal environment. Secure aggregation and other privacy methods are assessed for the intended job because voice, genetics, rare stories and model updates may disclose identity or private content.</w:t>
      </w:r>
    </w:p>
    <w:p>
      <w:pPr>
        <w:widowControl/>
      </w:pPr>
      <w:r>
        <w:t>Public storage, content hashes and credential systems have a documented disclosure footprint. Participant authorised outward facts are separated from the underlying private archive. Integrity signatures describe origin and unchanged content; supporting evidence and the person reviewed meaning travel with the claim.</w:t>
      </w:r>
    </w:p>
    <w:p>
      <w:pPr>
        <w:pStyle w:val="Heading1"/>
        <w:widowControl/>
      </w:pPr>
      <w:r>
        <w:t>15 Study design and evaluation</w:t>
      </w:r>
    </w:p>
    <w:p>
      <w:pPr>
        <w:pStyle w:val="Heading2"/>
        <w:widowControl/>
      </w:pPr>
      <w:r>
        <w:t>An adult feasibility study</w:t>
      </w:r>
    </w:p>
    <w:p>
      <w:pPr>
        <w:widowControl/>
      </w:pPr>
      <w:r>
        <w:t>The first study examines whether the category experience, continuous capture, three self scopes, calendar and twin relationship are understandable and usable. It measures participant experience, equipment continuity, consent comprehension, correction uptake, personal model fidelity, sample burden, accessibility and the handling of disagreement.</w:t>
      </w:r>
    </w:p>
    <w:p>
      <w:pPr>
        <w:widowControl/>
      </w:pPr>
      <w:r>
        <w:t>Adults enrol under a reviewed protocol with clear information about the recording model and voluntary research participation. The study defines eligibility, pressure programme, supervision, emergency response, outcomes and analysis before enrolment. Research governance follows the applicable NHMRC framework and local institutional process. [E2]</w:t>
      </w:r>
    </w:p>
    <w:p>
      <w:pPr>
        <w:pStyle w:val="Heading2"/>
        <w:widowControl/>
      </w:pPr>
      <w:r>
        <w:t>Questions made testable</w:t>
      </w:r>
    </w:p>
    <w:tbl>
      <w:tblPr>
        <w:tblW w:type="auto" w:w="0"/>
        <w:jc w:val="center"/>
        <w:tblLayout w:type="fixed"/>
        <w:tblLook w:firstColumn="1" w:firstRow="1" w:lastColumn="0" w:lastRow="0" w:noHBand="0" w:noVBand="1" w:val="04A0"/>
      </w:tblPr>
      <w:tblGrid>
        <w:gridCol w:w="2088"/>
        <w:gridCol w:w="2952"/>
        <w:gridCol w:w="5184"/>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Question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Proposed test</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Evidence retained</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Category organisation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Follow a declaration into its table, addresses and later dialogue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Stable IDs, context and participant review</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Continuous capture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Reconcile stream sequence numbers and actual pressure intervals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Full archive and explained interruptions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Minimum viable self</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Test defined functions with held out category records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Coverage, fidelity and unresolved fields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Personal nanoLLM</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Compare model versions on the same task set</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Training inputs, evaluations and resource cost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Truth Engine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Evaluate relevant labels on held out sessions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False positives, false negatives, calibration and context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Three selves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Test interpretation and release boundaries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Grants, actual access and outward content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Guided recollection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Review cues, spontaneous accounts and later corroboration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Source tracking, participant meaning and prompt provenance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Calendar rules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Validate planned route and reproduce actual progress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Rule versions and qualifying pressure time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Biological change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Compare named assays at planned milestones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Processing, quality, uncertainty and relevant outcomes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Partnership</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Test useful tasks, disagreement repair and initiative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Interaction history and participant assessment</w:t>
            </w:r>
          </w:p>
        </w:tc>
      </w:tr>
    </w:tbl>
    <w:p>
      <w:pPr>
        <w:widowControl/>
        <w:spacing w:after="40" w:before="0" w:line="84" w:lineRule="auto"/>
      </w:pPr>
      <w:r>
        <w:rPr>
          <w:sz w:val="6"/>
        </w:rPr>
      </w:r>
    </w:p>
    <w:p>
      <w:pPr>
        <w:pStyle w:val="Heading2"/>
        <w:widowControl/>
      </w:pPr>
      <w:r>
        <w:t>Comparative research</w:t>
      </w:r>
    </w:p>
    <w:p>
      <w:pPr>
        <w:widowControl/>
      </w:pPr>
      <w:r>
        <w:t>A later study defines a suitable comparator for the specific question. It might compare dialogue approaches, category sequences, sensory content, model configurations or reviewed pressure related interventions. Outcomes, randomisation, blinding where feasible and analysis are specified before results are known.</w:t>
      </w:r>
    </w:p>
    <w:p>
      <w:pPr>
        <w:widowControl/>
      </w:pPr>
      <w:r>
        <w:t>Topic and pace adaptation operate within the participant's validated calendar. Fixed baseline trials preserve their experimental sequence. Changes affecting exposure, comparability or consent follow the relevant protocol review. Baseline sensor probabilities and deeper personal meaning retain their distinct evaluation methods.</w:t>
      </w:r>
    </w:p>
    <w:p>
      <w:pPr>
        <w:pStyle w:val="Heading2"/>
        <w:widowControl/>
      </w:pPr>
      <w:r>
        <w:t>Biological and engineering interpretation</w:t>
      </w:r>
    </w:p>
    <w:p>
      <w:pPr>
        <w:widowControl/>
      </w:pPr>
      <w:r>
        <w:t>Assays retain units, specimen type, batch, detection limits and method. The study specifies which measures are clinical, which exploratory and which are primary outcomes. It records confounders, missingness, multiplicity and timing. A repeat measurement's expected variability is part of the change interpretation.</w:t>
      </w:r>
    </w:p>
    <w:p>
      <w:pPr>
        <w:widowControl/>
      </w:pPr>
      <w:r>
        <w:t>Device rates, accuracy, time alignment and storage are tested in the actual pressure installation. Research logs preserve faults and physical removal. A measured failure becomes engineering evidence and an action under the installation's operating procedure.</w:t>
      </w:r>
    </w:p>
    <w:p>
      <w:pPr>
        <w:pStyle w:val="Heading2"/>
        <w:widowControl/>
      </w:pPr>
      <w:r>
        <w:t>Scope for implementation</w:t>
      </w:r>
    </w:p>
    <w:p>
      <w:pPr>
        <w:widowControl/>
      </w:pPr>
      <w:r>
        <w:t>The pressure and oxygen programme, equipment integration and intended medical functions receive qualified review. The product's intended purpose determines the relevant medical device pathway. Changes to diagnosis, treatment guidance or clinical monitoring functions are reviewed as part of development. [E10]</w:t>
      </w:r>
    </w:p>
    <w:p>
      <w:pPr>
        <w:widowControl/>
      </w:pPr>
      <w:r>
        <w:t>The study contributes evidence for the actual configuration, participants and tasks tested. Participant accounts remain an essential outcome alongside measured change: how a belief, relationship or self story develops is part of what Genesis investigates.</w:t>
      </w:r>
    </w:p>
    <w:p>
      <w:pPr>
        <w:pStyle w:val="Heading1"/>
        <w:widowControl/>
      </w:pPr>
      <w:r>
        <w:t>16 Travel and the Aura Passport hypothesis</w:t>
      </w:r>
    </w:p>
    <w:p>
      <w:pPr>
        <w:pStyle w:val="Heading2"/>
        <w:widowControl/>
      </w:pPr>
      <w:r>
        <w:t>Three periods of travel</w:t>
      </w:r>
    </w:p>
    <w:p>
      <w:pPr>
        <w:widowControl/>
      </w:pPr>
      <w:r>
        <w:t>Before Genesis, remembered travel provides material for the twin: places visited, reasons for going, encounters, lessons, resources, risks, attractions and repulsions. During Genesis, those journeys are recalled and reflected on through the internal category system. After the pressure programme and relevant twin socialising, new travel becomes a chosen real world adventure.</w:t>
      </w:r>
    </w:p>
    <w:p>
      <w:pPr>
        <w:widowControl/>
      </w:pPr>
      <w:r>
        <w:t>Travel is one life category among many. A short trip nearby, migration, a family visit, a long backpacking journey or a remembered childhood outing may each carry important personal meaning. The model connects place, history, resourcefulness, relationships and preferred futures. [R1, R2]</w:t>
      </w:r>
    </w:p>
    <w:p>
      <w:pPr>
        <w:pStyle w:val="Heading2"/>
        <w:widowControl/>
      </w:pPr>
      <w:r>
        <w:t>Tools for later travel</w:t>
      </w:r>
    </w:p>
    <w:p>
      <w:pPr>
        <w:widowControl/>
      </w:pPr>
      <w:r>
        <w:t>The team may use maps, route research, weather, translation, budgeting, accessibility information, booking tools or destination research under specific permissions. A task names its purpose, data, costs, actions and review. Existing Matrix Studio journey and timing records provide useful starting structures for that future work.</w:t>
      </w:r>
    </w:p>
    <w:p>
      <w:pPr>
        <w:widowControl/>
      </w:pPr>
      <w:r>
        <w:t>A declaration about a desired destination is recorded as an intention. Preparing a route, contacting a service and making a booking each receive their own task state and permissions. The person and Aura practise these distinctions during twin socialising before using them on a real journey.</w:t>
      </w:r>
    </w:p>
    <w:p>
      <w:pPr>
        <w:pStyle w:val="Heading2"/>
        <w:widowControl/>
      </w:pPr>
      <w:r>
        <w:t>The Aura Passport</w:t>
      </w:r>
    </w:p>
    <w:p>
      <w:pPr>
        <w:widowControl/>
      </w:pPr>
      <w:r>
        <w:t>The Aura Passport is a future travel and entry hypothesis. It explores whether a municipality or country might define minimum viable public profile conditions, including specified content completed under Truth Engine conditions, as part of deciding entry or visas.</w:t>
      </w:r>
    </w:p>
    <w:p>
      <w:pPr>
        <w:widowControl/>
      </w:pPr>
      <w:r>
        <w:t>In this hypothesis, the participant decides whether to prepare the relevant public self and submit an application. The jurisdiction defines the requested fields and entry rules. A credential states exactly which profile elements were completed, under which process, using which baseline and at what date. The recipient evaluates those claims according to its own disclosed process.</w:t>
      </w:r>
    </w:p>
    <w:p>
      <w:pPr>
        <w:widowControl/>
      </w:pPr>
      <w:r>
        <w:t>The concept concerns future assessment of entry and participation through a person authorised public profile. The relevant evidence remains narrowly specified, with probability and verification conditions visible. The internal private and secret records stay under the person's permission controls.</w:t>
      </w:r>
    </w:p>
    <w:p>
      <w:pPr>
        <w:pStyle w:val="Heading2"/>
        <w:widowControl/>
      </w:pPr>
      <w:r>
        <w:t>A future credential flow</w:t>
      </w:r>
    </w:p>
    <w:tbl>
      <w:tblPr>
        <w:tblW w:type="auto" w:w="0"/>
        <w:jc w:val="center"/>
        <w:tblLayout w:type="fixed"/>
        <w:tblLook w:firstColumn="1" w:firstRow="1" w:lastColumn="0" w:lastRow="0" w:noHBand="0" w:noVBand="1" w:val="04A0"/>
      </w:tblPr>
      <w:tblGrid>
        <w:gridCol w:w="2088"/>
        <w:gridCol w:w="2952"/>
        <w:gridCol w:w="5184"/>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Step</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Person or system action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Evidence or permission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Destination publishes conditions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Define fields, validity period and assessment process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Dated jurisdiction rule set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Participant considers the route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Decide whether to prepare and submit the requested public profile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Voluntary application choice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Profile work is completed</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Satisfy relevant category and Truth Engine requirements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Versioned completion records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Credential is prepared</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State the specific claim and process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Issuer, evidence scope, uncertainty and date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Participant reviews disclosure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Approve exactly what the recipient receives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Release manifest and recipient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Recipient assesses entry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Apply its declared conditions and review process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Decision, reasons and correction or appeal route</w:t>
            </w:r>
          </w:p>
        </w:tc>
      </w:tr>
    </w:tbl>
    <w:p>
      <w:pPr>
        <w:widowControl/>
        <w:spacing w:after="40" w:before="0" w:line="84" w:lineRule="auto"/>
      </w:pPr>
      <w:r>
        <w:rPr>
          <w:sz w:val="6"/>
        </w:rPr>
      </w:r>
    </w:p>
    <w:p>
      <w:pPr>
        <w:widowControl/>
      </w:pPr>
      <w:r>
        <w:t>This is a design hypothesis for future institutions. Present visa procedures retain their actual current rules until a jurisdiction adopts a different process. Adoption and decision rules remain future choices for the participating jurisdictions.</w:t>
      </w:r>
    </w:p>
    <w:p>
      <w:pPr>
        <w:pStyle w:val="Heading2"/>
        <w:widowControl/>
      </w:pPr>
      <w:r>
        <w:t>Practical design questions</w:t>
      </w:r>
    </w:p>
    <w:p>
      <w:pPr>
        <w:widowControl/>
      </w:pPr>
      <w:r>
        <w:t>Development examines reliability of baseline evidence, cultural and disability differences, mistaken classifications, data minimisation, time limits, dispute handling and alternative evidence routes. A person is represented through a changing public profile and contextual claims; long term institutional fairness is an explicit research question.</w:t>
      </w:r>
    </w:p>
    <w:p>
      <w:pPr>
        <w:widowControl/>
      </w:pPr>
      <w:r>
        <w:t>Device continuity, personal backups and session archives have their own names and export formats. The Aura Passport names this entry credential hypothesis. The Genesis calendar develops the twin at the selected installation, using remembered travel and later future planning.</w:t>
      </w:r>
    </w:p>
    <w:p>
      <w:pPr>
        <w:pStyle w:val="Heading1"/>
        <w:widowControl/>
      </w:pPr>
      <w:r>
        <w:t>17 After Genesis and twin socialising</w:t>
      </w:r>
    </w:p>
    <w:p>
      <w:pPr>
        <w:pStyle w:val="Heading2"/>
        <w:widowControl/>
      </w:pPr>
      <w:r>
        <w:t>A chosen next chapter</w:t>
      </w:r>
    </w:p>
    <w:p>
      <w:pPr>
        <w:widowControl/>
      </w:pPr>
      <w:r>
        <w:t>The end of the pressure programme includes a participant chosen closing review or ceremony. The person revisits important categories, outstanding questions, changed stories and the twin's developing abilities. Music, personal symbols, quiet or a simple conversation give the transition a fitting form.</w:t>
      </w:r>
    </w:p>
    <w:p>
      <w:pPr>
        <w:widowControl/>
      </w:pPr>
      <w:r>
        <w:t>Twin socialising follows with a defined set of everyday functions and permissions. The team practises timing, initiative, memory use, correction and meaningful help in ordinary circumstances. Readiness is recorded for each intended function. New travel and wider quests follow the relevant socialising work.</w:t>
      </w:r>
    </w:p>
    <w:p>
      <w:pPr>
        <w:widowControl/>
      </w:pPr>
      <w:r>
        <w:t>The person chooses what to contribute through these interactions. Camera and microphone recording follows separate participant initiated or approved permissions for each chosen use, with visible start and stop conditions.</w:t>
      </w:r>
    </w:p>
    <w:p>
      <w:pPr>
        <w:pStyle w:val="Heading2"/>
        <w:widowControl/>
      </w:pPr>
      <w:r>
        <w:t>Larger adventures</w:t>
      </w:r>
    </w:p>
    <w:tbl>
      <w:tblPr>
        <w:tblW w:type="auto" w:w="0"/>
        <w:jc w:val="center"/>
        <w:tblLayout w:type="fixed"/>
        <w:tblLook w:firstColumn="1" w:firstRow="1" w:lastColumn="0" w:lastRow="0" w:noHBand="0" w:noVBand="1" w:val="04A0"/>
      </w:tblPr>
      <w:tblGrid>
        <w:gridCol w:w="2088"/>
        <w:gridCol w:w="2952"/>
        <w:gridCol w:w="5184"/>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Quest family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Example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Information and permission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Care and wellbeing</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Support an agreed routine or meaningful activity</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Relevant context and the particular assistance grant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Culture and memory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Revisit a place or contribute a permitted story</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Participant and custodial conditions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Learning and work</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Try a skill, organise a project or rehearse a conversation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Goals, resources and agreed role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Music and media</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Create a song, book scene or short film</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Authorship, selected sources and sharing choices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Community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Join care, gardening, mentoring or another voluntary contribution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Appropriate contribution record and participant permission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Environment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Explore a local digital twin or citizen science task</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Observation, place and data use agreement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Civic reflection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Examine a public issue or possible shared future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Chosen category, sources and context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Travel</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Prepare and undertake a chosen journey</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Task specific tools, budget and disclosure</w:t>
            </w:r>
          </w:p>
        </w:tc>
      </w:tr>
    </w:tbl>
    <w:p>
      <w:pPr>
        <w:widowControl/>
        <w:spacing w:after="40" w:before="0" w:line="84" w:lineRule="auto"/>
      </w:pPr>
      <w:r>
        <w:rPr>
          <w:sz w:val="6"/>
        </w:rPr>
      </w:r>
    </w:p>
    <w:p>
      <w:pPr>
        <w:widowControl/>
      </w:pPr>
      <w:r>
        <w:t>C-hours record verified voluntary human contribution in time units, with one verified hour recorded once. Communities choose recognition, thanks and reciprocal opportunities. The programme keeps monetary budgets, employment and assets in their own accounts. [P5]</w:t>
      </w:r>
    </w:p>
    <w:p>
      <w:pPr>
        <w:widowControl/>
      </w:pPr>
      <w:r>
        <w:t>GAJRA Earth offers the wider ambition of Joyful Responsible Abundance. The Web3 Sensorium and Sovereign Space Builder connect personal intelligence with places, shared capability and community work. Entry into those adventures follows interest, invitation, suitable prerequisites and chosen permissions. [P6, P7, P8]</w:t>
      </w:r>
    </w:p>
    <w:p>
      <w:pPr>
        <w:pStyle w:val="Heading1"/>
        <w:widowControl/>
      </w:pPr>
      <w:r>
        <w:t>18 Production plan and acceptance criteria</w:t>
      </w:r>
    </w:p>
    <w:p>
      <w:pPr>
        <w:pStyle w:val="Heading2"/>
        <w:widowControl/>
      </w:pPr>
      <w:r>
        <w:t>Build reviewable parts of the intended system</w:t>
      </w:r>
    </w:p>
    <w:tbl>
      <w:tblPr>
        <w:tblW w:type="auto" w:w="0"/>
        <w:jc w:val="center"/>
        <w:tblLayout w:type="fixed"/>
        <w:tblLook w:firstColumn="1" w:firstRow="1" w:lastColumn="0" w:lastRow="0" w:noHBand="0" w:noVBand="1" w:val="04A0"/>
      </w:tblPr>
      <w:tblGrid>
        <w:gridCol w:w="2088"/>
        <w:gridCol w:w="2952"/>
        <w:gridCol w:w="5184"/>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Stage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Deliverable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Evidence for progress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Design review</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Category contracts, individual scheduling rules, three self model and relationship plan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Participant, clinical, engineering, cultural and laboratory review</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Matrix prototype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Category declarations, stable addresses, states and release preview</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Faithful mapping to current studio records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Capture bench work</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Complete suite, synchronisation and continuous storage pipeline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Reference measurements, timing and failure handling</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Chamber integration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Exact permitted equipment configuration and read only controller bridge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Pressure, oxygen, electrical, materials and emergency review</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Adult feasibility study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Reviewed pressure programme and continuous private recording</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Consent, usability, burden, safety and technical continuity</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NanoLLM development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Participant reviewed training set and compact personal model</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Held out fidelity, corrections and scope enforcement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Twin socialising</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Bounded everyday tasks and relationship practice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Useful timing, permissions and disagreement repair</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Comparative research</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Prespecified controlled questions and selected assays</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Suitable evidence for actual outcomes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Repeatable delivery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Manufactured or site adapted configuration, training and support</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Configuration specific performance and maintenance</w:t>
            </w:r>
          </w:p>
        </w:tc>
      </w:tr>
    </w:tbl>
    <w:p>
      <w:pPr>
        <w:widowControl/>
        <w:spacing w:after="40" w:before="0" w:line="84" w:lineRule="auto"/>
      </w:pPr>
      <w:r>
        <w:rPr>
          <w:sz w:val="6"/>
        </w:rPr>
      </w:r>
    </w:p>
    <w:p>
      <w:pPr>
        <w:widowControl/>
      </w:pPr>
      <w:r>
        <w:t>A screen prototype or ordinary room bench rehearsal develops components before their pressure integration. The 120 hour Genesis programme is implemented through the verified pressure configuration and individual operating plan.</w:t>
      </w:r>
    </w:p>
    <w:p>
      <w:pPr>
        <w:pStyle w:val="Heading2"/>
        <w:widowControl/>
      </w:pPr>
      <w:r>
        <w:t>Capture and sovereignty acceptance</w:t>
      </w:r>
    </w:p>
    <w:p>
      <w:pPr>
        <w:widowControl/>
      </w:pPr>
      <w:r>
        <w:t>A pressure session produces continuous camera, microphone and installed sensor records across declaration, rest and quiet. Topic changes preserve stream continuity. Physical removal, fault and emergency egress produce explicit timestamped states. The archive and acquisition service survive a stalled dialogue process within their validated fault plan.</w:t>
      </w:r>
    </w:p>
    <w:p>
      <w:pPr>
        <w:widowControl/>
      </w:pPr>
      <w:r>
        <w:t>The Genesis session's stop receipt closes its continuous camera and microphone capture. Preparation, between session interaction, twin socialising and later travel each use their separately approved inputs and recording boundaries. Acceptance checks exercise both session closure and a participant initiated recording outside Genesis.</w:t>
      </w:r>
    </w:p>
    <w:p>
      <w:pPr>
        <w:widowControl/>
      </w:pPr>
      <w:r>
        <w:t>Every source interval resolves to an internal table and object reference. Public, private and secret policies are enforced through actual access tests. An external facet remains empty until the participant approves a release. Secret material stays within its granted runtime and training scope. An export includes sources, versions, addresses, permission history and recovery information.</w:t>
      </w:r>
    </w:p>
    <w:p>
      <w:pPr>
        <w:pStyle w:val="Heading2"/>
        <w:widowControl/>
      </w:pPr>
      <w:r>
        <w:t>Category and calendar acceptance</w:t>
      </w:r>
    </w:p>
    <w:p>
      <w:pPr>
        <w:widowControl/>
      </w:pPr>
      <w:r>
        <w:t>A current studio record keeps its table and row ID when imported. The participant creates a new category and links it to multiple chakra perspectives. A visited category retains unchecked new interpretations. Past, present and condition specific best selves remain distinguishable. Each gated function displays its exact requirements, including Truth Engine work where relevant.</w:t>
      </w:r>
    </w:p>
    <w:p>
      <w:pPr>
        <w:widowControl/>
      </w:pPr>
      <w:r>
        <w:t>Drag and drop and voice commands produce the same schedule structure. Casual, normal, fast and individually supported pacing retain their definitions. The validator checks 120 planned pressure hours, complete capture, prerequisites, actual progress and participant approval. A revised route preserves its earlier version and remaining work.</w:t>
      </w:r>
    </w:p>
    <w:p>
      <w:pPr>
        <w:pStyle w:val="Heading2"/>
        <w:widowControl/>
      </w:pPr>
      <w:r>
        <w:t>Meaning and partnership acceptance</w:t>
      </w:r>
    </w:p>
    <w:p>
      <w:pPr>
        <w:widowControl/>
      </w:pPr>
      <w:r>
        <w:t>A declaration retains the person's own words and context. Love language exploration records remembered affection and present urge separately. A personal or fringe idea retains the person's meaning and role in their actions. Guided rest records prompts and spontaneous recollections with their provenance.</w:t>
      </w:r>
    </w:p>
    <w:p>
      <w:pPr>
        <w:widowControl/>
      </w:pPr>
      <w:r>
        <w:t>The Aura explains the sources of a proposal, accepts correction and demonstrates that the correction changes relevant behaviour. Truth Engine probabilities retain context and calibration; deeper reflections remain available alongside them. The team completes a bounded task, repairs a disagreement and respects its current tool grants during socialising.</w:t>
      </w:r>
    </w:p>
    <w:p>
      <w:pPr>
        <w:pStyle w:val="Heading2"/>
        <w:widowControl/>
      </w:pPr>
      <w:r>
        <w:t>Site and delivery roles</w:t>
      </w:r>
    </w:p>
    <w:p>
      <w:pPr>
        <w:widowControl/>
      </w:pPr>
      <w:r>
        <w:t>The delivery plan appoints game and accessibility design, software and security engineering, participant involvement, appropriate hyperbaric clinical and technical expertise, research coordination, laboratory science, statistics and relevant cultural custodians.</w:t>
      </w:r>
    </w:p>
    <w:p>
      <w:pPr>
        <w:widowControl/>
      </w:pPr>
      <w:r>
        <w:t>The site pack includes configuration IDs, operating procedures, equipment sheets, cleaning, calibration, time synchronisation, category schema, calendar rules, research agreements, sample manuals, result handling, model evaluation, release controls and restoration drills. Deployment status follows the evidence and approvals for that specific configuration.</w:t>
      </w:r>
    </w:p>
    <w:p>
      <w:pPr>
        <w:pStyle w:val="Heading1"/>
        <w:widowControl/>
      </w:pPr>
      <w:r>
        <w:t>19 Technical records and category authoring</w:t>
      </w:r>
    </w:p>
    <w:p>
      <w:pPr>
        <w:pStyle w:val="Heading2"/>
        <w:widowControl/>
      </w:pPr>
      <w:r>
        <w:t>Records for a faithful personal system</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Record</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23424B"/>
          </w:tcPr>
          <w:p>
            <w:pPr>
              <w:spacing w:after="0" w:line="250" w:lineRule="auto"/>
            </w:pPr>
            <w:r>
              <w:rPr>
                <w:b/>
                <w:color w:val="FFFFFF"/>
                <w:sz w:val="20"/>
              </w:rPr>
              <w:t>Essential fields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Self view</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Public/private/secret scope, definition, context and current policy</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Category contract</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Category and subcategory IDs, fields, labels, schema and completion rules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Declaration</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Original words, time viewpoint, polarity, context, resources and source interval</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Consent receipt</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Purpose, data use, version, date, supported withdrawal and research scope</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Pressure session</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Planned and actual conditions, eligible time, configuration and continuity</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Later interaction capture</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Participant initiation or grant, phase, purpose, inputs, devices and start and stop receipts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Stream chunk</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Sensor, rate, sequence, time, quality, calibration and encrypted object reference</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Matrix link</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Shell, internal side, address kind, facet or stack, table ID and row ID</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Reflection</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Lens, past/present/best self, conditions, interpretation and revisions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Recollection</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Prompt, spontaneous account, confidence, imagery and later evidence</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Truth trial</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Question, cue, source answer, intended response and aligned interval</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Probability result</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Statement, task, baseline, model, calibration, alternatives and uncertainty</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Calendar</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Cards, pace, dependencies, validation, approval and actual progress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Sample and assay</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Coded ID, specimen, custody, method, result, quality and release state</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Model version</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Sources, training scope, adaptation, evaluation, resource budget and policy</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Team agreement</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Task, roles, initiative, tone, context, tool grants and review</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External release</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FFFFF"/>
          </w:tcPr>
          <w:p>
            <w:pPr>
              <w:spacing w:after="0" w:line="250" w:lineRule="auto"/>
            </w:pPr>
            <w:r>
              <w:rPr>
                <w:sz w:val="20"/>
              </w:rPr>
              <w:t>Selected content, recipient, permission, source versions and expiry</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Travel credential</w:t>
            </w:r>
          </w:p>
        </w:tc>
        <w:tc>
          <w:tcPr>
            <w:tcW w:type="dxa" w:w="734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1F5F6"/>
          </w:tcPr>
          <w:p>
            <w:pPr>
              <w:spacing w:after="0" w:line="250" w:lineRule="auto"/>
            </w:pPr>
            <w:r>
              <w:rPr>
                <w:sz w:val="20"/>
              </w:rPr>
              <w:t>Destination rules, narrow claim, issuer, Truth Engine conditions and application permission</w:t>
            </w:r>
          </w:p>
        </w:tc>
      </w:tr>
    </w:tbl>
    <w:p>
      <w:pPr>
        <w:widowControl/>
        <w:spacing w:after="40" w:before="0" w:line="84" w:lineRule="auto"/>
      </w:pPr>
      <w:r>
        <w:rPr>
          <w:sz w:val="6"/>
        </w:rPr>
      </w:r>
    </w:p>
    <w:p>
      <w:pPr>
        <w:widowControl/>
      </w:pPr>
      <w:r>
        <w:t>Source records, derived features and large media objects retain separate identities. Laboratory interfaces preserve original reports and units alongside normalised fields. Sequence datasets retain suitable contextual metadata, informed by MIxS. [E11]</w:t>
      </w:r>
    </w:p>
    <w:p>
      <w:pPr>
        <w:pStyle w:val="Heading2"/>
        <w:widowControl/>
      </w:pPr>
      <w:r>
        <w:t>A broad category example</w:t>
      </w:r>
    </w:p>
    <w:p>
      <w:pPr>
        <w:widowControl/>
      </w:pPr>
      <w:r>
        <w:t>The participant opens Family and belonging, chooses a subcategory and describes a relationship. The Aura records the declaration, its category path and the complete source interval. Past, present and possible best self views offer ways to revisit it. The participant may explore attraction, tension, available time, inherited expectations or something else that emerges.</w:t>
      </w:r>
    </w:p>
    <w:p>
      <w:pPr>
        <w:widowControl/>
      </w:pPr>
      <w:r>
        <w:t>Guided rest might bring another memory into view. A later dialogue links it to the earlier declaration and asks what changed. The participant marks the material private or secret, reviews the interpretation and chooses a next category. The calendar and model update their coverage states independently.</w:t>
      </w:r>
    </w:p>
    <w:p>
      <w:pPr>
        <w:pStyle w:val="Heading2"/>
        <w:widowControl/>
      </w:pPr>
      <w:r>
        <w:t>A detailed baseline example</w:t>
      </w:r>
    </w:p>
    <w:p>
      <w:pPr>
        <w:widowControl/>
      </w:pPr>
      <w:r>
        <w:t>The Truth Engine card supplies a fixed trial sequence with obvious questions and instructed truthful or false answers. The participant sees the purpose and agreement. Each cue and response is aligned to the continuous source streams, then used in the approved training or evaluation split. The resulting probability model has a narrow task definition and evaluation record.</w:t>
      </w:r>
    </w:p>
    <w:p>
      <w:pPr>
        <w:pStyle w:val="Heading2"/>
        <w:widowControl/>
      </w:pPr>
      <w:r>
        <w:t>Category and activity templates</w:t>
      </w:r>
    </w:p>
    <w:p>
      <w:pPr>
        <w:widowControl/>
      </w:pPr>
      <w:r>
        <w:t>A category template names its source dataset, subcategories, participant labels, example prompts, past/present/best self fields, polarity dimensions, context, sources, model use policy and review states. An activity template adds duration, pacing variants, display options, interaction needs and transitions.</w:t>
      </w:r>
    </w:p>
    <w:p>
      <w:pPr>
        <w:widowControl/>
      </w:pPr>
      <w:r>
        <w:t>A gated function names its prerequisites and validation. Research activities add protocol ID, experimental sequence, outcomes and agreement. Guided recollection adds prompt provenance and source checking fields. External tool work adds its grant and action record. All activities in a pressure session resolve to the same continuous internal recording model.</w:t>
      </w:r>
    </w:p>
    <w:p>
      <w:pPr>
        <w:pStyle w:val="Heading1"/>
        <w:widowControl/>
      </w:pPr>
      <w:r>
        <w:t>20 Sources and design provenance</w:t>
      </w:r>
    </w:p>
    <w:p>
      <w:pPr>
        <w:pStyle w:val="Heading2"/>
        <w:widowControl/>
      </w:pPr>
      <w:r>
        <w:t>Governing design and project sources</w:t>
      </w:r>
    </w:p>
    <w:p>
      <w:pPr>
        <w:widowControl/>
      </w:pPr>
      <w:r>
        <w:t>The Edition 2 design defines the full pressure duration, continuous personal recording, public/private/secret selves, category led calendar, Truth Engine dependent functions, twin socialising and Aura Passport hypothesis. Historical project documents contribute the surrounding concepts; these current definitions govern implementation.</w:t>
      </w:r>
    </w:p>
    <w:p>
      <w:pPr>
        <w:widowControl/>
      </w:pPr>
      <w:r>
        <w:t>P1. AURA GEODE to MACRO. Geode, PADS, AuraOS, dialogue, sensing, biological sampling and the 60 session architecture.</w:t>
      </w:r>
    </w:p>
    <w:p>
      <w:pPr>
        <w:widowControl/>
      </w:pPr>
      <w:r>
        <w:t>P2. Joyful Responsible Abundance Human and SI Alignment Revised, edition 1. Relationship, self alignment, continuity, meaning and local compute.</w:t>
      </w:r>
    </w:p>
    <w:p>
      <w:pPr>
        <w:widowControl/>
      </w:pPr>
      <w:r>
        <w:t>P3. Clinical Research Path for Aura of Dementia. Clinical translation, feasibility, governance and adult support context.</w:t>
      </w:r>
    </w:p>
    <w:p>
      <w:pPr>
        <w:widowControl/>
      </w:pPr>
      <w:r>
        <w:t>P4. 82 Claytons Road Anglican Partnership Proposal, edition 5. Proposed place, care partnership, immersive reflection and memory palaces.</w:t>
      </w:r>
    </w:p>
    <w:p>
      <w:pPr>
        <w:widowControl/>
      </w:pPr>
      <w:r>
        <w:t>P5. C Hour Joyful Responsible Abundance Plan, planning edition 5, 23 September 2026. Verified voluntary time and community chosen recognition, with financial accounting separate.</w:t>
      </w:r>
    </w:p>
    <w:p>
      <w:pPr>
        <w:widowControl/>
      </w:pPr>
      <w:r>
        <w:t>P6. Web3 Sensorium for Science Debate. Private nodes, contextual sensing, scientific environments and provenance.</w:t>
      </w:r>
    </w:p>
    <w:p>
      <w:pPr>
        <w:widowControl/>
      </w:pPr>
      <w:r>
        <w:t>P7. Sovereign Space Builder part 2 Full System Specification. Offline first nodes, typed records, L0 to L3 cooperation and custodial access.</w:t>
      </w:r>
    </w:p>
    <w:p>
      <w:pPr>
        <w:widowControl/>
      </w:pPr>
      <w:r>
        <w:t>P8. UNGA81 Joyful Responsible Abundance Refined, edition 5. Wider alignment, cooperative infrastructure and missing middle compute.</w:t>
      </w:r>
    </w:p>
    <w:p>
      <w:pPr>
        <w:widowControl/>
      </w:pPr>
      <w:r>
        <w:t>P9. Oceania Health and AI Surge Plan. Wider infrastructure ambition and delivery context.</w:t>
      </w:r>
    </w:p>
    <w:p>
      <w:pPr>
        <w:widowControl/>
      </w:pPr>
      <w:r>
        <w:t>P10. Protopian Gambit Captions. Narrative context and Genesis references.</w:t>
      </w:r>
    </w:p>
    <w:p>
      <w:pPr>
        <w:pStyle w:val="Heading2"/>
        <w:widowControl/>
      </w:pPr>
      <w:r>
        <w:t>Aura Matrix Studio inspected for this edition</w:t>
      </w:r>
    </w:p>
    <w:p>
      <w:pPr>
        <w:widowControl/>
      </w:pPr>
      <w:r>
        <w:t>Repository snapshot 2232f1d69cc90a6598953223f841441b708d8d9a was inspected on 13 October 2026. It supplies concrete category, schema and allocation examples. Genesis extends the developing deeper layers, continuous pressure recording, model training and actual permissions through the specifications above.</w:t>
      </w:r>
    </w:p>
    <w:p>
      <w:pPr>
        <w:widowControl/>
      </w:pPr>
      <w:r>
        <w:t>R1. README and Know Thy Self direction. https://github.com/auraofintelligence/aura-matrix-studio/blob/2232f1d69cc90a6598953223f841441b708d8d9a/README.md</w:t>
      </w:r>
    </w:p>
    <w:p>
      <w:pPr>
        <w:widowControl/>
      </w:pPr>
      <w:r>
        <w:t>R2. Dataset catalogue. https://github.com/auraofintelligence/aura-matrix-studio/blob/2232f1d69cc90a6598953223f841441b708d8d9a/DATASET-CATALOGUE.md</w:t>
      </w:r>
    </w:p>
    <w:p>
      <w:pPr>
        <w:widowControl/>
      </w:pPr>
      <w:r>
        <w:t>R3. QuickStart data and dataset schema. https://github.com/auraofintelligence/aura-matrix-studio/blob/2232f1d69cc90a6598953223f841441b708d8d9a/quickstart-data.js</w:t>
      </w:r>
    </w:p>
    <w:p>
      <w:pPr>
        <w:widowControl/>
      </w:pPr>
      <w:r>
        <w:t>R4. Dataset allocation and spatial address implementation. https://github.com/auraofintelligence/aura-matrix-studio/blob/2232f1d69cc90a6598953223f841441b708d8d9a/dataset-allocation.js</w:t>
      </w:r>
    </w:p>
    <w:p>
      <w:pPr>
        <w:widowControl/>
      </w:pPr>
      <w:r>
        <w:t>R5. Dating categories, polarity dimensions and love languages. https://github.com/auraofintelligence/aura-matrix-studio/blob/2232f1d69cc90a6598953223f841441b708d8d9a/dating-data.js</w:t>
      </w:r>
    </w:p>
    <w:p>
      <w:pPr>
        <w:widowControl/>
      </w:pPr>
      <w:r>
        <w:t>R6. Friendship categories and life collections. https://github.com/auraofintelligence/aura-matrix-studio/blob/2232f1d69cc90a6598953223f841441b708d8d9a/friendship-data.js</w:t>
      </w:r>
    </w:p>
    <w:p>
      <w:pPr>
        <w:widowControl/>
      </w:pPr>
      <w:r>
        <w:t>R7. Development plan for agents, scope, encryption and tools. https://github.com/auraofintelligence/aura-matrix-studio/blob/2232f1d69cc90a6598953223f841441b708d8d9a/DEVELOPMENT-PLAN.md</w:t>
      </w:r>
    </w:p>
    <w:p>
      <w:pPr>
        <w:pStyle w:val="Heading2"/>
        <w:widowControl/>
      </w:pPr>
      <w:r>
        <w:t>External evidence checked on 13 October 2026</w:t>
      </w:r>
    </w:p>
    <w:p>
      <w:pPr>
        <w:widowControl/>
      </w:pPr>
      <w:r>
        <w:rPr>
          <w:sz w:val="20"/>
        </w:rPr>
        <w:t>E1. Therapeutic Goods Administration. Risk of fire during use of hyperbaric chambers, safety advisory, 10 October 2025. Device instructions, training and environment compatibility guide chamber integration. https://www.tga.gov.au/safety/safety-monitoring-and-information/safety-alerts/risk-fire-during-use-hyperbaric-chambers</w:t>
      </w:r>
    </w:p>
    <w:p>
      <w:pPr>
        <w:widowControl/>
      </w:pPr>
      <w:r>
        <w:rPr>
          <w:sz w:val="20"/>
        </w:rPr>
        <w:t>E2. NHMRC. National Statement on Ethical Conduct in Human Research 2025. The current statement and institutional procedures guide consent and research review. https://www.nhmrc.gov.au/about-us/publications/national-statement-ethical-conduct-human-research-2025</w:t>
      </w:r>
    </w:p>
    <w:p>
      <w:pPr>
        <w:widowControl/>
      </w:pPr>
      <w:r>
        <w:rPr>
          <w:sz w:val="20"/>
        </w:rPr>
        <w:t>E3. National Research Council. The Polygraph and Lie Detection, 2003. Informs the design and evaluation of physiological deception estimates. https://www.nationalacademies.org/read/10420/chapter/2</w:t>
      </w:r>
    </w:p>
    <w:p>
      <w:pPr>
        <w:widowControl/>
      </w:pPr>
      <w:r>
        <w:rPr>
          <w:sz w:val="20"/>
        </w:rPr>
        <w:t>E4. Therapeutic Goods Administration. Limitations of pulse oximeters and the effect of skin pigmentation, 2022. Supports recording device limitations and context. https://www.tga.gov.au/news/safety-updates/limitations-pulse-oximeters-and-effect-skin-pigmentation</w:t>
      </w:r>
    </w:p>
    <w:p>
      <w:pPr>
        <w:widowControl/>
      </w:pPr>
      <w:r>
        <w:rPr>
          <w:sz w:val="20"/>
        </w:rPr>
        <w:t>E5. NATA. Human Pathology ISO 15189 Laboratory Accreditation. Laboratory scope is matched to clinical testing. https://nata.com.au/accreditation/medical-laboratory-accreditation-iso-15189/</w:t>
      </w:r>
    </w:p>
    <w:p>
      <w:pPr>
        <w:widowControl/>
      </w:pPr>
      <w:r>
        <w:rPr>
          <w:sz w:val="20"/>
        </w:rPr>
        <w:t>E6. Australian Commission on Safety and Quality in Health Care. Requirements for Medical Testing for Human Genetic Variation, fourth edition, 2025. Guides planning of clinical genetic testing pathways. https://www.safetyandquality.gov.au/resources/requirements-medical-testing-human-genetic-variation-fourth-edition-2025</w:t>
      </w:r>
    </w:p>
    <w:p>
      <w:pPr>
        <w:widowControl/>
      </w:pPr>
      <w:r>
        <w:rPr>
          <w:sz w:val="20"/>
        </w:rPr>
        <w:t>E7. Nature Medicine. Validation of biomarkers of aging, 2024. Supports attention to intended use and validation before clinical interpretation. https://www.nature.com/articles/s41591-023-02784-9</w:t>
      </w:r>
    </w:p>
    <w:p>
      <w:pPr>
        <w:widowControl/>
      </w:pPr>
      <w:r>
        <w:rPr>
          <w:sz w:val="20"/>
        </w:rPr>
        <w:t>E8. CDC. About the National Exposure Report. Informs interpretation of named exposure measures and their health context. https://www.cdc.gov/environmental-exposure-report/about/index.html</w:t>
      </w:r>
    </w:p>
    <w:p>
      <w:pPr>
        <w:widowControl/>
      </w:pPr>
      <w:r>
        <w:rPr>
          <w:sz w:val="20"/>
        </w:rPr>
        <w:t>E9. Office of the Australian Information Commissioner. Guide to Health Privacy, introduction and key concepts. Health, genetic and linked sample information require appropriate handling. https://www.oaic.gov.au/privacy/privacy-guidance-for-organisations-and-government-agencies/health-service-providers/guide-to-health-privacy/introduction-and-key-concepts</w:t>
      </w:r>
    </w:p>
    <w:p>
      <w:pPr>
        <w:widowControl/>
      </w:pPr>
      <w:r>
        <w:rPr>
          <w:sz w:val="20"/>
        </w:rPr>
        <w:t>E10. Therapeutic Goods Administration. Understanding how we regulate software based medical devices, 24 February 2026. Intended purpose guides regulatory assessment. https://www.tga.gov.au/resources/guidance/understanding-how-we-regulate-software-based-medical-devices</w:t>
      </w:r>
    </w:p>
    <w:p>
      <w:pPr>
        <w:widowControl/>
      </w:pPr>
      <w:r>
        <w:rPr>
          <w:sz w:val="20"/>
        </w:rPr>
        <w:t>E11. Genomic Standards Consortium. Minimum Information about any x Sequence. Supports contextual metadata for sequence records. https://genomicsstandardsconsortium.github.io/mixs/</w:t>
      </w:r>
    </w:p>
    <w:p>
      <w:pPr>
        <w:widowControl/>
      </w:pPr>
      <w:r>
        <w:rPr>
          <w:sz w:val="20"/>
        </w:rPr>
        <w:t>E12. Garry, M., Manning, C. G., Loftus, E. F. and Sherman, S. J. Imagination inflation, 1996. Informs open prompts and provenance for guided recollection. https://pubmed.ncbi.nlm.nih.gov/24213869/</w:t>
      </w:r>
    </w:p>
    <w:p>
      <w:pPr>
        <w:widowControl/>
      </w:pPr>
      <w:r>
        <w:t>Numeric sensing bands, timing goals, hardware envelopes and resource budgets are proposed planning specifications. Bench measurement, device selection and the defined adult feasibility study establish performance for the actual implementation. Personal meaning, biological change and computational fidelity each retain their appropriate evaluation records.</w:t>
      </w:r>
    </w:p>
    <w:sectPr w:rsidR="00FC693F" w:rsidRPr="0006063C" w:rsidSect="00034616">
      <w:footerReference w:type="default" r:id="rId9"/>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Aura Genesis Protocol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6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Genesis Protocol Game Design Document</dc:title>
  <dc:subject>Pre trial game and system specification</dc:subject>
  <dc:creator>Aura of Intelligence</dc:creator>
  <cp:keywords>Aura Genesis, GDD, sensors, data sovereignty</cp:keywords>
  <dc:description>generated by python-docx</dc:description>
  <cp:lastModifiedBy/>
  <cp:revision>1</cp:revision>
  <dcterms:created xsi:type="dcterms:W3CDTF">2013-12-23T23:15:00Z</dcterms:created>
  <dcterms:modified xsi:type="dcterms:W3CDTF">2013-12-23T23:15:00Z</dcterms:modified>
  <cp:category/>
</cp:coreProperties>
</file>