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4211D"/>
          <w:sz w:val="22"/>
          <w:szCs w:val="22"/>
        </w:rPr>
        <w:t xml:space="preserve">OSINTrack</w:t>
      </w:r>
    </w:p>
    <w:p>
      <w:pPr>
        <w:spacing w:after="60"/>
      </w:pPr>
      <w:r>
        <w:rPr>
          <w:b/>
          <w:bCs/>
          <w:sz w:val="40"/>
          <w:szCs w:val="40"/>
        </w:rPr>
        <w:t xml:space="preserve">RAPPORT DE RECHERCHE OSINT</w:t>
      </w:r>
    </w:p>
    <w:p>
      <w:pPr>
        <w:spacing w:after="160"/>
      </w:pPr>
      <w:r>
        <w:rPr>
          <w:i/>
          <w:iCs/>
          <w:color w:val="5C5C5C"/>
          <w:sz w:val="19"/>
          <w:szCs w:val="19"/>
        </w:rPr>
        <w:t xml:space="preserve">Modèle vierge — usage éducatif. Ce document accompagne le référentiel OSINTrack.</w:t>
      </w:r>
    </w:p>
    <w:p>
      <w:pPr>
        <w:pStyle w:val="Heading1"/>
        <w:spacing w:after="160" w:before="320"/>
      </w:pPr>
      <w:r>
        <w:t xml:space="preserve">1. Informations générales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  <w:shd w:fill="F7F7F7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Champ</w:t>
            </w:r>
          </w:p>
        </w:tc>
        <w:tc>
          <w:tcPr>
            <w:tcW w:type="dxa" w:w="60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  <w:shd w:fill="F7F7F7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Titre de la recherche</w:t>
            </w:r>
          </w:p>
        </w:tc>
        <w:tc>
          <w:tcPr>
            <w:tcW w:type="dxa" w:w="60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Auteur</w:t>
            </w:r>
          </w:p>
        </w:tc>
        <w:tc>
          <w:tcPr>
            <w:tcW w:type="dxa" w:w="60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60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0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Public / Interne / Confidentiel</w:t>
            </w:r>
          </w:p>
        </w:tc>
      </w:tr>
      <w:tr>
        <w:tc>
          <w:tcPr>
            <w:tcW w:type="dxa" w:w="30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Cadre de la recherche</w:t>
            </w:r>
          </w:p>
        </w:tc>
        <w:tc>
          <w:tcPr>
            <w:tcW w:type="dxa" w:w="60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Exercice pédagogique / Audit / Veille / Investigation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t xml:space="preserve">2. Objectif</w:t>
      </w:r>
    </w:p>
    <w:p>
      <w:pPr>
        <w:spacing w:after="160"/>
      </w:pPr>
      <w:r>
        <w:rPr>
          <w:i/>
          <w:iCs/>
          <w:color w:val="5C5C5C"/>
          <w:sz w:val="19"/>
          <w:szCs w:val="19"/>
        </w:rPr>
        <w:t xml:space="preserve">Décrire précisément la question à laquelle la recherche doit répondre.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Style w:val="Heading1"/>
        <w:spacing w:after="160" w:before="320"/>
      </w:pPr>
      <w:r>
        <w:t xml:space="preserve">3. Point de départ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  <w:shd w:fill="F7F7F7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  <w:shd w:fill="F7F7F7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60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t xml:space="preserve">4. Méthodologie</w:t>
      </w:r>
    </w:p>
    <w:p>
      <w:pPr>
        <w:spacing w:after="160"/>
      </w:pPr>
      <w:r>
        <w:rPr>
          <w:i/>
          <w:iCs/>
          <w:color w:val="5C5C5C"/>
          <w:sz w:val="19"/>
          <w:szCs w:val="19"/>
        </w:rPr>
        <w:t xml:space="preserve">Décrire les différentes étapes suivies, dans l'ordre.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Style w:val="Heading1"/>
        <w:spacing w:after="160" w:before="320"/>
      </w:pPr>
      <w:r>
        <w:t xml:space="preserve">5. Outils utilisés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1400"/>
        <w:gridCol w:w="1400"/>
      </w:tblGrid>
      <w:tr>
        <w:tc>
          <w:tcPr>
            <w:tcW w:type="dxa" w:w="24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  <w:shd w:fill="F7F7F7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Outil</w:t>
            </w:r>
          </w:p>
        </w:tc>
        <w:tc>
          <w:tcPr>
            <w:tcW w:type="dxa" w:w="24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  <w:shd w:fill="F7F7F7" w:val="clear"/>
          </w:tcPr>
          <w:p>
            <w:r>
              <w:rPr>
                <w:b/>
                <w:bCs/>
                <w:sz w:val="18"/>
                <w:szCs w:val="18"/>
              </w:rPr>
              <w:t xml:space="preserve">Objectif</w:t>
            </w:r>
          </w:p>
        </w:tc>
        <w:tc>
          <w:tcPr>
            <w:tcW w:type="dxa" w:w="18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  <w:shd w:fill="F7F7F7" w:val="clear"/>
          </w:tcPr>
          <w:p>
            <w:r>
              <w:rPr>
                <w:b/>
                <w:bCs/>
                <w:sz w:val="18"/>
                <w:szCs w:val="18"/>
              </w:rPr>
              <w:t xml:space="preserve">Résultat</w:t>
            </w:r>
          </w:p>
        </w:tc>
        <w:tc>
          <w:tcPr>
            <w:tcW w:type="dxa" w:w="14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  <w:shd w:fill="F7F7F7" w:val="clear"/>
          </w:tcPr>
          <w:p>
            <w:r>
              <w:rPr>
                <w:b/>
                <w:bCs/>
                <w:sz w:val="18"/>
                <w:szCs w:val="18"/>
              </w:rPr>
              <w:t xml:space="preserve">Fiabilité (A-F)</w:t>
            </w:r>
          </w:p>
        </w:tc>
        <w:tc>
          <w:tcPr>
            <w:tcW w:type="dxa" w:w="14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  <w:shd w:fill="F7F7F7" w:val="clear"/>
          </w:tcPr>
          <w:p>
            <w:r>
              <w:rPr>
                <w:b/>
                <w:bCs/>
                <w:sz w:val="18"/>
                <w:szCs w:val="18"/>
              </w:rPr>
              <w:t xml:space="preserve">Crédibilité (1-6)</w:t>
            </w:r>
          </w:p>
        </w:tc>
      </w:tr>
      <w:tr>
        <w:tc>
          <w:tcPr>
            <w:tcW w:type="dxa" w:w="24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  <w:r>
        <w:rPr>
          <w:i/>
          <w:iCs/>
          <w:color w:val="5C5C5C"/>
          <w:sz w:val="19"/>
          <w:szCs w:val="19"/>
        </w:rPr>
        <w:t xml:space="preserve">Grille Admiralty — Fiabilité de la source : A (entièrement fiable) → F (fiabilité inconnue). Crédibilité de l'information : 1 (confirmée par d'autres sources) → 6 (impossible à juger).</w:t>
      </w:r>
    </w:p>
    <w:p>
      <w:pPr>
        <w:spacing w:after="120"/>
      </w:pPr>
    </w:p>
    <w:p>
      <w:pPr>
        <w:pStyle w:val="Heading1"/>
        <w:spacing w:after="160" w:before="320"/>
      </w:pPr>
      <w:r>
        <w:t xml:space="preserve">6. Résultats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Identité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Comptes découverts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Domaines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Images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Fuites de données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Style w:val="Heading1"/>
        <w:spacing w:after="160" w:before="320"/>
      </w:pPr>
      <w:r>
        <w:t xml:space="preserve">7. Corrélations</w:t>
      </w:r>
    </w:p>
    <w:p>
      <w:pPr>
        <w:spacing w:after="160"/>
      </w:pPr>
      <w:r>
        <w:rPr>
          <w:i/>
          <w:iCs/>
          <w:color w:val="5C5C5C"/>
          <w:sz w:val="19"/>
          <w:szCs w:val="19"/>
        </w:rPr>
        <w:t xml:space="preserve">Relier les informations entre elles (ex : même pseudonyme sur deux plateformes, même photo, même numéro...).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Style w:val="Heading1"/>
        <w:spacing w:after="160" w:before="320"/>
      </w:pPr>
      <w:r>
        <w:t xml:space="preserve">8. Chaîne de raisonnement</w:t>
      </w:r>
    </w:p>
    <w:p>
      <w:pPr>
        <w:spacing w:after="160"/>
      </w:pPr>
      <w:r>
        <w:rPr>
          <w:i/>
          <w:iCs/>
          <w:color w:val="5C5C5C"/>
          <w:sz w:val="19"/>
          <w:szCs w:val="19"/>
        </w:rPr>
        <w:t xml:space="preserve">Retracer le cheminement de l'enquête : comment chaque découverte a mené à la suivante.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  <w:shd w:fill="F7F7F7" w:val="clear"/>
          </w:tcPr>
          <w:p>
            <w:r>
              <w:rPr>
                <w:b/>
                <w:bCs/>
                <w:sz w:val="18"/>
                <w:szCs w:val="18"/>
              </w:rPr>
              <w:t xml:space="preserve">Étape</w:t>
            </w:r>
          </w:p>
        </w:tc>
        <w:tc>
          <w:tcPr>
            <w:tcW w:type="dxa" w:w="32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  <w:shd w:fill="F7F7F7" w:val="clear"/>
          </w:tcPr>
          <w:p>
            <w:r>
              <w:rPr>
                <w:b/>
                <w:bCs/>
                <w:sz w:val="18"/>
                <w:szCs w:val="18"/>
              </w:rPr>
              <w:t xml:space="preserve">Élément découvert</w:t>
            </w:r>
          </w:p>
        </w:tc>
        <w:tc>
          <w:tcPr>
            <w:tcW w:type="dxa" w:w="36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  <w:shd w:fill="F7F7F7" w:val="clear"/>
          </w:tcPr>
          <w:p>
            <w:r>
              <w:rPr>
                <w:b/>
                <w:bCs/>
                <w:sz w:val="18"/>
                <w:szCs w:val="18"/>
              </w:rPr>
              <w:t xml:space="preserve">Pourquoi / pivot</w:t>
            </w:r>
          </w:p>
        </w:tc>
      </w:tr>
      <w:tr>
        <w:tc>
          <w:tcPr>
            <w:tcW w:type="dxa" w:w="22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2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2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2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2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t xml:space="preserve">9. Évaluation de la fiabilité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c>
          <w:tcPr>
            <w:tcW w:type="dxa" w:w="60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  <w:shd w:fill="F7F7F7" w:val="clear"/>
          </w:tcPr>
          <w:p>
            <w:r>
              <w:rPr>
                <w:b/>
                <w:bCs/>
                <w:sz w:val="18"/>
                <w:szCs w:val="18"/>
              </w:rPr>
              <w:t xml:space="preserve">Information</w:t>
            </w:r>
          </w:p>
        </w:tc>
        <w:tc>
          <w:tcPr>
            <w:tcW w:type="dxa" w:w="30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  <w:shd w:fill="F7F7F7" w:val="clear"/>
          </w:tcPr>
          <w:p>
            <w:r>
              <w:rPr>
                <w:b/>
                <w:bCs/>
                <w:sz w:val="18"/>
                <w:szCs w:val="18"/>
              </w:rPr>
              <w:t xml:space="preserve">Niveau de confiance</w:t>
            </w:r>
          </w:p>
        </w:tc>
      </w:tr>
      <w:tr>
        <w:tc>
          <w:tcPr>
            <w:tcW w:type="dxa" w:w="60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Confirmée par plusieurs sources</w:t>
            </w:r>
          </w:p>
        </w:tc>
        <w:tc>
          <w:tcPr>
            <w:tcW w:type="dxa" w:w="30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Élevé</w:t>
            </w:r>
          </w:p>
        </w:tc>
      </w:tr>
      <w:tr>
        <w:tc>
          <w:tcPr>
            <w:tcW w:type="dxa" w:w="60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Confirmée par une seule source</w:t>
            </w:r>
          </w:p>
        </w:tc>
        <w:tc>
          <w:tcPr>
            <w:tcW w:type="dxa" w:w="30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Moyen</w:t>
            </w:r>
          </w:p>
        </w:tc>
      </w:tr>
      <w:tr>
        <w:tc>
          <w:tcPr>
            <w:tcW w:type="dxa" w:w="60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Hypothèse non confirmée</w:t>
            </w:r>
          </w:p>
        </w:tc>
        <w:tc>
          <w:tcPr>
            <w:tcW w:type="dxa" w:w="3000"/>
            <w:tcBorders>
              <w:top w:val="single" w:color="E1E1E1" w:sz="4"/>
              <w:left w:val="single" w:color="E1E1E1" w:sz="4"/>
              <w:bottom w:val="single" w:color="E1E1E1" w:sz="4"/>
              <w:right w:val="single" w:color="E1E1E1" w:sz="4"/>
            </w:tcBorders>
          </w:tcPr>
          <w:p>
            <w:r>
              <w:rPr>
                <w:sz w:val="18"/>
                <w:szCs w:val="18"/>
              </w:rPr>
              <w:t xml:space="preserve">Faible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t xml:space="preserve">10. Limites de la recherche</w:t>
      </w:r>
    </w:p>
    <w:p>
      <w:pPr>
        <w:spacing w:after="160"/>
      </w:pPr>
      <w:r>
        <w:rPr>
          <w:i/>
          <w:iCs/>
          <w:color w:val="5C5C5C"/>
          <w:sz w:val="19"/>
          <w:szCs w:val="19"/>
        </w:rPr>
        <w:t xml:space="preserve">Données supprimées, comptes privés, résultats non vérifiables, homonymie possible...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Style w:val="Heading1"/>
        <w:spacing w:after="160" w:before="320"/>
      </w:pPr>
      <w:r>
        <w:t xml:space="preserve">11. Cadre éthique et légal</w:t>
      </w:r>
    </w:p>
    <w:p>
      <w:pPr>
        <w:spacing w:after="160"/>
      </w:pPr>
      <w:r>
        <w:rPr>
          <w:i/>
          <w:iCs/>
          <w:color w:val="5C5C5C"/>
          <w:sz w:val="19"/>
          <w:szCs w:val="19"/>
        </w:rPr>
        <w:t xml:space="preserve">Finalité légitime — données strictement nécessaires — respect de la vie privée — pas de diffusion non autorisée.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Style w:val="Heading1"/>
        <w:spacing w:after="160" w:before="320"/>
      </w:pPr>
      <w:r>
        <w:t xml:space="preserve">12. Conclusion</w:t>
      </w:r>
    </w:p>
    <w:p>
      <w:pPr>
        <w:spacing w:after="160"/>
      </w:pPr>
      <w:r>
        <w:rPr>
          <w:i/>
          <w:iCs/>
          <w:color w:val="5C5C5C"/>
          <w:sz w:val="19"/>
          <w:szCs w:val="19"/>
        </w:rPr>
        <w:t xml:space="preserve">Résumé des principaux résultats en quelques paragraphes.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Style w:val="Heading1"/>
        <w:spacing w:after="160" w:before="320"/>
      </w:pPr>
      <w:r>
        <w:t xml:space="preserve">13. Annexes</w:t>
      </w:r>
    </w:p>
    <w:p>
      <w:pPr>
        <w:spacing w:after="160"/>
      </w:pPr>
      <w:r>
        <w:rPr>
          <w:i/>
          <w:iCs/>
          <w:color w:val="5C5C5C"/>
          <w:sz w:val="19"/>
          <w:szCs w:val="19"/>
        </w:rPr>
        <w:t xml:space="preserve">Captures d'écran, URLs, exports, horodatages, hash des fichiers.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p>
      <w:pPr>
        <w:pBdr>
          <w:bottom w:val="single" w:color="BFBAA7" w:sz="4"/>
        </w:pBdr>
        <w:spacing w:after="20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2026-08-04T12:15:22.186Z</dcterms:created>
  <dcterms:modified xsi:type="dcterms:W3CDTF">2026-08-04T12:15:22.200Z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