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http://schemas.openxmlformats.org/markup-compatibility/2006" xmlns:ns3="http://schemas.openxmlformats.org/drawingml/2006/wordprocessingDrawing" xmlns:ns4="http://schemas.openxmlformats.org/drawingml/2006/main" xmlns:ns5="http://schemas.microsoft.com/office/word/2010/wordprocessingShape" xmlns:ns6="http://schemas.openxmlformats.org/drawingml/2006/picture" xmlns:r="http://schemas.openxmlformats.org/officeDocument/2006/relationships" xmlns:w="http://schemas.openxmlformats.org/wordprocessingml/2006/main">
  <w:body>
    <w:p ns1:paraId="00000001">
      <w:pPr>
        <w:pStyle w:val="Heading2"/>
        <w:rPr>
          <w:color w:val="1a703a"/>
        </w:rPr>
      </w:pPr>
      <w:bookmarkStart w:colFirst="0" w:colLast="0" w:name="_heading=h.fuuxw87etzty" w:id="0"/>
      <w:bookmarkEnd w:id="0"/>
      <w:r>
        <w:rPr>
          <w:color w:val="1a703a"/>
          <w:rtl w:val="0"/>
        </w:rPr>
        <w:t xml:space="preserve">Phase-space validation</w:t>
      </w:r>
    </w:p>
    <w:p ns1:paraId="00000002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ns1:paraId="00000003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ns1:paraId="00000004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  <w:r>
        <ns2:AlternateContent>
          <ns2:Choice Requires="wpg">
            <w:drawing>
              <ns3:anchor allowOverlap="1" behindDoc="0" distB="228600" distT="228600" distL="228600" distR="228600" hidden="0" layoutInCell="1" locked="0" relativeHeight="0" simplePos="0">
                <ns3:simplePos x="0" y="0"/>
                <ns3:positionH relativeFrom="column">
                  <ns3:posOffset>2600325</ns3:posOffset>
                </ns3:positionH>
                <ns3:positionV relativeFrom="paragraph">
                  <ns3:posOffset>352425</ns3:posOffset>
                </ns3:positionV>
                <ns3:extent cx="742950" cy="16449"/>
                <ns3:effectExtent b="0" l="0" r="0" t="0"/>
                <ns3:wrapTopAndBottom distB="228600" distT="228600"/>
                <ns3:docPr id="1" name=""/>
                <ns4:graphic>
                  <ns4:graphicData uri="http://schemas.microsoft.com/office/word/2010/wordprocessingShape">
                    <ns5:wsp>
                      <ns5:cNvSpPr/>
                      <ns5:cNvPr id="2" name="Shape 2"/>
                      <ns5:spPr>
                        <ns4:xfrm>
                          <ns4:off x="4060250" y="3527350"/>
                          <ns4:ext cx="2563200" cy="33900"/>
                        </ns4:xfrm>
                        <ns4:prstGeom prst="rect">
                          <ns4:avLst/>
                        </ns4:prstGeom>
                        <ns4:solidFill>
                          <ns4:srgbClr val="1A703A"/>
                        </ns4:solidFill>
                        <ns4:ln>
                          <ns4:noFill/>
                        </ns4:ln>
                      </ns5:spPr>
                      <ns5:txbx>
                        <w:txbxContent>
                          <w:p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ns5:txbx>
                      <ns5:bodyPr anchorCtr="0" anchor="ctr" bIns="91425" lIns="91425" spcFirstLastPara="1" rIns="91425" wrap="square" tIns="91425">
                        <ns4:noAutofit/>
                      </ns5:bodyPr>
                    </ns5:wsp>
                  </ns4:graphicData>
                </ns4:graphic>
              </ns3:anchor>
            </w:drawing>
          </ns2:Choice>
          <ns2:Fallback>
            <w:drawing>
              <ns3:anchor allowOverlap="1" behindDoc="0" distB="228600" distT="228600" distL="228600" distR="228600" hidden="0" layoutInCell="1" locked="0" relativeHeight="0" simplePos="0">
                <ns3:simplePos x="0" y="0"/>
                <ns3:positionH relativeFrom="column">
                  <ns3:posOffset>2600325</ns3:posOffset>
                </ns3:positionH>
                <ns3:positionV relativeFrom="paragraph">
                  <ns3:posOffset>352425</ns3:posOffset>
                </ns3:positionV>
                <ns3:extent cx="742950" cy="16449"/>
                <ns3:effectExtent b="0" l="0" r="0" t="0"/>
                <ns3:wrapTopAndBottom distB="228600" distT="228600"/>
                <ns3:docPr id="1" name="image1.png"/>
                <ns4:graphic>
                  <ns4:graphicData uri="http://schemas.openxmlformats.org/drawingml/2006/picture">
                    <ns6:pic>
                      <ns6:nvPicPr>
                        <ns6:cNvPr id="0" name="image1.png"/>
                        <ns6:cNvPicPr preferRelativeResize="0"/>
                      </ns6:nvPicPr>
                      <ns6:blipFill>
                        <ns4:blip r:embed="rId7"/>
                        <ns4:srcRect/>
                        <ns4:stretch>
                          <ns4:fillRect/>
                        </ns4:stretch>
                      </ns6:blipFill>
                      <ns6:spPr>
                        <ns4:xfrm>
                          <ns4:off x="0" y="0"/>
                          <ns4:ext cx="742950" cy="16449"/>
                        </ns4:xfrm>
                        <ns4:prstGeom prst="rect"/>
                        <ns4:ln/>
                      </ns6:spPr>
                    </ns6:pic>
                  </ns4:graphicData>
                </ns4:graphic>
              </ns3:anchor>
            </w:drawing>
          </ns2:Fallback>
        </ns2:AlternateContent>
      </w:r>
    </w:p>
    <w:p ns1:paraId="00000005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ns1:paraId="00000006">
      <w:pPr>
        <w:rPr>
          <w:rFonts w:ascii="Georgia" w:cs="Georgia" w:eastAsia="Georgia" w:hAnsi="Georgia"/>
          <w:color w:val="002715"/>
        </w:rPr>
      </w:pPr>
      <w:r>
        <w:rPr>
          <w:rtl w:val="0"/>
        </w:rPr>
      </w:r>
    </w:p>
    <w:p ns1:paraId="00000007">
      <w:pPr>
        <w:pStyle w:val="Title"/>
        <w:rPr>
          <w:rFonts w:ascii="Georgia" w:cs="Georgia" w:eastAsia="Georgia" w:hAnsi="Georgia"/>
          <w:color w:val="1a703a"/>
        </w:rPr>
      </w:pPr>
      <w:r>
        <w:rPr>
          <w:rFonts w:ascii="Georgia" w:cs="Georgia" w:eastAsia="Georgia" w:hAnsi="Georgia"/>
          <w:color w:val="1a703a"/>
          <w:rtl w:val="0"/>
        </w:rPr>
        <w:t xml:space="preserve">Engineering</w:t>
      </w:r>
    </w:p>
    <w:p ns1:paraId="00000008">
      <w:pPr>
        <w:pStyle w:val="Title"/>
        <w:rPr>
          <w:rFonts w:ascii="Georgia" w:cs="Georgia" w:eastAsia="Georgia" w:hAnsi="Georgia"/>
          <w:color w:val="1a703a"/>
        </w:rPr>
      </w:pPr>
      <w:r>
        <w:rPr>
          <w:rFonts w:ascii="Georgia" w:cs="Georgia" w:eastAsia="Georgia" w:hAnsi="Georgia"/>
          <w:color w:val="1a703a"/>
          <w:rtl w:val="0"/>
        </w:rPr>
        <w:t xml:space="preserve">Phase-space / dialectic</w:t>
      </w:r>
    </w:p>
    <w:p ns1:paraId="00000009">
      <w:pPr>
        <w:pStyle w:val="Heading3"/>
        <w:rPr>
          <w:color w:val="105128"/>
        </w:rPr>
      </w:pPr>
      <w:bookmarkStart w:colFirst="0" w:colLast="0" w:name="_heading=h.vj0y3v9ru4fn" w:id="1"/>
      <w:bookmarkEnd w:id="1"/>
      <w:r>
        <w:rPr>
          <w:rtl w:val="0"/>
        </w:rPr>
      </w:r>
    </w:p>
    <w:p ns1:paraId="0000000A">
      <w:pPr>
        <w:pStyle w:val="Heading3"/>
        <w:rPr>
          <w:color w:val="105128"/>
        </w:rPr>
      </w:pPr>
      <w:bookmarkStart w:colFirst="0" w:colLast="0" w:name="_heading=h.r64a6lc0ytip" w:id="2"/>
      <w:bookmarkEnd w:id="2"/>
      <w:r>
        <w:rPr>
          <w:rtl w:val="0"/>
        </w:rPr>
      </w:r>
    </w:p>
    <w:p ns1:paraId="0000000B">
      <w:pPr>
        <w:pStyle w:val="Heading3"/>
        <w:rPr>
          <w:color w:val="105128"/>
        </w:rPr>
      </w:pPr>
      <w:bookmarkStart w:colFirst="0" w:colLast="0" w:name="_heading=h.8n89tlutz5i6" w:id="3"/>
      <w:bookmarkEnd w:id="3"/>
      <w:r>
        <w:rPr>
          <w:rtl w:val="0"/>
        </w:rPr>
      </w:r>
    </w:p>
    <w:p ns1:paraId="0000000C">
      <w:pPr>
        <w:pStyle w:val="Heading3"/>
        <w:rPr>
          <w:color w:val="053b22"/>
        </w:rPr>
      </w:pPr>
      <w:bookmarkStart w:colFirst="0" w:colLast="0" w:name="_heading=h.rnjlnh61vquq" w:id="4"/>
      <w:bookmarkEnd w:id="4"/>
      <w:r>
        <w:rPr>
          <w:rtl w:val="0"/>
        </w:rPr>
      </w:r>
    </w:p>
    <w:p ns1:paraId="0000000D">
      <w:pPr>
        <w:rPr>
          <w:color w:val="002715"/>
        </w:rPr>
      </w:pPr>
      <w:r>
        <w:rPr>
          <w:rtl w:val="0"/>
        </w:rPr>
      </w:r>
    </w:p>
    <w:p ns1:paraId="0000000E">
      <w:pPr>
        <w:rPr>
          <w:color w:val="002715"/>
        </w:rPr>
      </w:pPr>
      <w:r>
        <w:rPr>
          <w:rtl w:val="0"/>
        </w:rPr>
      </w:r>
    </w:p>
    <w:p ns1:paraId="0000000F">
      <w:pPr>
        <w:rPr>
          <w:color w:val="002715"/>
        </w:rPr>
      </w:pPr>
      <w:r>
        <w:rPr>
          <w:rtl w:val="0"/>
        </w:rPr>
      </w:r>
    </w:p>
    <w:p ns1:paraId="00000010">
      <w:pPr>
        <w:rPr>
          <w:color w:val="002715"/>
        </w:rPr>
      </w:pPr>
      <w:r>
        <w:rPr>
          <w:rtl w:val="0"/>
        </w:rPr>
      </w:r>
    </w:p>
    <w:p ns1:paraId="00000011">
      <w:pPr>
        <w:rPr>
          <w:color w:val="002715"/>
        </w:rPr>
      </w:pPr>
      <w:r>
        <w:rPr>
          <w:rtl w:val="0"/>
        </w:rPr>
      </w:r>
    </w:p>
    <w:p ns1:paraId="00000012">
      <w:pPr>
        <w:rPr>
          <w:color w:val="002715"/>
        </w:rPr>
      </w:pPr>
      <w:r>
        <w:rPr>
          <w:rtl w:val="0"/>
        </w:rPr>
      </w:r>
    </w:p>
    <w:p ns1:paraId="00000013">
      <w:pPr>
        <w:rPr>
          <w:color w:val="002715"/>
        </w:rPr>
      </w:pPr>
      <w:r>
        <w:rPr>
          <w:rtl w:val="0"/>
        </w:rPr>
      </w:r>
    </w:p>
    <w:p ns1:paraId="00000014">
      <w:pPr>
        <w:rPr>
          <w:color w:val="002715"/>
        </w:rPr>
      </w:pPr>
      <w:r>
        <w:rPr>
          <w:rtl w:val="0"/>
        </w:rPr>
      </w:r>
    </w:p>
    <w:p ns1:paraId="00000015">
      <w:pPr>
        <w:rPr>
          <w:color w:val="002715"/>
        </w:rPr>
      </w:pPr>
      <w:r>
        <w:rPr>
          <w:rtl w:val="0"/>
        </w:rPr>
      </w:r>
    </w:p>
    <w:p ns1:paraId="00000016">
      <w:pPr>
        <w:rPr>
          <w:color w:val="002715"/>
        </w:rPr>
      </w:pPr>
      <w:r>
        <w:rPr>
          <w:rtl w:val="0"/>
        </w:rPr>
      </w:r>
    </w:p>
    <w:p ns1:paraId="00000017">
      <w:pPr>
        <w:rPr>
          <w:color w:val="434343"/>
        </w:rPr>
      </w:pPr>
      <w:r>
        <w:rPr>
          <w:rtl w:val="0"/>
        </w:rPr>
      </w:r>
    </w:p>
    <w:p ns1:paraId="00000018">
      <w:pPr>
        <w:pStyle w:val="Heading3"/>
        <w:rPr>
          <w:color w:val="000000"/>
        </w:rPr>
      </w:pPr>
      <w:bookmarkStart w:colFirst="0" w:colLast="0" w:name="_heading=h.a28c2t63c20t" w:id="5"/>
      <w:bookmarkEnd w:id="5"/>
      <w:r>
        <w:rPr>
          <w:color w:val="000000"/>
          <w:rtl w:val="0"/>
        </w:rPr>
        <w:t xml:space="preserve">NeuralCompose</w:t>
      </w:r>
    </w:p>
    <w:p ns1:paraId="00000019">
      <w:pPr>
        <w:pStyle w:val="Heading3"/>
        <w:rPr>
          <w:color w:val="000000"/>
        </w:rPr>
      </w:pPr>
      <w:bookmarkStart w:colFirst="0" w:colLast="0" w:name="_heading=h.io4lnv62zpnv" w:id="6"/>
      <w:bookmarkEnd w:id="6"/>
      <w:r>
        <w:rPr>
          <w:color w:val="000000"/>
          <w:rtl w:val="0"/>
        </w:rPr>
        <w:t xml:space="preserve">2026-09-23</w:t>
      </w:r>
    </w:p>
    <w:p ns1:paraId="0000001A">
      <w:pPr>
        <w:pStyle w:val="Heading3"/>
        <w:rPr>
          <w:color w:val="000000"/>
        </w:rPr>
      </w:pPr>
      <w:bookmarkStart w:colFirst="0" w:colLast="0" w:name="_heading=h.l0z5dez015hw" w:id="7"/>
      <w:bookmarkEnd w:id="7"/>
      <w:r>
        <w:br w:type="page"/>
      </w:r>
      <w:r>
        <w:rPr>
          <w:rtl w:val="0"/>
        </w:rPr>
      </w:r>
    </w:p>
    <w:p ns1:paraId="0000001B">
      <w:pPr>
        <w:pStyle w:val="Heading1"/>
        <w:rPr/>
      </w:pPr>
      <w:r>
        <w:rPr>
          <w:rtl w:val="0"/>
        </w:rPr>
        <w:t xml:space="preserve">Document Control</w:t>
      </w:r>
    </w:p>
    <w:p ns1:paraId="0000001C">
      <w:pPr>
        <w:rPr/>
      </w:pPr>
      <w:r>
        <w:rPr>
          <w:rtl w:val="0"/>
        </w:rPr>
      </w:r>
    </w:p>
    <w:tbl>
      <w:tblPr>
        <w:tblStyle w:val="Table1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405"/>
        <w:gridCol w:w="6945"/>
        <w:tblGridChange w:id="0">
          <w:tblGrid>
            <w:gridCol w:w="2405"/>
            <w:gridCol w:w="6945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1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vAlign w:val="center"/>
          </w:tcPr>
          <w:p ns1:paraId="0000001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1.0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1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Prepared By</w:t>
            </w:r>
          </w:p>
        </w:tc>
        <w:tc>
          <w:tcPr>
            <w:vAlign w:val="center"/>
          </w:tcPr>
          <w:p ns1:paraId="0000002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Automated local engineering validation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2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Reviewers</w:t>
            </w:r>
          </w:p>
        </w:tc>
        <w:tc>
          <w:tcPr>
            <w:vAlign w:val="center"/>
          </w:tcPr>
          <w:p ns1:paraId="0000002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Not assigned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23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Date Prepared</w:t>
            </w:r>
          </w:p>
        </w:tc>
        <w:tc>
          <w:tcPr>
            <w:vAlign w:val="center"/>
          </w:tcPr>
          <w:p ns1:paraId="0000002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2026-09-23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2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Reporting Window</w:t>
            </w:r>
          </w:p>
        </w:tc>
        <w:tc>
          <w:tcPr>
            <w:vAlign w:val="center"/>
          </w:tcPr>
          <w:p ns1:paraId="0000002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Fixed benchmark schedule; see run manifest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27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vAlign w:val="center"/>
          </w:tcPr>
          <w:p ns1:paraId="0000002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Measured engineering report</w:t>
            </w:r>
          </w:p>
        </w:tc>
      </w:tr>
    </w:tbl>
    <w:p ns1:paraId="00000029">
      <w:pPr>
        <w:rPr>
          <w:rFonts w:ascii="Georgia" w:cs="Georgia" w:eastAsia="Georgia" w:hAnsi="Georgia"/>
        </w:rPr>
      </w:pPr>
      <w:r>
        <w:rPr>
          <w:rtl w:val="0"/>
        </w:rPr>
      </w:r>
    </w:p>
    <w:p ns1:paraId="0000002A">
      <w:pPr>
        <w:pStyle w:val="Heading1"/>
        <w:rPr/>
      </w:pPr>
      <w:r>
        <w:rPr>
          <w:rtl w:val="0"/>
        </w:rPr>
        <w:t xml:space="preserve">Purpose</w:t>
      </w:r>
    </w:p>
    <w:p ns1:paraId="0000002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Measure whether the full composition fits the frame budget, against trace-only rendering on identical deterministic input. Frame timing is limited by display refresh, so it cannot resolve rendering cost below one refresh interval.</w:t>
      </w:r>
    </w:p>
    <w:p ns1:paraId="0000002C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Keep per-run evidence, build identity, and limits available to maintainers.</w:t>
      </w:r>
    </w:p>
    <w:p ns1:paraId="0000002D">
      <w:pPr>
        <w:spacing w:after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ns1:paraId="0000002E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Engineering Context</w:t>
      </w:r>
    </w:p>
    <w:p ns1:paraId="0000002F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The scene combines four-channel EEG, frequency contributions, model candidates, and final text.</w:t>
      </w:r>
    </w:p>
    <w:p ns1:paraId="00000030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Semantic position encodes chronology and role only. Explicit edges carry cosine; absent embeddings do not produce invented coordinates or edges.</w:t>
      </w:r>
    </w:p>
    <w:p ns1:paraId="00000031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Experiment Summary</w:t>
      </w:r>
    </w:p>
    <w:p ns1:paraId="00000032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2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803"/>
        <w:tblGridChange w:id="0">
          <w:tblGrid>
            <w:gridCol w:w="2547"/>
            <w:gridCol w:w="6803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ns1:paraId="0000003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shd w:fill="f3f3f3" w:val="clear"/>
            <w:vAlign w:val="center"/>
          </w:tcPr>
          <w:p ns1:paraId="0000003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Details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3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Experiment Name</w:t>
            </w:r>
          </w:p>
        </w:tc>
        <w:tc>
          <w:tcPr>
            <w:vAlign w:val="center"/>
          </w:tcPr>
          <w:p ns1:paraId="0000003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Phase-space / live dialectic renderer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37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Experiment Key</w:t>
            </w:r>
          </w:p>
        </w:tc>
        <w:tc>
          <w:tcPr>
            <w:vAlign w:val="center"/>
          </w:tcPr>
          <w:p ns1:paraId="0000003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phase-space-v1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39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Owner Team</w:t>
            </w:r>
          </w:p>
        </w:tc>
        <w:tc>
          <w:tcPr>
            <w:vAlign w:val="center"/>
          </w:tcPr>
          <w:p ns1:paraId="0000003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NeuralCompose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3B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Business Owner</w:t>
            </w:r>
          </w:p>
        </w:tc>
        <w:tc>
          <w:tcPr>
            <w:vAlign w:val="center"/>
          </w:tcPr>
          <w:p ns1:paraId="0000003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Not specified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3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Product Surface</w:t>
            </w:r>
          </w:p>
        </w:tc>
        <w:tc>
          <w:tcPr>
            <w:vAlign w:val="center"/>
          </w:tcPr>
          <w:p ns1:paraId="0000003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Linux native Rust GPU window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3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Primary Objective</w:t>
            </w:r>
          </w:p>
        </w:tc>
        <w:tc>
          <w:tcPr>
            <w:vAlign w:val="center"/>
          </w:tcPr>
          <w:p ns1:paraId="0000004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Measure scene-submission timing and preserve signal/model semantics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4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Control (Variant A)</w:t>
            </w:r>
          </w:p>
        </w:tc>
        <w:tc>
          <w:tcPr>
            <w:vAlign w:val="center"/>
          </w:tcPr>
          <w:p ns1:paraId="0000004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Trace-only rendering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43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Treatment (Variant B)</w:t>
            </w:r>
          </w:p>
        </w:tc>
        <w:tc>
          <w:tcPr>
            <w:vAlign w:val="center"/>
          </w:tcPr>
          <w:p ns1:paraId="0000004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Trace, band atmosphere, chronological semantic graph, final text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45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Allocation</w:t>
            </w:r>
          </w:p>
        </w:tc>
        <w:tc>
          <w:tcPr>
            <w:vAlign w:val="center"/>
          </w:tcPr>
          <w:p ns1:paraId="0000004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Three rounds; every case once per round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47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Unit of Randomization</w:t>
            </w:r>
          </w:p>
        </w:tc>
        <w:tc>
          <w:tcPr>
            <w:vAlign w:val="center"/>
          </w:tcPr>
          <w:p ns1:paraId="0000004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Recorded seeded order within round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49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Audience</w:t>
            </w:r>
          </w:p>
        </w:tc>
        <w:tc>
          <w:tcPr>
            <w:vAlign w:val="center"/>
          </w:tcPr>
          <w:p ns1:paraId="0000004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Engineering maintainers; no human participants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4B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Exclusions</w:t>
            </w:r>
          </w:p>
        </w:tc>
        <w:tc>
          <w:tcPr>
            <w:vAlign w:val="center"/>
          </w:tcPr>
          <w:p ns1:paraId="0000004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Dirty, incomplete or aborted runs are non-quotable; no replacements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4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Start Date</w:t>
            </w:r>
          </w:p>
        </w:tc>
        <w:tc>
          <w:tcPr>
            <w:vAlign w:val="center"/>
          </w:tcPr>
          <w:p ns1:paraId="0000004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2026-09-23T08:03:13.485444+00:00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4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End Date</w:t>
            </w:r>
          </w:p>
        </w:tc>
        <w:tc>
          <w:tcPr>
            <w:vAlign w:val="center"/>
          </w:tcPr>
          <w:p ns1:paraId="0000005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2026-09-23T08:42:29.413207+00:00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5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Planned Runtime</w:t>
            </w:r>
          </w:p>
        </w:tc>
        <w:tc>
          <w:tcPr>
            <w:vAlign w:val="center"/>
          </w:tcPr>
          <w:p ns1:paraId="0000005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36 × (5 s warmup + 60 s): 39 minutes, plus setup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53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Actual Runtime</w:t>
            </w:r>
          </w:p>
        </w:tc>
        <w:tc>
          <w:tcPr>
            <w:vAlign w:val="center"/>
          </w:tcPr>
          <w:p ns1:paraId="0000005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39.27 minutes, including warmup and process setup</w:t>
            </w:r>
          </w:p>
        </w:tc>
      </w:tr>
    </w:tbl>
    <w:p ns1:paraId="00000055">
      <w:pPr>
        <w:rPr>
          <w:rFonts w:ascii="Georgia" w:cs="Georgia" w:eastAsia="Georgia" w:hAnsi="Georgia"/>
        </w:rPr>
      </w:pPr>
      <w:r>
        <w:rPr>
          <w:rtl w:val="0"/>
        </w:rPr>
      </w:r>
    </w:p>
    <w:p ns1:paraId="00000056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Design Notes</w:t>
      </w:r>
    </w:p>
    <w:p ns1:paraId="00000057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Three complete rounds cover twelve cases. Each fresh process warms for five seconds and measures for sixty. Order is shuffled with a recorded fixed seed.</w:t>
      </w:r>
    </w:p>
    <w:p ns1:paraId="00000058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Both variants receive identical synthetic EEG and semantic events. This tests engineering behavior, not human perception or biological efficacy.</w:t>
      </w:r>
    </w:p>
    <w:p ns1:paraId="00000059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ns1:paraId="0000005A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Hypothesis</w:t>
      </w:r>
    </w:p>
    <w:p ns1:paraId="0000005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The full composition can satisfy the registered submission-cadence and receive-to-submit targets while preserving the core and dialectic contracts.</w:t>
      </w:r>
    </w:p>
    <w:p ns1:paraId="0000005C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ns1:paraId="0000005D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Success Criteria</w:t>
      </w:r>
    </w:p>
    <w:p ns1:paraId="0000005E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Apply both timing targets separately to every run. Only three successful quotable repeats accept a case; mixed results remain unresolved.</w:t>
      </w:r>
    </w:p>
    <w:tbl>
      <w:tblPr>
        <w:tblStyle w:val="Table3"/>
        <w:tblW w:w="935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405"/>
        <w:gridCol w:w="6945"/>
        <w:tblGridChange w:id="0">
          <w:tblGrid>
            <w:gridCol w:w="2405"/>
            <w:gridCol w:w="6945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ns1:paraId="0000005F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Metric</w:t>
            </w:r>
          </w:p>
        </w:tc>
        <w:tc>
          <w:tcPr>
            <w:shd w:fill="f3f3f3" w:val="clear"/>
            <w:vAlign w:val="center"/>
          </w:tcPr>
          <w:p ns1:paraId="00000060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Target/Rule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61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Primary Metric</w:t>
            </w:r>
          </w:p>
        </w:tc>
        <w:tc>
          <w:tcPr>
            <w:vAlign w:val="center"/>
          </w:tcPr>
          <w:p ns1:paraId="00000062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Per-run nearest-rank frame-interval p95 ≤20 ms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63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Guardrail 1</w:t>
            </w:r>
          </w:p>
        </w:tc>
        <w:tc>
          <w:tcPr>
            <w:vAlign w:val="center"/>
          </w:tcPr>
          <w:p ns1:paraId="00000064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Per-run sample-to-submit age p95 ≤100 ms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65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Guardrail 2</w:t>
            </w:r>
          </w:p>
        </w:tc>
        <w:tc>
          <w:tcPr>
            <w:vAlign w:val="center"/>
          </w:tcPr>
          <w:p ns1:paraId="00000066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Bounded buffers; no rendering-induced ingestion loss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67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Guardrail 3</w:t>
            </w:r>
          </w:p>
        </w:tc>
        <w:tc>
          <w:tcPr>
            <w:vAlign w:val="center"/>
          </w:tcPr>
          <w:p ns1:paraId="00000068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Observer parity under a full publisher channel; absence never becomes similarity zero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69">
            <w:pPr>
              <w:jc w:val="both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Decision Rule</w:t>
            </w:r>
          </w:p>
        </w:tc>
        <w:tc>
          <w:tcPr>
            <w:vAlign w:val="center"/>
          </w:tcPr>
          <w:p ns1:paraId="0000006A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Three quotable repeats: 3/3 accepted; 0/3 not met; mixed or missing unresolved. No extra runs.</w:t>
            </w:r>
          </w:p>
        </w:tc>
      </w:tr>
    </w:tbl>
    <w:p ns1:paraId="0000006B">
      <w:pPr>
        <w:rPr>
          <w:rFonts w:ascii="Georgia" w:cs="Georgia" w:eastAsia="Georgia" w:hAnsi="Georgia"/>
        </w:rPr>
      </w:pPr>
      <w:r>
        <w:rPr>
          <w:rtl w:val="0"/>
        </w:rPr>
      </w:r>
    </w:p>
    <w:p ns1:paraId="0000006C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Pre-Launch Validation</w:t>
      </w:r>
    </w:p>
    <w:p ns1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 a clean committed checkout and release executable from that checkout.</w:t>
      </w:r>
      <w:r>
        <w:rPr>
          <w:rtl w:val="0"/>
        </w:rPr>
      </w:r>
    </w:p>
    <w:p ns1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Freeze the schedule, fixtures, variants, and decision rule before recorded execution.</w:t>
      </w:r>
      <w:r>
        <w:rPr>
          <w:rtl w:val="0"/>
        </w:rPr>
      </w:r>
    </w:p>
    <w:p ns1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Capture the executable digest, GPU/driver, actual scene extent, display configuration, and per-run timing arrays.</w:t>
      </w:r>
      <w:r>
        <w:rPr>
          <w:rtl w:val="0"/>
        </w:rPr>
      </w:r>
    </w:p>
    <w:p ns1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dirty or incomplete runs non-quotable; never replace them.</w:t>
      </w:r>
      <w:r>
        <w:rPr>
          <w:rtl w:val="0"/>
        </w:rPr>
      </w:r>
    </w:p>
    <w:p ns1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Inspect preflight images and run deterministic tests, including forced publisher backpressure, before freezing the build.</w:t>
      </w:r>
      <w:r>
        <w:rPr>
          <w:rtl w:val="0"/>
        </w:rPr>
      </w:r>
    </w:p>
    <w:p ns1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right="0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ns1:paraId="00000073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Sample and Exposure Summary</w:t>
      </w:r>
    </w:p>
    <w:p ns1:paraId="00000074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36/36 runs available. Cases: 12 accepted, 0 targets not met, 0 unresolved.</w:t>
      </w:r>
    </w:p>
    <w:tbl>
      <w:tblPr>
        <w:tblStyle w:val="Table4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823"/>
        <w:gridCol w:w="2693"/>
        <w:gridCol w:w="2834"/>
        <w:tblGridChange w:id="0">
          <w:tblGrid>
            <w:gridCol w:w="3823"/>
            <w:gridCol w:w="2693"/>
            <w:gridCol w:w="2834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ns1:paraId="00000075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Metric</w:t>
            </w:r>
          </w:p>
        </w:tc>
        <w:tc>
          <w:tcPr>
            <w:shd w:fill="f3f3f3" w:val="clear"/>
            <w:vAlign w:val="center"/>
          </w:tcPr>
          <w:p ns1:paraId="00000076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Variant A (Control)</w:t>
            </w:r>
          </w:p>
        </w:tc>
        <w:tc>
          <w:tcPr>
            <w:shd w:fill="f3f3f3" w:val="clear"/>
            <w:vAlign w:val="center"/>
          </w:tcPr>
          <w:p ns1:paraId="0000007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Variant B (Treatment)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7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Completed runs</w:t>
            </w:r>
          </w:p>
        </w:tc>
        <w:tc>
          <w:tcPr>
            <w:vAlign w:val="center"/>
          </w:tcPr>
          <w:p ns1:paraId="00000079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vAlign w:val="center"/>
          </w:tcPr>
          <w:p ns1:paraId="0000007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18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7B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Rendered frames</w:t>
            </w:r>
          </w:p>
        </w:tc>
        <w:tc>
          <w:tcPr>
            <w:vAlign w:val="center"/>
          </w:tcPr>
          <w:p ns1:paraId="0000007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129111</w:t>
            </w:r>
          </w:p>
        </w:tc>
        <w:tc>
          <w:tcPr>
            <w:vAlign w:val="center"/>
          </w:tcPr>
          <w:p ns1:paraId="0000007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129059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7E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Accepted samples</w:t>
            </w:r>
          </w:p>
        </w:tc>
        <w:tc>
          <w:tcPr>
            <w:vAlign w:val="center"/>
          </w:tcPr>
          <w:p ns1:paraId="0000007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276424</w:t>
            </w:r>
          </w:p>
        </w:tc>
        <w:tc>
          <w:tcPr>
            <w:vAlign w:val="center"/>
          </w:tcPr>
          <w:p ns1:paraId="0000008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276440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8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Cases × repeats</w:t>
            </w:r>
          </w:p>
        </w:tc>
        <w:tc>
          <w:tcPr>
            <w:vAlign w:val="center"/>
          </w:tcPr>
          <w:p ns1:paraId="0000008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6 × 3 planned; 18 runs</w:t>
            </w:r>
          </w:p>
        </w:tc>
        <w:tc>
          <w:tcPr>
            <w:vAlign w:val="center"/>
          </w:tcPr>
          <w:p ns1:paraId="00000083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6 × 3 planned; 18 runs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84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Sample Ratio Check</w:t>
            </w:r>
          </w:p>
        </w:tc>
        <w:tc>
          <w:tcPr>
            <w:vAlign w:val="center"/>
          </w:tcPr>
          <w:p ns1:paraId="00000085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Not applicable; fixed engineering schedule</w:t>
            </w:r>
          </w:p>
        </w:tc>
        <w:tc>
          <w:tcPr>
            <w:vAlign w:val="center"/>
          </w:tcPr>
          <w:p ns1:paraId="0000008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Not applicable; fixed engineering schedule</w:t>
            </w:r>
          </w:p>
        </w:tc>
      </w:tr>
    </w:tbl>
    <w:p ns1:paraId="00000087">
      <w:pPr>
        <w:spacing w:after="240" w:before="240" w:lineRule="auto"/>
        <w:rPr>
          <w:rFonts w:ascii="Georgia" w:cs="Georgia" w:eastAsia="Georgia" w:hAnsi="Georgia"/>
        </w:rPr>
      </w:pPr>
      <w:r>
        <w:rPr>
          <w:rtl w:val="0"/>
        </w:rPr>
      </w:r>
    </w:p>
    <w:p ns1:paraId="00000088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Primary Outcome</w:t>
      </w:r>
    </w:p>
    <w:p ns1:paraId="00000089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5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ns1:paraId="0000008A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Measure</w:t>
            </w:r>
          </w:p>
        </w:tc>
        <w:tc>
          <w:tcPr>
            <w:shd w:fill="f3f3f3" w:val="clear"/>
            <w:vAlign w:val="center"/>
          </w:tcPr>
          <w:p ns1:paraId="0000008B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Variant A</w:t>
            </w:r>
          </w:p>
        </w:tc>
        <w:tc>
          <w:tcPr>
            <w:shd w:fill="f3f3f3" w:val="clear"/>
            <w:vAlign w:val="center"/>
          </w:tcPr>
          <w:p ns1:paraId="0000008C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Variant B</w:t>
            </w:r>
          </w:p>
        </w:tc>
        <w:tc>
          <w:tcPr>
            <w:shd w:fill="f3f3f3" w:val="clear"/>
            <w:vAlign w:val="center"/>
          </w:tcPr>
          <w:p ns1:paraId="0000008D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Absolute Delta</w:t>
            </w:r>
          </w:p>
        </w:tc>
        <w:tc>
          <w:tcPr>
            <w:shd w:fill="f3f3f3" w:val="clear"/>
            <w:vAlign w:val="center"/>
          </w:tcPr>
          <w:p ns1:paraId="0000008E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Relative Delta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8F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Worst run-level frame p95 (ms)</w:t>
            </w:r>
          </w:p>
        </w:tc>
        <w:tc>
          <w:tcPr>
            <w:vAlign w:val="center"/>
          </w:tcPr>
          <w:p ns1:paraId="0000009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10.43</w:t>
            </w:r>
          </w:p>
        </w:tc>
        <w:tc>
          <w:tcPr>
            <w:vAlign w:val="center"/>
          </w:tcPr>
          <w:p ns1:paraId="00000091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10.03</w:t>
            </w:r>
          </w:p>
        </w:tc>
        <w:tc>
          <w:tcPr>
            <w:vAlign w:val="center"/>
          </w:tcPr>
          <w:p ns1:paraId="0000009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-0.40</w:t>
            </w:r>
          </w:p>
        </w:tc>
        <w:tc>
          <w:tcPr>
            <w:vAlign w:val="center"/>
          </w:tcPr>
          <w:p ns1:paraId="00000093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Not a pooled percentile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94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95% Confidence Interval</w:t>
            </w:r>
          </w:p>
        </w:tc>
        <w:tc>
          <w:tcPr>
            <w:vAlign w:val="center"/>
          </w:tcPr>
          <w:p ns1:paraId="00000095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Not applicable</w:t>
            </w:r>
          </w:p>
        </w:tc>
        <w:tc>
          <w:tcPr>
            <w:vAlign w:val="center"/>
          </w:tcPr>
          <w:p ns1:paraId="0000009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Not applicable</w:t>
            </w:r>
          </w:p>
        </w:tc>
        <w:tc>
          <w:tcPr>
            <w:vAlign w:val="center"/>
          </w:tcPr>
          <w:p ns1:paraId="00000097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Descriptive repeats</w:t>
            </w:r>
          </w:p>
        </w:tc>
        <w:tc>
          <w:tcPr>
            <w:vAlign w:val="center"/>
          </w:tcPr>
          <w:p ns1:paraId="0000009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99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Two-Sided p-value</w:t>
            </w:r>
          </w:p>
        </w:tc>
        <w:tc>
          <w:tcPr>
            <w:vAlign w:val="center"/>
          </w:tcPr>
          <w:p ns1:paraId="0000009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Not applicable</w:t>
            </w:r>
          </w:p>
        </w:tc>
        <w:tc>
          <w:tcPr>
            <w:vAlign w:val="center"/>
          </w:tcPr>
          <w:p ns1:paraId="0000009B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Not applicable</w:t>
            </w:r>
          </w:p>
        </w:tc>
        <w:tc>
          <w:tcPr>
            <w:vAlign w:val="center"/>
          </w:tcPr>
          <w:p ns1:paraId="0000009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 inferential test</w:t>
            </w:r>
          </w:p>
        </w:tc>
        <w:tc>
          <w:tcPr>
            <w:vAlign w:val="center"/>
          </w:tcPr>
          <w:p ns1:paraId="0000009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9E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Outcome Narrative</w:t>
            </w:r>
          </w:p>
        </w:tc>
        <w:tc>
          <w:tcPr>
            <w:vAlign w:val="center"/>
          </w:tcPr>
          <w:p ns1:paraId="0000009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Trace-only</w:t>
            </w:r>
          </w:p>
        </w:tc>
        <w:tc>
          <w:tcPr>
            <w:vAlign w:val="center"/>
          </w:tcPr>
          <w:p ns1:paraId="000000A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Full composition</w:t>
            </w:r>
          </w:p>
        </w:tc>
        <w:tc>
          <w:tcPr>
            <w:vAlign w:val="center"/>
          </w:tcPr>
          <w:p ns1:paraId="000000A1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36/36 runs available. Cases: 12 accepted, 0 targets not met, 0 unresolved.</w:t>
            </w:r>
          </w:p>
        </w:tc>
        <w:tc>
          <w:tcPr>
            <w:vAlign w:val="center"/>
          </w:tcPr>
          <w:p ns1:paraId="000000A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This host/build only</w:t>
            </w:r>
          </w:p>
        </w:tc>
      </w:tr>
    </w:tbl>
    <w:p ns1:paraId="000000A3">
      <w:pPr>
        <w:spacing w:after="240" w:before="240" w:lineRule="auto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The primary table reports the worst run-level p95 in each variant, not a pooled p95. Case spreads below retain the three-repeat variation.</w:t>
      </w:r>
    </w:p>
    <w:p ns1:paraId="000000A4">
      <w:pPr>
        <w:spacing w:after="160" w:line="278.00000000000006" w:lineRule="auto"/>
        <w:rPr>
          <w:rFonts w:ascii="Georgia" w:cs="Georgia" w:eastAsia="Georgia" w:hAnsi="Georgia"/>
        </w:rPr>
      </w:pPr>
      <w:r>
        <w:rPr>
          <w:rtl w:val="0"/>
        </w:rPr>
      </w:r>
    </w:p>
    <w:p ns1:paraId="000000A5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Guardrail Metrics</w:t>
      </w:r>
    </w:p>
    <w:p ns1:paraId="000000A6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6"/>
        <w:tblW w:w="9350.000000000002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263"/>
        <w:gridCol w:w="1843"/>
        <w:gridCol w:w="1843"/>
        <w:gridCol w:w="1701"/>
        <w:gridCol w:w="1700"/>
        <w:tblGridChange w:id="0">
          <w:tblGrid>
            <w:gridCol w:w="2263"/>
            <w:gridCol w:w="1843"/>
            <w:gridCol w:w="1843"/>
            <w:gridCol w:w="1701"/>
            <w:gridCol w:w="170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ns1:paraId="000000A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Guardrail Metric</w:t>
            </w:r>
          </w:p>
        </w:tc>
        <w:tc>
          <w:tcPr>
            <w:shd w:fill="f3f3f3" w:val="clear"/>
            <w:vAlign w:val="center"/>
          </w:tcPr>
          <w:p ns1:paraId="000000A8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Variant A</w:t>
            </w:r>
          </w:p>
        </w:tc>
        <w:tc>
          <w:tcPr>
            <w:shd w:fill="f3f3f3" w:val="clear"/>
            <w:vAlign w:val="center"/>
          </w:tcPr>
          <w:p ns1:paraId="000000A9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Variant B</w:t>
            </w:r>
          </w:p>
        </w:tc>
        <w:tc>
          <w:tcPr>
            <w:shd w:fill="f3f3f3" w:val="clear"/>
            <w:vAlign w:val="center"/>
          </w:tcPr>
          <w:p ns1:paraId="000000AA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Delta</w:t>
            </w:r>
          </w:p>
        </w:tc>
        <w:tc>
          <w:tcPr>
            <w:shd w:fill="f3f3f3" w:val="clear"/>
            <w:vAlign w:val="center"/>
          </w:tcPr>
          <w:p ns1:paraId="000000AB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Status</w:t>
            </w:r>
          </w:p>
        </w:tc>
      </w:tr>
      <w:tr>
        <w:trPr>
          <w:cantSplit w:val="0"/>
          <w:trHeight w:val="446.9921875" w:hRule="atLeast"/>
          <w:tblHeader w:val="0"/>
        </w:trPr>
        <w:tc>
          <w:tcPr>
            <w:vAlign w:val="center"/>
          </w:tcPr>
          <w:p ns1:paraId="000000AC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Worst sample-to-submit p95 ms</w:t>
            </w:r>
          </w:p>
        </w:tc>
        <w:tc>
          <w:tcPr>
            <w:vAlign w:val="center"/>
          </w:tcPr>
          <w:p ns1:paraId="000000A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40.97</w:t>
            </w:r>
          </w:p>
        </w:tc>
        <w:tc>
          <w:tcPr>
            <w:vAlign w:val="center"/>
          </w:tcPr>
          <w:p ns1:paraId="000000A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40.82</w:t>
            </w:r>
          </w:p>
        </w:tc>
        <w:tc>
          <w:tcPr>
            <w:vAlign w:val="center"/>
          </w:tcPr>
          <w:p ns1:paraId="000000A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-0.16</w:t>
            </w:r>
          </w:p>
        </w:tc>
        <w:tc>
          <w:tcPr>
            <w:vAlign w:val="center"/>
          </w:tcPr>
          <w:p ns1:paraId="000000B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Per-run target ≤100 ms</w:t>
            </w:r>
          </w:p>
        </w:tc>
      </w:tr>
      <w:tr>
        <w:trPr>
          <w:cantSplit w:val="0"/>
          <w:trHeight w:val="446.9921875" w:hRule="atLeast"/>
          <w:tblHeader w:val="0"/>
        </w:trPr>
        <w:tc>
          <w:tcPr>
            <w:vAlign w:val="center"/>
          </w:tcPr>
          <w:p ns1:paraId="000000B1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Maximum clipped display fraction</w:t>
            </w:r>
          </w:p>
        </w:tc>
        <w:tc>
          <w:tcPr>
            <w:vAlign w:val="center"/>
          </w:tcPr>
          <w:p ns1:paraId="000000B2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0.05</w:t>
            </w:r>
          </w:p>
        </w:tc>
        <w:tc>
          <w:tcPr>
            <w:vAlign w:val="center"/>
          </w:tcPr>
          <w:p ns1:paraId="000000B3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0.05</w:t>
            </w:r>
          </w:p>
        </w:tc>
        <w:tc>
          <w:tcPr>
            <w:vAlign w:val="center"/>
          </w:tcPr>
          <w:p ns1:paraId="000000B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Descriptive</w:t>
            </w:r>
          </w:p>
        </w:tc>
        <w:tc>
          <w:tcPr>
            <w:vAlign w:val="center"/>
          </w:tcPr>
          <w:p ns1:paraId="000000B5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Impulse fixture intentionally exceeds scale</w:t>
            </w:r>
          </w:p>
        </w:tc>
      </w:tr>
      <w:tr>
        <w:trPr>
          <w:cantSplit w:val="0"/>
          <w:trHeight w:val="446.9921875" w:hRule="atLeast"/>
          <w:tblHeader w:val="0"/>
        </w:trPr>
        <w:tc>
          <w:tcPr>
            <w:vAlign w:val="center"/>
          </w:tcPr>
          <w:p ns1:paraId="000000B6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Observer / drift parity</w:t>
            </w:r>
          </w:p>
        </w:tc>
        <w:tc>
          <w:tcPr>
            <w:vAlign w:val="center"/>
          </w:tcPr>
          <w:p ns1:paraId="000000B7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Deterministic test suite</w:t>
            </w:r>
          </w:p>
        </w:tc>
        <w:tc>
          <w:tcPr>
            <w:vAlign w:val="center"/>
          </w:tcPr>
          <w:p ns1:paraId="000000B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Full-channel barrier test</w:t>
            </w:r>
          </w:p>
        </w:tc>
        <w:tc>
          <w:tcPr>
            <w:vAlign w:val="center"/>
          </w:tcPr>
          <w:p ns1:paraId="000000B9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 model/log change permitted</w:t>
            </w:r>
          </w:p>
        </w:tc>
        <w:tc>
          <w:tcPr>
            <w:vAlign w:val="center"/>
          </w:tcPr>
          <w:p ns1:paraId="000000B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See validation transcript</w:t>
            </w:r>
          </w:p>
        </w:tc>
      </w:tr>
      <w:tr>
        <w:trPr>
          <w:cantSplit w:val="0"/>
          <w:trHeight w:val="446.9921875" w:hRule="atLeast"/>
          <w:tblHeader w:val="0"/>
        </w:trPr>
        <w:tc>
          <w:tcPr>
            <w:vAlign w:val="center"/>
          </w:tcPr>
          <w:p ns1:paraId="000000BB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Signal gap / missing similarity</w:t>
            </w:r>
          </w:p>
        </w:tc>
        <w:tc>
          <w:tcPr>
            <w:vAlign w:val="center"/>
          </w:tcPr>
          <w:p ns1:paraId="000000B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Deterministic tests</w:t>
            </w:r>
          </w:p>
        </w:tc>
        <w:tc>
          <w:tcPr>
            <w:vAlign w:val="center"/>
          </w:tcPr>
          <w:p ns1:paraId="000000B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Deterministic tests</w:t>
            </w:r>
          </w:p>
        </w:tc>
        <w:tc>
          <w:tcPr>
            <w:vAlign w:val="center"/>
          </w:tcPr>
          <w:p ns1:paraId="000000B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 invented continuity or edges</w:t>
            </w:r>
          </w:p>
        </w:tc>
        <w:tc>
          <w:tcPr>
            <w:vAlign w:val="center"/>
          </w:tcPr>
          <w:p ns1:paraId="000000B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See validation transcript</w:t>
            </w:r>
          </w:p>
        </w:tc>
      </w:tr>
    </w:tbl>
    <w:p ns1:paraId="000000C0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Timing thresholds apply per run. Other rows identify deterministic invariants and descriptive signal properties; they do not imply physiological validation.</w:t>
      </w:r>
    </w:p>
    <w:p ns1:paraId="000000C1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Segment Results</w:t>
      </w:r>
    </w:p>
    <w:p ns1:paraId="000000C2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The six fixture/mapping groups were specified in advance. Each table entry is min / median / max of three run-level frame p95 values, in milliseconds.</w:t>
      </w:r>
    </w:p>
    <w:tbl>
      <w:tblPr>
        <w:tblStyle w:val="Table7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ns1:paraId="000000C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Segment</w:t>
            </w:r>
          </w:p>
        </w:tc>
        <w:tc>
          <w:tcPr>
            <w:shd w:fill="f3f3f3" w:val="clear"/>
            <w:vAlign w:val="center"/>
          </w:tcPr>
          <w:p ns1:paraId="000000C4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Control Value</w:t>
            </w:r>
          </w:p>
        </w:tc>
        <w:tc>
          <w:tcPr>
            <w:shd w:fill="f3f3f3" w:val="clear"/>
            <w:vAlign w:val="center"/>
          </w:tcPr>
          <w:p ns1:paraId="000000C5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Treatment Value</w:t>
            </w:r>
          </w:p>
        </w:tc>
        <w:tc>
          <w:tcPr>
            <w:shd w:fill="f3f3f3" w:val="clear"/>
            <w:vAlign w:val="center"/>
          </w:tcPr>
          <w:p ns1:paraId="000000C6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Absolute Delta</w:t>
            </w:r>
          </w:p>
        </w:tc>
        <w:tc>
          <w:tcPr>
            <w:shd w:fill="f3f3f3" w:val="clear"/>
            <w:vAlign w:val="center"/>
          </w:tcPr>
          <w:p ns1:paraId="000000C7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Interpretation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C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rhythmic/channels</w:t>
            </w:r>
          </w:p>
        </w:tc>
        <w:tc>
          <w:tcPr>
            <w:vAlign w:val="center"/>
          </w:tcPr>
          <w:p ns1:paraId="000000C9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9.30 / 9.36 / 10.09</w:t>
            </w:r>
          </w:p>
        </w:tc>
        <w:tc>
          <w:tcPr>
            <w:vAlign w:val="center"/>
          </w:tcPr>
          <w:p ns1:paraId="000000C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9.00 / 9.67 / 10.03</w:t>
            </w:r>
          </w:p>
        </w:tc>
        <w:tc>
          <w:tcPr>
            <w:vAlign w:val="center"/>
          </w:tcPr>
          <w:p ns1:paraId="000000CB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0.32</w:t>
            </w:r>
          </w:p>
        </w:tc>
        <w:tc>
          <w:tcPr>
            <w:vAlign w:val="center"/>
          </w:tcPr>
          <w:p ns1:paraId="000000CC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A: accepted; B: accepted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CD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rhythmic/delay</w:t>
            </w:r>
          </w:p>
        </w:tc>
        <w:tc>
          <w:tcPr>
            <w:vAlign w:val="center"/>
          </w:tcPr>
          <w:p ns1:paraId="000000C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9.09 / 9.25 / 9.33</w:t>
            </w:r>
          </w:p>
        </w:tc>
        <w:tc>
          <w:tcPr>
            <w:vAlign w:val="center"/>
          </w:tcPr>
          <w:p ns1:paraId="000000C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9.07 / 9.31 / 9.63</w:t>
            </w:r>
          </w:p>
        </w:tc>
        <w:tc>
          <w:tcPr>
            <w:vAlign w:val="center"/>
          </w:tcPr>
          <w:p ns1:paraId="000000D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0.06</w:t>
            </w:r>
          </w:p>
        </w:tc>
        <w:tc>
          <w:tcPr>
            <w:vAlign w:val="center"/>
          </w:tcPr>
          <w:p ns1:paraId="000000D1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A: accepted; B: accepted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D2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noise/channels</w:t>
            </w:r>
          </w:p>
        </w:tc>
        <w:tc>
          <w:tcPr>
            <w:vAlign w:val="center"/>
          </w:tcPr>
          <w:p ns1:paraId="000000D3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9.43 / 9.49 / 9.86</w:t>
            </w:r>
          </w:p>
        </w:tc>
        <w:tc>
          <w:tcPr>
            <w:vAlign w:val="center"/>
          </w:tcPr>
          <w:p ns1:paraId="000000D4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9.14 / 9.17 / 9.90</w:t>
            </w:r>
          </w:p>
        </w:tc>
        <w:tc>
          <w:tcPr>
            <w:vAlign w:val="center"/>
          </w:tcPr>
          <w:p ns1:paraId="000000D5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-0.32</w:t>
            </w:r>
          </w:p>
        </w:tc>
        <w:tc>
          <w:tcPr>
            <w:vAlign w:val="center"/>
          </w:tcPr>
          <w:p ns1:paraId="000000D6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A: accepted; B: accepted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D7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noise/delay</w:t>
            </w:r>
          </w:p>
        </w:tc>
        <w:tc>
          <w:tcPr>
            <w:vAlign w:val="center"/>
          </w:tcPr>
          <w:p ns1:paraId="000000D8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9.21 / 9.66 / 10.43</w:t>
            </w:r>
          </w:p>
        </w:tc>
        <w:tc>
          <w:tcPr>
            <w:vAlign w:val="center"/>
          </w:tcPr>
          <w:p ns1:paraId="000000D9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9.09 / 9.35 / 9.38</w:t>
            </w:r>
          </w:p>
        </w:tc>
        <w:tc>
          <w:tcPr>
            <w:vAlign w:val="center"/>
          </w:tcPr>
          <w:p ns1:paraId="000000DA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-0.32</w:t>
            </w:r>
          </w:p>
        </w:tc>
        <w:tc>
          <w:tcPr>
            <w:vAlign w:val="center"/>
          </w:tcPr>
          <w:p ns1:paraId="000000DB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A: accepted; B: accepted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DC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impulse/channels</w:t>
            </w:r>
          </w:p>
        </w:tc>
        <w:tc>
          <w:tcPr>
            <w:vAlign w:val="center"/>
          </w:tcPr>
          <w:p ns1:paraId="000000D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9.36 / 9.44 / 9.51</w:t>
            </w:r>
          </w:p>
        </w:tc>
        <w:tc>
          <w:tcPr>
            <w:vAlign w:val="center"/>
          </w:tcPr>
          <w:p ns1:paraId="000000D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9.11 / 9.17 / 9.61</w:t>
            </w:r>
          </w:p>
        </w:tc>
        <w:tc>
          <w:tcPr>
            <w:vAlign w:val="center"/>
          </w:tcPr>
          <w:p ns1:paraId="000000D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-0.27</w:t>
            </w:r>
          </w:p>
        </w:tc>
        <w:tc>
          <w:tcPr>
            <w:vAlign w:val="center"/>
          </w:tcPr>
          <w:p ns1:paraId="000000E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A: accepted; B: accepted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DC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impulse/delay</w:t>
            </w:r>
          </w:p>
        </w:tc>
        <w:tc>
          <w:tcPr>
            <w:vAlign w:val="center"/>
          </w:tcPr>
          <w:p ns1:paraId="000000DD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9.14 / 9.16 / 9.81</w:t>
            </w:r>
          </w:p>
        </w:tc>
        <w:tc>
          <w:tcPr>
            <w:vAlign w:val="center"/>
          </w:tcPr>
          <w:p ns1:paraId="000000DE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9.39 / 9.56 / 9.65</w:t>
            </w:r>
          </w:p>
        </w:tc>
        <w:tc>
          <w:tcPr>
            <w:vAlign w:val="center"/>
          </w:tcPr>
          <w:p ns1:paraId="000000DF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0.40</w:t>
            </w:r>
          </w:p>
        </w:tc>
        <w:tc>
          <w:tcPr>
            <w:vAlign w:val="center"/>
          </w:tcPr>
          <w:p ns1:paraId="000000E0">
            <w:pPr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A: accepted; B: accepted</w:t>
            </w:r>
          </w:p>
        </w:tc>
      </w:tr>
    </w:tbl>
    <w:p ns1:paraId="000000E1">
      <w:pPr>
        <w:rPr>
          <w:rFonts w:ascii="Georgia" w:cs="Georgia" w:eastAsia="Georgia" w:hAnsi="Georgia"/>
        </w:rPr>
      </w:pPr>
      <w:r>
        <w:rPr>
          <w:rtl w:val="0"/>
        </w:rPr>
      </w:r>
    </w:p>
    <w:p ns1:paraId="000000E2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Report every case even when targets fail. No extra runs resolve a mixed outcome.</w:t>
      </w:r>
    </w:p>
    <w:p ns1:paraId="000000E3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ns1:paraId="000000E4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Data Quality and Limitations</w:t>
      </w:r>
    </w:p>
    <w:p ns1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Desktop scheduling and thermal/load conditions can affect frame timing. The recorded host configuration bounds the claim.</w:t>
      </w:r>
      <w:r>
        <w:rPr>
          <w:rtl w:val="0"/>
        </w:rPr>
      </w:r>
    </w:p>
    <w:p ns1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human allocation, engagement, retention, or cognitive-state outcome was measured.</w:t>
      </w:r>
      <w:r>
        <w:rPr>
          <w:rtl w:val="0"/>
        </w:rPr>
      </w:r>
    </w:p>
    <w:p ns1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Capture incomplete runs in the failures file; keep them unresolved and unreplaced.</w:t>
      </w:r>
      <w:r>
        <w:rPr>
          <w:rtl w:val="0"/>
        </w:rPr>
      </w:r>
    </w:p>
    <w:p ns1:paraId="000000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Linux on the named GPU/driver is measured. No other support-matrix row is promoted.</w:t>
      </w:r>
      <w:r>
        <w:rPr>
          <w:rtl w:val="0"/>
        </w:rPr>
      </w:r>
    </w:p>
    <w:p ns1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360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Sample-to-submit age begins at viewer receipt and ends after scene queue submission; it is not sensor-to-screen latency.</w:t>
      </w:r>
      <w:r>
        <w:rPr>
          <w:rtl w:val="0"/>
        </w:rPr>
      </w:r>
    </w:p>
    <w:p ns1:paraId="000000EA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Historical text logs have no embeddings. They cannot reconstruct spatial similarity or a missing model trajectory.</w:t>
      </w:r>
    </w:p>
    <w:p ns1:paraId="000000EB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ns1:paraId="000000EC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Interpretation</w:t>
      </w:r>
    </w:p>
    <w:p ns1:paraId="000000ED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36/36 runs available. Cases: 12 accepted, 0 targets not met, 0 unresolved.</w:t>
      </w:r>
    </w:p>
    <w:p ns1:paraId="000000EE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The result supports only the reported engineering decision for this host/build. It does not establish a universal performance guarantee or a cognitive intervention.</w:t>
      </w:r>
    </w:p>
    <w:p ns1:paraId="000000EF">
      <w:pPr>
        <w:spacing w:after="160" w:line="278.00000000000006" w:lineRule="auto"/>
        <w:rPr>
          <w:rFonts w:ascii="Georgia" w:cs="Georgia" w:eastAsia="Georgia" w:hAnsi="Georgia"/>
        </w:rPr>
      </w:pPr>
      <w:r>
        <w:rPr>
          <w:rtl w:val="0"/>
        </w:rPr>
      </w:r>
    </w:p>
    <w:p ns1:paraId="000000F0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Decision Log</w:t>
      </w:r>
    </w:p>
    <w:p ns1:paraId="000000F1">
      <w:pPr>
        <w:rPr>
          <w:rFonts w:ascii="Georgia" w:cs="Georgia" w:eastAsia="Georgia" w:hAnsi="Georgia"/>
        </w:rPr>
      </w:pPr>
      <w:r>
        <w:rPr>
          <w:rtl w:val="0"/>
        </w:rPr>
      </w:r>
    </w:p>
    <w:tbl>
      <w:tblPr>
        <w:tblStyle w:val="Table8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263"/>
        <w:gridCol w:w="7087"/>
        <w:tblGridChange w:id="0">
          <w:tblGrid>
            <w:gridCol w:w="2263"/>
            <w:gridCol w:w="7087"/>
          </w:tblGrid>
        </w:tblGridChange>
      </w:tblGrid>
      <w:tr>
        <w:trPr>
          <w:cantSplit w:val="0"/>
          <w:trHeight w:val="431.99999999999994" w:hRule="atLeast"/>
          <w:tblHeader w:val="0"/>
        </w:trPr>
        <w:tc>
          <w:tcPr>
            <w:shd w:fill="f3f3f3" w:val="clear"/>
            <w:vAlign w:val="center"/>
          </w:tcPr>
          <w:p ns1:paraId="000000F2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Item</w:t>
            </w:r>
          </w:p>
        </w:tc>
        <w:tc>
          <w:tcPr>
            <w:shd w:fill="f3f3f3" w:val="clear"/>
            <w:vAlign w:val="center"/>
          </w:tcPr>
          <w:p ns1:paraId="000000F3">
            <w:pP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color w:val="105128"/>
                <w:sz w:val="20"/>
                <w:szCs w:val="20"/>
                <w:rtl w:val="0"/>
              </w:rPr>
              <w:t xml:space="preserve">Decision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F4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Final Decision</w:t>
            </w:r>
          </w:p>
        </w:tc>
        <w:tc>
          <w:tcPr>
            <w:vAlign w:val="center"/>
          </w:tcPr>
          <w:p ns1:paraId="000000F5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36/36 runs available. Cases: 12 accepted, 0 targets not met, 0 unresolved.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F6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Decision Date</w:t>
            </w:r>
          </w:p>
        </w:tc>
        <w:tc>
          <w:tcPr>
            <w:vAlign w:val="center"/>
          </w:tcPr>
          <w:p ns1:paraId="000000F7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2026-09-23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F8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Approvers</w:t>
            </w:r>
          </w:p>
        </w:tc>
        <w:tc>
          <w:tcPr>
            <w:vAlign w:val="center"/>
          </w:tcPr>
          <w:p ns1:paraId="000000F9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Not assigned; this report records measurements, not approval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FA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Rollout Type</w:t>
            </w:r>
          </w:p>
        </w:tc>
        <w:tc>
          <w:tcPr>
            <w:vAlign w:val="center"/>
          </w:tcPr>
          <w:p ns1:paraId="000000FB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Separate opt-in visualization shell; no model-policy change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FC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Rollback Trigger</w:t>
            </w:r>
          </w:p>
        </w:tc>
        <w:tc>
          <w:tcPr>
            <w:vAlign w:val="center"/>
          </w:tcPr>
          <w:p ns1:paraId="000000FD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Any observer parity, source freshness, or provenance violation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ns1:paraId="000000FE">
            <w:pPr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Follow Up</w:t>
            </w:r>
          </w:p>
        </w:tc>
        <w:tc>
          <w:tcPr>
            <w:vAlign w:val="center"/>
          </w:tcPr>
          <w:p ns1:paraId="000000FF">
            <w:pPr>
              <w:jc w:val="both"/>
              <w:rPr>
                <w:rFonts w:ascii="Georgia" w:cs="Georgia" w:eastAsia="Georgia" w:hAnsi="Georgia"/>
                <w:sz w:val="20"/>
                <w:szCs w:val="20"/>
              </w:rPr>
            </w:pPr>
            <w:r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Unresolved cases remain unresolved. Any follow-up requires a new protocol.</w:t>
            </w:r>
          </w:p>
        </w:tc>
      </w:tr>
    </w:tbl>
    <w:p ns1:paraId="00000100">
      <w:pPr>
        <w:rPr>
          <w:rFonts w:ascii="Georgia" w:cs="Georgia" w:eastAsia="Georgia" w:hAnsi="Georgia"/>
        </w:rPr>
      </w:pPr>
      <w:r>
        <w:rPr>
          <w:rtl w:val="0"/>
        </w:rPr>
      </w:r>
    </w:p>
    <w:p ns1:paraId="00000101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Post Test Actions</w:t>
      </w:r>
    </w:p>
    <w:p ns1:paraId="000001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Retain all run files and the registered schedule.</w:t>
      </w:r>
      <w:r>
        <w:rPr>
          <w:rtl w:val="0"/>
        </w:rPr>
      </w:r>
    </w:p>
    <w:p ns1:paraId="000001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dashboard to inspect each case and all three repetitions.</w:t>
      </w:r>
      <w:r>
        <w:rPr>
          <w:rtl w:val="0"/>
        </w:rPr>
      </w:r>
    </w:p>
    <w:p ns1:paraId="000001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 mixed outcomes unresolved. Specify any follow-up before collecting it.</w:t>
      </w:r>
      <w:r>
        <w:rPr>
          <w:rtl w:val="0"/>
        </w:rPr>
      </w:r>
    </w:p>
    <w:p ns1:paraId="000001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Preserve observer parity when extending the live feed.</w:t>
      </w:r>
      <w:r>
        <w:rPr>
          <w:rtl w:val="0"/>
        </w:rPr>
      </w:r>
    </w:p>
    <w:p ns1:paraId="000001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Archive the build digest, source revision, template hashes, rendered previews, and validation transcript together.</w:t>
      </w:r>
      <w:r>
        <w:rPr>
          <w:rtl w:val="0"/>
        </w:rPr>
      </w:r>
    </w:p>
    <w:p ns1:paraId="00000107">
      <w:pPr>
        <w:spacing w:after="240" w:before="240" w:lineRule="auto"/>
        <w:jc w:val="both"/>
        <w:rPr>
          <w:rFonts w:ascii="Georgia" w:cs="Georgia" w:eastAsia="Georgia" w:hAnsi="Georgia"/>
        </w:rPr>
      </w:pPr>
      <w:r>
        <w:rPr>
          <w:rtl w:val="0"/>
        </w:rPr>
      </w:r>
    </w:p>
    <w:p ns1:paraId="00000108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Appendix A: Metric Definitions</w:t>
      </w:r>
    </w:p>
    <w:p ns1:paraId="000001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502" w:right="0" w:hanging="360"/>
        <w:jc w:val="both"/>
        <w:rPr/>
      </w:pPr>
      <w:r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Frame interval: monotonic milliseconds between phase-scene GPU queue submissions; nearest-rank p95 per run.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>
        <w:rPr>
          <w:rtl w:val="0"/>
        </w:rPr>
      </w:r>
    </w:p>
    <w:p ns1:paraId="000001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/>
      </w:pPr>
      <w:r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Sample-to-submit age: submission time minus receive time of the newest accepted EEG frame.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>
        <w:rPr>
          <w:rtl w:val="0"/>
        </w:rPr>
      </w:r>
    </w:p>
    <w:p ns1:paraId="000001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/>
      </w:pPr>
      <w:r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FPS: observed scene-submission intervals divided by their elapsed measurement span.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>
        <w:rPr>
          <w:rtl w:val="0"/>
        </w:rPr>
      </w:r>
    </w:p>
    <w:p ns1:paraId="000001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hanging="360"/>
        <w:jc w:val="both"/>
        <w:rPr/>
      </w:pPr>
      <w:r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fraction: submissions marked Live divided by submissions in the measurement span. Clipping fraction counts out-of-range vertices across rendered windows.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>
        <w:rPr>
          <w:rtl w:val="0"/>
        </w:rPr>
      </w:r>
    </w:p>
    <w:p ns1:paraId="000001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502" w:right="0" w:hanging="360"/>
        <w:jc w:val="both"/>
        <w:rPr/>
      </w:pPr>
      <w:r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 verdict: three quotable runs required; 3/3 meeting both targets accepted, 0/3 not met, mixed or incomplete unresolved.</w:t>
      </w: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>
        <w:rPr>
          <w:rtl w:val="0"/>
        </w:rPr>
      </w:r>
    </w:p>
    <w:p ns1:paraId="0000010E">
      <w:pPr>
        <w:spacing w:after="160" w:line="278.00000000000006" w:lineRule="auto"/>
        <w:rPr>
          <w:rFonts w:ascii="Georgia" w:cs="Georgia" w:eastAsia="Georgia" w:hAnsi="Georgia"/>
        </w:rPr>
      </w:pPr>
      <w:r>
        <w:rPr>
          <w:rtl w:val="0"/>
        </w:rPr>
      </w:r>
    </w:p>
    <w:p ns1:paraId="0000010F">
      <w:pPr>
        <w:pStyle w:val="Heading1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rtl w:val="0"/>
        </w:rPr>
        <w:t xml:space="preserve">Appendix B: Analyst Notes</w:t>
      </w:r>
    </w:p>
    <w:p ns1:paraId="000001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descriptive min/median/max of run-level p95 values; no pooled p95 or inferential significance test.</w:t>
      </w:r>
      <w:r>
        <w:rPr>
          <w:rtl w:val="0"/>
        </w:rPr>
      </w:r>
    </w:p>
    <w:p ns1:paraId="000001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registered count is fixed at three runs per case; no optional stopping, replacement, or extension runs.</w:t>
      </w:r>
      <w:r>
        <w:rPr>
          <w:rtl w:val="0"/>
        </w:rPr>
      </w:r>
    </w:p>
    <w:p ns1:paraId="000001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revision: 3745369692fdd9908588316bac212f6e3b171183. Binary identity and hardware are in Runs and the benchmark manifest.</w:t>
      </w:r>
      <w:r>
        <w:rPr>
          <w:rtl w:val="0"/>
        </w:rPr>
      </w:r>
    </w:p>
    <w:p ns1:paraId="000001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643" w:right="0" w:hanging="360"/>
        <w:jc w:val="both"/>
        <w:rPr>
          <w:rFonts w:ascii="Georgia" w:cs="Georgia" w:eastAsia="Georgia" w:hAnsi="Georgia"/>
        </w:rPr>
      </w:pPr>
      <w:r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Original source templates are unchanged; hashes accompany the artifacts. Missing measurements and unassigned reviewers remain explicit.</w:t>
      </w:r>
      <w:r>
        <w:rPr>
          <w:rtl w:val="0"/>
        </w:rPr>
      </w:r>
    </w:p>
    <w:p ns1:paraId="00000114">
      <w:pPr>
        <w:rPr>
          <w:rFonts w:ascii="Georgia" w:cs="Georgia" w:eastAsia="Georgia" w:hAnsi="Georgia"/>
        </w:rPr>
      </w:pPr>
      <w:r>
        <w:rPr>
          <w:rtl w:val="0"/>
        </w:rPr>
      </w:r>
    </w:p>
    <w:p>
      <w:r>
        <w:t>Per-case sample-to-submit p95 spread (ms; min / median / max)</w:t>
      </w:r>
    </w:p>
    <w:p>
      <w:r>
        <w:t>rhythmic-channels-trace: 40.28 / 40.54 / 40.71</w:t>
      </w:r>
    </w:p>
    <w:p>
      <w:r>
        <w:t>rhythmic-channels-full: 40.60 / 40.61 / 40.64</w:t>
      </w:r>
    </w:p>
    <w:p>
      <w:r>
        <w:t>rhythmic-delay-trace: 40.27 / 40.44 / 40.46</w:t>
      </w:r>
    </w:p>
    <w:p>
      <w:r>
        <w:t>rhythmic-delay-full: 40.48 / 40.58 / 40.67</w:t>
      </w:r>
    </w:p>
    <w:p>
      <w:r>
        <w:t>noise-channels-trace: 40.55 / 40.58 / 40.61</w:t>
      </w:r>
    </w:p>
    <w:p>
      <w:r>
        <w:t>noise-channels-full: 40.51 / 40.51 / 40.82</w:t>
      </w:r>
    </w:p>
    <w:p>
      <w:r>
        <w:t>noise-delay-trace: 40.26 / 40.44 / 40.97</w:t>
      </w:r>
    </w:p>
    <w:p>
      <w:r>
        <w:t>noise-delay-full: 40.36 / 40.62 / 40.67</w:t>
      </w:r>
    </w:p>
    <w:p>
      <w:r>
        <w:t>impulse-channels-trace: 40.47 / 40.53 / 40.56</w:t>
      </w:r>
    </w:p>
    <w:p>
      <w:r>
        <w:t>impulse-channels-full: 40.45 / 40.58 / 40.73</w:t>
      </w:r>
    </w:p>
    <w:p>
      <w:r>
        <w:t>impulse-delay-trace: 40.47 / 40.48 / 40.52</w:t>
      </w:r>
    </w:p>
    <w:p>
      <w:r>
        <w:t>impulse-delay-full: 40.60 / 40.60 / 40.64</w:t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ns1="http://schemas.microsoft.com/office/word/2010/wordml" xmlns:w="http://schemas.openxmlformats.org/wordprocessingml/2006/main">
  <w:p ns1:paraId="00000116">
    <w:pPr>
      <w:rPr>
        <w:color w:val="002715"/>
      </w:rPr>
    </w:pPr>
    <w:r>
      <w:rPr>
        <w:rtl w:val="0"/>
      </w:rPr>
    </w:r>
  </w:p>
  <w:sdt>
    <w:sdtPr>
      <w:lock w:val="contentLocked"/>
      <w:id w:val="-913180812"/>
      <w:tag w:val="goog_rdk_0"/>
    </w:sdtPr>
    <w:sdtContent>
      <w:tbl>
        <w:tblPr>
          <w:tblStyle w:val="Table9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0"/>
            <w:tblHeader w:val="0"/>
          </w:trPr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ns1:paraId="00000117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  <w:rtl w:val="0"/>
                </w:rPr>
                <w:t xml:space="preserve">Phase-space validation</w:t>
              </w:r>
            </w:p>
          </w:tc>
          <w:tc>
            <w:tcPr>
              <w:tc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cBorders>
              <w:shd w:fill="auto" w:val="clear"/>
              <w:tcMar>
                <w:top w:w="100.0" w:type="dxa"/>
                <w:left w:w="100.0" w:type="dxa"/>
                <w:bottom w:w="100.0" w:type="dxa"/>
                <w:right w:w="100.0" w:type="dxa"/>
              </w:tcMar>
              <w:vAlign w:val="top"/>
            </w:tcPr>
            <w:p ns1:paraId="00000118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</w:pPr>
              <w:r>
                <w:rPr>
                  <w:rFonts w:ascii="Georgia" w:cs="Georgia" w:eastAsia="Georgia" w:hAnsi="Georgia"/>
                  <w:color w:val="105128"/>
                  <w:sz w:val="18"/>
                  <w:szCs w:val="18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>
                <w:rPr>
                  <w:rtl w:val="0"/>
                </w:rPr>
              </w:r>
            </w:p>
          </w:tc>
        </w:tr>
      </w:tbl>
    </w:sdtContent>
  </w:sdt>
  <w:p ns1:paraId="00000119">
    <w:pPr>
      <w:rPr>
        <w:color w:val="002715"/>
      </w:rPr>
    </w:pPr>
    <w:r>
      <w:rPr>
        <w:rtl w:val="0"/>
      </w:rPr>
    </w:r>
  </w:p>
</w:ftr>
</file>

<file path=word/header1.xml><?xml version="1.0" encoding="utf-8"?>
<w:hdr xmlns:ns1="http://schemas.microsoft.com/office/word/2010/wordml" xmlns:w="http://schemas.openxmlformats.org/wordprocessingml/2006/main">
  <w:p ns1:paraId="00000115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3" w:hanging="360"/>
      </w:pPr>
      <w:rPr/>
    </w:lvl>
    <w:lvl w:ilvl="1">
      <w:start w:val="1"/>
      <w:numFmt w:val="lowerLetter"/>
      <w:lvlText w:val="%2."/>
      <w:lvlJc w:val="left"/>
      <w:pPr>
        <w:ind w:left="1363" w:hanging="359.99999999999955"/>
      </w:pPr>
      <w:rPr/>
    </w:lvl>
    <w:lvl w:ilvl="2">
      <w:start w:val="1"/>
      <w:numFmt w:val="lowerRoman"/>
      <w:lvlText w:val="%3."/>
      <w:lvlJc w:val="right"/>
      <w:pPr>
        <w:ind w:left="2083" w:hanging="180"/>
      </w:pPr>
      <w:rPr/>
    </w:lvl>
    <w:lvl w:ilvl="3">
      <w:start w:val="1"/>
      <w:numFmt w:val="decimal"/>
      <w:lvlText w:val="%4."/>
      <w:lvlJc w:val="left"/>
      <w:pPr>
        <w:ind w:left="2803" w:hanging="360"/>
      </w:pPr>
      <w:rPr/>
    </w:lvl>
    <w:lvl w:ilvl="4">
      <w:start w:val="1"/>
      <w:numFmt w:val="lowerLetter"/>
      <w:lvlText w:val="%5."/>
      <w:lvlJc w:val="left"/>
      <w:pPr>
        <w:ind w:left="3523" w:hanging="360"/>
      </w:pPr>
      <w:rPr/>
    </w:lvl>
    <w:lvl w:ilvl="5">
      <w:start w:val="1"/>
      <w:numFmt w:val="lowerRoman"/>
      <w:lvlText w:val="%6."/>
      <w:lvlJc w:val="right"/>
      <w:pPr>
        <w:ind w:left="4243" w:hanging="180"/>
      </w:pPr>
      <w:rPr/>
    </w:lvl>
    <w:lvl w:ilvl="6">
      <w:start w:val="1"/>
      <w:numFmt w:val="decimal"/>
      <w:lvlText w:val="%7."/>
      <w:lvlJc w:val="left"/>
      <w:pPr>
        <w:ind w:left="4963" w:hanging="360"/>
      </w:pPr>
      <w:rPr/>
    </w:lvl>
    <w:lvl w:ilvl="7">
      <w:start w:val="1"/>
      <w:numFmt w:val="lowerLetter"/>
      <w:lvlText w:val="%8."/>
      <w:lvlJc w:val="left"/>
      <w:pPr>
        <w:ind w:left="5683" w:hanging="360"/>
      </w:pPr>
      <w:rPr/>
    </w:lvl>
    <w:lvl w:ilvl="8">
      <w:start w:val="1"/>
      <w:numFmt w:val="lowerRoman"/>
      <w:lvlText w:val="%9."/>
      <w:lvlJc w:val="right"/>
      <w:pPr>
        <w:ind w:left="6403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3" w:hanging="359.99999999999955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b w:val="1"/>
      <w:bCs w:val="1"/>
      <w:color w:val="1a703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jc w:val="center"/>
    </w:pPr>
    <w:rPr>
      <w:rFonts w:ascii="Georgia" w:cs="Georgia" w:eastAsia="Georgia" w:hAnsi="Georgia"/>
      <w:color w:val="59238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7233f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7233f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b w:val="1"/>
      <w:bCs w:val="1"/>
      <w:color w:val="4a2e5f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