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rFonts w:ascii="Arial" w:cs="Arial" w:eastAsia="Arial" w:hAnsi="Arial"/>
          <w:b/>
          <w:bCs/>
          <w:color w:val="081325"/>
          <w:sz w:val="38"/>
          <w:szCs w:val="38"/>
        </w:rPr>
        <w:t xml:space="preserve">LEGAL PORTAL SPECIFICATION &amp; CLIENT CONTENT CHECKLIST</w:t>
      </w:r>
    </w:p>
    <w:p>
      <w:pPr>
        <w:spacing w:after="360"/>
        <w:jc w:val="center"/>
      </w:pPr>
      <w:r>
        <w:rPr>
          <w:rFonts w:ascii="Arial" w:cs="Arial" w:eastAsia="Arial" w:hAnsi="Arial"/>
          <w:b/>
          <w:bCs/>
          <w:color w:val="9C792E"/>
          <w:sz w:val="22"/>
          <w:szCs w:val="22"/>
        </w:rPr>
        <w:t xml:space="preserve">Tier-1 Law Firm &amp; Litigation Web Application | Deliverables &amp; Requirement Guide</w:t>
      </w:r>
    </w:p>
    <w:p>
      <w:pPr>
        <w:spacing w:after="100" w:before="60"/>
      </w:pPr>
      <w:r>
        <w:rPr>
          <w:rFonts w:ascii="Calibri" w:cs="Calibri" w:eastAsia="Calibri" w:hAnsi="Calibri"/>
          <w:b w:val="false"/>
          <w:bCs w:val="false"/>
          <w:i/>
          <w:iCs/>
          <w:color w:val="2D3748"/>
          <w:sz w:val="20"/>
          <w:szCs w:val="20"/>
        </w:rPr>
        <w:t xml:space="preserve">Yeh document client ko bhejne ke liye banaya gaya hai jisme website ke sabhi core features ki details aur website ko live karne ke liye client se jo data/content chahiye, uski complete checklist shaamil hai.</w:t>
      </w:r>
    </w:p>
    <w:p>
      <w:pPr>
        <w:pStyle w:val="Heading1"/>
        <w:spacing w:after="160" w:before="360"/>
      </w:pPr>
      <w:r>
        <w:rPr>
          <w:rFonts w:ascii="Arial" w:cs="Arial" w:eastAsia="Arial" w:hAnsi="Arial"/>
          <w:b/>
          <w:bCs/>
          <w:color w:val="081325"/>
          <w:sz w:val="28"/>
          <w:szCs w:val="28"/>
        </w:rPr>
        <w:t xml:space="preserve">1. EXECUTIVE WEBSITE OVERVIEW &amp; PURPOSE</w:t>
      </w:r>
    </w:p>
    <w:p>
      <w:pPr>
        <w:spacing w:after="100" w:before="60"/>
      </w:pPr>
      <w:r>
        <w:rPr>
          <w:rFonts w:ascii="Calibri" w:cs="Calibri" w:eastAsia="Calibri" w:hAnsi="Calibri"/>
          <w:b w:val="false"/>
          <w:bCs w:val="false"/>
          <w:i w:val="false"/>
          <w:iCs w:val="false"/>
          <w:color w:val="2D3748"/>
          <w:sz w:val="20"/>
          <w:szCs w:val="20"/>
        </w:rPr>
        <w:t xml:space="preserve">Yeh platform ek premier Corporate &amp; Appellate Litigation Law Firm ka digital web portal hai. Iska uddeshya corporate enterprises, high-net-worth clients, aur multinational corporations ko firm ki legal expertise showcase karna aur unhe seamless digital consultation ke sath connect karna hai.</w:t>
      </w:r>
    </w:p>
    <w:p>
      <w:pPr>
        <w:pStyle w:val="Heading2"/>
        <w:spacing w:after="120" w:before="240"/>
      </w:pPr>
      <w:r>
        <w:rPr>
          <w:rFonts w:ascii="Arial" w:cs="Arial" w:eastAsia="Arial" w:hAnsi="Arial"/>
          <w:b/>
          <w:bCs/>
          <w:color w:val="9C792E"/>
          <w:sz w:val="24"/>
          <w:szCs w:val="24"/>
        </w:rPr>
        <w:t xml:space="preserve">Core Website Capabilities:</w:t>
      </w:r>
    </w:p>
    <w:p>
      <w:pPr>
        <w:pStyle w:val="ListParagraph"/>
        <w:numPr>
          <w:ilvl w:val="0"/>
          <w:numId w:val="1"/>
        </w:numPr>
        <w:spacing w:after="60" w:before="40"/>
      </w:pPr>
      <w:r>
        <w:rPr>
          <w:rFonts w:ascii="Calibri" w:cs="Calibri" w:eastAsia="Calibri" w:hAnsi="Calibri"/>
          <w:b/>
          <w:bCs/>
          <w:color w:val="081325"/>
          <w:sz w:val="20"/>
          <w:szCs w:val="20"/>
        </w:rPr>
        <w:t xml:space="preserve">Privileged Online Consultation: </w:t>
      </w:r>
      <w:r>
        <w:rPr>
          <w:rFonts w:ascii="Calibri" w:cs="Calibri" w:eastAsia="Calibri" w:hAnsi="Calibri"/>
          <w:color w:val="2D3748"/>
          <w:sz w:val="20"/>
          <w:szCs w:val="20"/>
        </w:rPr>
        <w:t xml:space="preserve">Clients kisi bhi practice domain aur senior advocate ko select karke confidential meeting request bhej sakte hain.</w:t>
      </w:r>
    </w:p>
    <w:p>
      <w:pPr>
        <w:pStyle w:val="ListParagraph"/>
        <w:numPr>
          <w:ilvl w:val="0"/>
          <w:numId w:val="1"/>
        </w:numPr>
        <w:spacing w:after="60" w:before="40"/>
      </w:pPr>
      <w:r>
        <w:rPr>
          <w:rFonts w:ascii="Calibri" w:cs="Calibri" w:eastAsia="Calibri" w:hAnsi="Calibri"/>
          <w:b/>
          <w:bCs/>
          <w:color w:val="081325"/>
          <w:sz w:val="20"/>
          <w:szCs w:val="20"/>
        </w:rPr>
        <w:t xml:space="preserve">Case Timeline &amp; Strategy Estimator: </w:t>
      </w:r>
      <w:r>
        <w:rPr>
          <w:rFonts w:ascii="Calibri" w:cs="Calibri" w:eastAsia="Calibri" w:hAnsi="Calibri"/>
          <w:color w:val="2D3748"/>
          <w:sz w:val="20"/>
          <w:szCs w:val="20"/>
        </w:rPr>
        <w:t xml:space="preserve">Client apne case ka forum (Supreme Court, High Court, NCLT, Arbitration) choose karke expected timeline, proceedings aur legal cost ka framework jaan sakta hai.</w:t>
      </w:r>
    </w:p>
    <w:p>
      <w:pPr>
        <w:pStyle w:val="ListParagraph"/>
        <w:numPr>
          <w:ilvl w:val="0"/>
          <w:numId w:val="1"/>
        </w:numPr>
        <w:spacing w:after="60" w:before="40"/>
      </w:pPr>
      <w:r>
        <w:rPr>
          <w:rFonts w:ascii="Calibri" w:cs="Calibri" w:eastAsia="Calibri" w:hAnsi="Calibri"/>
          <w:b/>
          <w:bCs/>
          <w:color w:val="081325"/>
          <w:sz w:val="20"/>
          <w:szCs w:val="20"/>
        </w:rPr>
        <w:t xml:space="preserve">Practice Areas Hub: </w:t>
      </w:r>
      <w:r>
        <w:rPr>
          <w:rFonts w:ascii="Calibri" w:cs="Calibri" w:eastAsia="Calibri" w:hAnsi="Calibri"/>
          <w:color w:val="2D3748"/>
          <w:sz w:val="20"/>
          <w:szCs w:val="20"/>
        </w:rPr>
        <w:t xml:space="preserve">M&amp;A, IBC, White-Collar Crime, Constitutional Law, aur IP ke deep-dive pages.</w:t>
      </w:r>
    </w:p>
    <w:p>
      <w:pPr>
        <w:pStyle w:val="ListParagraph"/>
        <w:numPr>
          <w:ilvl w:val="0"/>
          <w:numId w:val="1"/>
        </w:numPr>
        <w:spacing w:after="60" w:before="40"/>
      </w:pPr>
      <w:r>
        <w:rPr>
          <w:rFonts w:ascii="Calibri" w:cs="Calibri" w:eastAsia="Calibri" w:hAnsi="Calibri"/>
          <w:b/>
          <w:bCs/>
          <w:color w:val="081325"/>
          <w:sz w:val="20"/>
          <w:szCs w:val="20"/>
        </w:rPr>
        <w:t xml:space="preserve">Senior Advocates Directory: </w:t>
      </w:r>
      <w:r>
        <w:rPr>
          <w:rFonts w:ascii="Calibri" w:cs="Calibri" w:eastAsia="Calibri" w:hAnsi="Calibri"/>
          <w:color w:val="2D3748"/>
          <w:sz w:val="20"/>
          <w:szCs w:val="20"/>
        </w:rPr>
        <w:t xml:space="preserve">Firm ke Senior Partners ke Bar Council credentials, courtroom experience, qualifications aur direct contact options.</w:t>
      </w:r>
    </w:p>
    <w:p>
      <w:pPr>
        <w:pStyle w:val="ListParagraph"/>
        <w:numPr>
          <w:ilvl w:val="0"/>
          <w:numId w:val="1"/>
        </w:numPr>
        <w:spacing w:after="60" w:before="40"/>
      </w:pPr>
      <w:r>
        <w:rPr>
          <w:rFonts w:ascii="Calibri" w:cs="Calibri" w:eastAsia="Calibri" w:hAnsi="Calibri"/>
          <w:b/>
          <w:bCs/>
          <w:color w:val="081325"/>
          <w:sz w:val="20"/>
          <w:szCs w:val="20"/>
        </w:rPr>
        <w:t xml:space="preserve">Landmark Matters: </w:t>
      </w:r>
      <w:r>
        <w:rPr>
          <w:rFonts w:ascii="Calibri" w:cs="Calibri" w:eastAsia="Calibri" w:hAnsi="Calibri"/>
          <w:color w:val="2D3748"/>
          <w:sz w:val="20"/>
          <w:szCs w:val="20"/>
        </w:rPr>
        <w:t xml:space="preserve">Supreme Court aur High Courts me jeete gaye bade landmark judgments aur commercial precedents ka showcase.</w:t>
      </w:r>
    </w:p>
    <w:p>
      <w:pPr>
        <w:pStyle w:val="ListParagraph"/>
        <w:numPr>
          <w:ilvl w:val="0"/>
          <w:numId w:val="1"/>
        </w:numPr>
        <w:spacing w:after="60" w:before="40"/>
      </w:pPr>
      <w:r>
        <w:rPr>
          <w:rFonts w:ascii="Calibri" w:cs="Calibri" w:eastAsia="Calibri" w:hAnsi="Calibri"/>
          <w:b/>
          <w:bCs/>
          <w:color w:val="081325"/>
          <w:sz w:val="20"/>
          <w:szCs w:val="20"/>
        </w:rPr>
        <w:t xml:space="preserve">Knowledge Hub &amp; Insights: </w:t>
      </w:r>
      <w:r>
        <w:rPr>
          <w:rFonts w:ascii="Calibri" w:cs="Calibri" w:eastAsia="Calibri" w:hAnsi="Calibri"/>
          <w:color w:val="2D3748"/>
          <w:sz w:val="20"/>
          <w:szCs w:val="20"/>
        </w:rPr>
        <w:t xml:space="preserve">Recent statutory amendments, SEBI/RBI circulars aur judicial updates ke articles.</w:t>
      </w:r>
    </w:p>
    <w:p>
      <w:pPr>
        <w:pStyle w:val="ListParagraph"/>
        <w:numPr>
          <w:ilvl w:val="0"/>
          <w:numId w:val="1"/>
        </w:numPr>
        <w:spacing w:after="60" w:before="40"/>
      </w:pPr>
      <w:r>
        <w:rPr>
          <w:rFonts w:ascii="Calibri" w:cs="Calibri" w:eastAsia="Calibri" w:hAnsi="Calibri"/>
          <w:b/>
          <w:bCs/>
          <w:color w:val="081325"/>
          <w:sz w:val="20"/>
          <w:szCs w:val="20"/>
        </w:rPr>
        <w:t xml:space="preserve">Instant Global Search: </w:t>
      </w:r>
      <w:r>
        <w:rPr>
          <w:rFonts w:ascii="Calibri" w:cs="Calibri" w:eastAsia="Calibri" w:hAnsi="Calibri"/>
          <w:color w:val="2D3748"/>
          <w:sz w:val="20"/>
          <w:szCs w:val="20"/>
        </w:rPr>
        <w:t xml:space="preserve">Keyboard shortcut Ctrl+K / Command+K se turant kisi bhi lawyer ya legal topic ko dhoondhne ki suvidha.</w:t>
      </w:r>
    </w:p>
    <w:p>
      <w:pPr>
        <w:pStyle w:val="ListParagraph"/>
        <w:numPr>
          <w:ilvl w:val="0"/>
          <w:numId w:val="1"/>
        </w:numPr>
        <w:spacing w:after="60" w:before="40"/>
      </w:pPr>
      <w:r>
        <w:rPr>
          <w:rFonts w:ascii="Calibri" w:cs="Calibri" w:eastAsia="Calibri" w:hAnsi="Calibri"/>
          <w:b/>
          <w:bCs/>
          <w:color w:val="081325"/>
          <w:sz w:val="20"/>
          <w:szCs w:val="20"/>
        </w:rPr>
        <w:t xml:space="preserve">Emergency Dispute Desk: </w:t>
      </w:r>
      <w:r>
        <w:rPr>
          <w:rFonts w:ascii="Calibri" w:cs="Calibri" w:eastAsia="Calibri" w:hAnsi="Calibri"/>
          <w:color w:val="2D3748"/>
          <w:sz w:val="20"/>
          <w:szCs w:val="20"/>
        </w:rPr>
        <w:t xml:space="preserve">Emergency stays, anti-suit injunctions aur urgent filings ke liye 24/7 direct dial hotline.</w:t>
      </w:r>
    </w:p>
    <w:p>
      <w:pPr>
        <w:pStyle w:val="ListParagraph"/>
        <w:numPr>
          <w:ilvl w:val="0"/>
          <w:numId w:val="1"/>
        </w:numPr>
        <w:spacing w:after="60" w:before="40"/>
      </w:pPr>
      <w:r>
        <w:rPr>
          <w:rFonts w:ascii="Calibri" w:cs="Calibri" w:eastAsia="Calibri" w:hAnsi="Calibri"/>
          <w:b/>
          <w:bCs/>
          <w:color w:val="081325"/>
          <w:sz w:val="20"/>
          <w:szCs w:val="20"/>
        </w:rPr>
        <w:t xml:space="preserve">BCI Regulatory Compliance: </w:t>
      </w:r>
      <w:r>
        <w:rPr>
          <w:rFonts w:ascii="Calibri" w:cs="Calibri" w:eastAsia="Calibri" w:hAnsi="Calibri"/>
          <w:color w:val="2D3748"/>
          <w:sz w:val="20"/>
          <w:szCs w:val="20"/>
        </w:rPr>
        <w:t xml:space="preserve">Indian lawyers direct advertisement nahi kar sakte, isliye website par Bar Council of India Rule 36 mandatory disclaimer integrated hai.</w:t>
      </w:r>
    </w:p>
    <w:p>
      <w:pPr>
        <w:pStyle w:val="Heading1"/>
        <w:spacing w:after="160" w:before="360"/>
      </w:pPr>
      <w:r>
        <w:rPr>
          <w:rFonts w:ascii="Arial" w:cs="Arial" w:eastAsia="Arial" w:hAnsi="Arial"/>
          <w:b/>
          <w:bCs/>
          <w:color w:val="081325"/>
          <w:sz w:val="28"/>
          <w:szCs w:val="28"/>
        </w:rPr>
        <w:t xml:space="preserve">2. CLIENT CONTENT REQUIREMENTS CHECKLIST (क्लाइंट से क्या-क्या चाहिए)</w:t>
      </w:r>
    </w:p>
    <w:p>
      <w:pPr>
        <w:spacing w:after="100" w:before="60"/>
      </w:pPr>
      <w:r>
        <w:rPr>
          <w:rFonts w:ascii="Calibri" w:cs="Calibri" w:eastAsia="Calibri" w:hAnsi="Calibri"/>
          <w:b w:val="false"/>
          <w:bCs w:val="false"/>
          <w:i w:val="false"/>
          <w:iCs w:val="false"/>
          <w:color w:val="2D3748"/>
          <w:sz w:val="20"/>
          <w:szCs w:val="20"/>
        </w:rPr>
        <w:t xml:space="preserve">Website ko live karne aur client ka data upload karne ke liye kripya niche diye gaye sections ki details provide karein:</w:t>
      </w:r>
    </w:p>
    <w:p>
      <w:pPr>
        <w:pStyle w:val="Heading2"/>
        <w:spacing w:after="120" w:before="240"/>
      </w:pPr>
      <w:r>
        <w:rPr>
          <w:rFonts w:ascii="Arial" w:cs="Arial" w:eastAsia="Arial" w:hAnsi="Arial"/>
          <w:b/>
          <w:bCs/>
          <w:color w:val="9C792E"/>
          <w:sz w:val="24"/>
          <w:szCs w:val="24"/>
        </w:rPr>
        <w:t xml:space="preserve">A. Firm Basic Identity &amp; Contacts</w:t>
      </w:r>
    </w:p>
    <w:p>
      <w:pPr>
        <w:spacing w:after="80" w:before="50"/>
        <w:ind w:left="360"/>
      </w:pPr>
      <w:r>
        <w:rPr>
          <w:rFonts w:ascii="Calibri" w:cs="Calibri" w:eastAsia="Calibri" w:hAnsi="Calibri"/>
          <w:b/>
          <w:bCs/>
          <w:color w:val="9C792E"/>
          <w:sz w:val="22"/>
          <w:szCs w:val="22"/>
        </w:rPr>
        <w:t xml:space="preserve">[  ]  </w:t>
      </w:r>
      <w:r>
        <w:rPr>
          <w:rFonts w:ascii="Calibri" w:cs="Calibri" w:eastAsia="Calibri" w:hAnsi="Calibri"/>
          <w:b/>
          <w:bCs/>
          <w:color w:val="081325"/>
          <w:sz w:val="20"/>
          <w:szCs w:val="20"/>
        </w:rPr>
        <w:t xml:space="preserve">Firm Name: </w:t>
      </w:r>
      <w:r>
        <w:rPr>
          <w:rFonts w:ascii="Calibri" w:cs="Calibri" w:eastAsia="Calibri" w:hAnsi="Calibri"/>
          <w:i/>
          <w:iCs/>
          <w:color w:val="4A5568"/>
          <w:sz w:val="20"/>
          <w:szCs w:val="20"/>
        </w:rPr>
        <w:t xml:space="preserve">Official registered firm name (e.g., 'ABC &amp; Partners')</w:t>
      </w:r>
    </w:p>
    <w:p>
      <w:pPr>
        <w:spacing w:after="80" w:before="50"/>
        <w:ind w:left="360"/>
      </w:pPr>
      <w:r>
        <w:rPr>
          <w:rFonts w:ascii="Calibri" w:cs="Calibri" w:eastAsia="Calibri" w:hAnsi="Calibri"/>
          <w:b/>
          <w:bCs/>
          <w:color w:val="9C792E"/>
          <w:sz w:val="22"/>
          <w:szCs w:val="22"/>
        </w:rPr>
        <w:t xml:space="preserve">[  ]  </w:t>
      </w:r>
      <w:r>
        <w:rPr>
          <w:rFonts w:ascii="Calibri" w:cs="Calibri" w:eastAsia="Calibri" w:hAnsi="Calibri"/>
          <w:b/>
          <w:bCs/>
          <w:color w:val="081325"/>
          <w:sz w:val="20"/>
          <w:szCs w:val="20"/>
        </w:rPr>
        <w:t xml:space="preserve">Tagline / Motto: </w:t>
      </w:r>
      <w:r>
        <w:rPr>
          <w:rFonts w:ascii="Calibri" w:cs="Calibri" w:eastAsia="Calibri" w:hAnsi="Calibri"/>
          <w:i/>
          <w:iCs/>
          <w:color w:val="4A5568"/>
          <w:sz w:val="20"/>
          <w:szCs w:val="20"/>
        </w:rPr>
        <w:t xml:space="preserve">Official tagline (e.g., 'Advocates, Solicitors &amp; Global Counsel')</w:t>
      </w:r>
    </w:p>
    <w:p>
      <w:pPr>
        <w:spacing w:after="80" w:before="50"/>
        <w:ind w:left="360"/>
      </w:pPr>
      <w:r>
        <w:rPr>
          <w:rFonts w:ascii="Calibri" w:cs="Calibri" w:eastAsia="Calibri" w:hAnsi="Calibri"/>
          <w:b/>
          <w:bCs/>
          <w:color w:val="9C792E"/>
          <w:sz w:val="22"/>
          <w:szCs w:val="22"/>
        </w:rPr>
        <w:t xml:space="preserve">[  ]  </w:t>
      </w:r>
      <w:r>
        <w:rPr>
          <w:rFonts w:ascii="Calibri" w:cs="Calibri" w:eastAsia="Calibri" w:hAnsi="Calibri"/>
          <w:b/>
          <w:bCs/>
          <w:color w:val="081325"/>
          <w:sz w:val="20"/>
          <w:szCs w:val="20"/>
        </w:rPr>
        <w:t xml:space="preserve">Year of Establishment: </w:t>
      </w:r>
      <w:r>
        <w:rPr>
          <w:rFonts w:ascii="Calibri" w:cs="Calibri" w:eastAsia="Calibri" w:hAnsi="Calibri"/>
          <w:i/>
          <w:iCs/>
          <w:color w:val="4A5568"/>
          <w:sz w:val="20"/>
          <w:szCs w:val="20"/>
        </w:rPr>
        <w:t xml:space="preserve">Firm shuru hone ka varsh (e.g., '1995')</w:t>
      </w:r>
    </w:p>
    <w:p>
      <w:pPr>
        <w:spacing w:after="80" w:before="50"/>
        <w:ind w:left="360"/>
      </w:pPr>
      <w:r>
        <w:rPr>
          <w:rFonts w:ascii="Calibri" w:cs="Calibri" w:eastAsia="Calibri" w:hAnsi="Calibri"/>
          <w:b/>
          <w:bCs/>
          <w:color w:val="9C792E"/>
          <w:sz w:val="22"/>
          <w:szCs w:val="22"/>
        </w:rPr>
        <w:t xml:space="preserve">[  ]  </w:t>
      </w:r>
      <w:r>
        <w:rPr>
          <w:rFonts w:ascii="Calibri" w:cs="Calibri" w:eastAsia="Calibri" w:hAnsi="Calibri"/>
          <w:b/>
          <w:bCs/>
          <w:color w:val="081325"/>
          <w:sz w:val="20"/>
          <w:szCs w:val="20"/>
        </w:rPr>
        <w:t xml:space="preserve">About Us / Firm Overview: </w:t>
      </w:r>
      <w:r>
        <w:rPr>
          <w:rFonts w:ascii="Calibri" w:cs="Calibri" w:eastAsia="Calibri" w:hAnsi="Calibri"/>
          <w:i/>
          <w:iCs/>
          <w:color w:val="4A5568"/>
          <w:sz w:val="20"/>
          <w:szCs w:val="20"/>
        </w:rPr>
        <w:t xml:space="preserve">2-3 paragraphs me firm ka courtroom track record aur philosophy</w:t>
      </w:r>
    </w:p>
    <w:p>
      <w:pPr>
        <w:spacing w:after="80" w:before="50"/>
        <w:ind w:left="360"/>
      </w:pPr>
      <w:r>
        <w:rPr>
          <w:rFonts w:ascii="Calibri" w:cs="Calibri" w:eastAsia="Calibri" w:hAnsi="Calibri"/>
          <w:b/>
          <w:bCs/>
          <w:color w:val="9C792E"/>
          <w:sz w:val="22"/>
          <w:szCs w:val="22"/>
        </w:rPr>
        <w:t xml:space="preserve">[  ]  </w:t>
      </w:r>
      <w:r>
        <w:rPr>
          <w:rFonts w:ascii="Calibri" w:cs="Calibri" w:eastAsia="Calibri" w:hAnsi="Calibri"/>
          <w:b/>
          <w:bCs/>
          <w:color w:val="081325"/>
          <w:sz w:val="20"/>
          <w:szCs w:val="20"/>
        </w:rPr>
        <w:t xml:space="preserve">High-Resolution Logo: </w:t>
      </w:r>
      <w:r>
        <w:rPr>
          <w:rFonts w:ascii="Calibri" w:cs="Calibri" w:eastAsia="Calibri" w:hAnsi="Calibri"/>
          <w:i/>
          <w:iCs/>
          <w:color w:val="4A5568"/>
          <w:sz w:val="20"/>
          <w:szCs w:val="20"/>
        </w:rPr>
        <w:t xml:space="preserve">Transparent PNG ya SVG vector format (High-quality)</w:t>
      </w:r>
    </w:p>
    <w:p>
      <w:pPr>
        <w:spacing w:after="80" w:before="50"/>
        <w:ind w:left="360"/>
      </w:pPr>
      <w:r>
        <w:rPr>
          <w:rFonts w:ascii="Calibri" w:cs="Calibri" w:eastAsia="Calibri" w:hAnsi="Calibri"/>
          <w:b/>
          <w:bCs/>
          <w:color w:val="9C792E"/>
          <w:sz w:val="22"/>
          <w:szCs w:val="22"/>
        </w:rPr>
        <w:t xml:space="preserve">[  ]  </w:t>
      </w:r>
      <w:r>
        <w:rPr>
          <w:rFonts w:ascii="Calibri" w:cs="Calibri" w:eastAsia="Calibri" w:hAnsi="Calibri"/>
          <w:b/>
          <w:bCs/>
          <w:color w:val="081325"/>
          <w:sz w:val="20"/>
          <w:szCs w:val="20"/>
        </w:rPr>
        <w:t xml:space="preserve">Emergency Dispute Hotline: </w:t>
      </w:r>
      <w:r>
        <w:rPr>
          <w:rFonts w:ascii="Calibri" w:cs="Calibri" w:eastAsia="Calibri" w:hAnsi="Calibri"/>
          <w:i/>
          <w:iCs/>
          <w:color w:val="4A5568"/>
          <w:sz w:val="20"/>
          <w:szCs w:val="20"/>
        </w:rPr>
        <w:t xml:space="preserve">Urgent stays aur injunctions ke liye phone number</w:t>
      </w:r>
    </w:p>
    <w:p>
      <w:pPr>
        <w:spacing w:after="80" w:before="50"/>
        <w:ind w:left="360"/>
      </w:pPr>
      <w:r>
        <w:rPr>
          <w:rFonts w:ascii="Calibri" w:cs="Calibri" w:eastAsia="Calibri" w:hAnsi="Calibri"/>
          <w:b/>
          <w:bCs/>
          <w:color w:val="9C792E"/>
          <w:sz w:val="22"/>
          <w:szCs w:val="22"/>
        </w:rPr>
        <w:t xml:space="preserve">[  ]  </w:t>
      </w:r>
      <w:r>
        <w:rPr>
          <w:rFonts w:ascii="Calibri" w:cs="Calibri" w:eastAsia="Calibri" w:hAnsi="Calibri"/>
          <w:b/>
          <w:bCs/>
          <w:color w:val="081325"/>
          <w:sz w:val="20"/>
          <w:szCs w:val="20"/>
        </w:rPr>
        <w:t xml:space="preserve">Official Inquiries Email: </w:t>
      </w:r>
      <w:r>
        <w:rPr>
          <w:rFonts w:ascii="Calibri" w:cs="Calibri" w:eastAsia="Calibri" w:hAnsi="Calibri"/>
          <w:i/>
          <w:iCs/>
          <w:color w:val="4A5568"/>
          <w:sz w:val="20"/>
          <w:szCs w:val="20"/>
        </w:rPr>
        <w:t xml:space="preserve">General inquiries aur consultation booking notifications ke liye email</w:t>
      </w:r>
    </w:p>
    <w:p>
      <w:pPr>
        <w:pStyle w:val="Heading2"/>
        <w:spacing w:after="120" w:before="240"/>
      </w:pPr>
      <w:r>
        <w:rPr>
          <w:rFonts w:ascii="Arial" w:cs="Arial" w:eastAsia="Arial" w:hAnsi="Arial"/>
          <w:b/>
          <w:bCs/>
          <w:color w:val="9C792E"/>
          <w:sz w:val="24"/>
          <w:szCs w:val="24"/>
        </w:rPr>
        <w:t xml:space="preserve">B. Key Credential Numbers (Homepage Stats)</w:t>
      </w:r>
    </w:p>
    <w:p>
      <w:pPr>
        <w:spacing w:after="80" w:before="50"/>
        <w:ind w:left="360"/>
      </w:pPr>
      <w:r>
        <w:rPr>
          <w:rFonts w:ascii="Calibri" w:cs="Calibri" w:eastAsia="Calibri" w:hAnsi="Calibri"/>
          <w:b/>
          <w:bCs/>
          <w:color w:val="9C792E"/>
          <w:sz w:val="22"/>
          <w:szCs w:val="22"/>
        </w:rPr>
        <w:t xml:space="preserve">[  ]  </w:t>
      </w:r>
      <w:r>
        <w:rPr>
          <w:rFonts w:ascii="Calibri" w:cs="Calibri" w:eastAsia="Calibri" w:hAnsi="Calibri"/>
          <w:b/>
          <w:bCs/>
          <w:color w:val="081325"/>
          <w:sz w:val="20"/>
          <w:szCs w:val="20"/>
        </w:rPr>
        <w:t xml:space="preserve">Total Dispute / Deal Portfolio Value: </w:t>
      </w:r>
      <w:r>
        <w:rPr>
          <w:rFonts w:ascii="Calibri" w:cs="Calibri" w:eastAsia="Calibri" w:hAnsi="Calibri"/>
          <w:i/>
          <w:iCs/>
          <w:color w:val="4A5568"/>
          <w:sz w:val="20"/>
          <w:szCs w:val="20"/>
        </w:rPr>
        <w:t xml:space="preserve">e.g., ₹25,000+ Crores / ₹1.5 Lakh Crores</w:t>
      </w:r>
    </w:p>
    <w:p>
      <w:pPr>
        <w:spacing w:after="80" w:before="50"/>
        <w:ind w:left="360"/>
      </w:pPr>
      <w:r>
        <w:rPr>
          <w:rFonts w:ascii="Calibri" w:cs="Calibri" w:eastAsia="Calibri" w:hAnsi="Calibri"/>
          <w:b/>
          <w:bCs/>
          <w:color w:val="9C792E"/>
          <w:sz w:val="22"/>
          <w:szCs w:val="22"/>
        </w:rPr>
        <w:t xml:space="preserve">[  ]  </w:t>
      </w:r>
      <w:r>
        <w:rPr>
          <w:rFonts w:ascii="Calibri" w:cs="Calibri" w:eastAsia="Calibri" w:hAnsi="Calibri"/>
          <w:b/>
          <w:bCs/>
          <w:color w:val="081325"/>
          <w:sz w:val="20"/>
          <w:szCs w:val="20"/>
        </w:rPr>
        <w:t xml:space="preserve">Total Reported Decisions / Cases: </w:t>
      </w:r>
      <w:r>
        <w:rPr>
          <w:rFonts w:ascii="Calibri" w:cs="Calibri" w:eastAsia="Calibri" w:hAnsi="Calibri"/>
          <w:i/>
          <w:iCs/>
          <w:color w:val="4A5568"/>
          <w:sz w:val="20"/>
          <w:szCs w:val="20"/>
        </w:rPr>
        <w:t xml:space="preserve">e.g., 500+ Landmark Judgments</w:t>
      </w:r>
    </w:p>
    <w:p>
      <w:pPr>
        <w:spacing w:after="80" w:before="50"/>
        <w:ind w:left="360"/>
      </w:pPr>
      <w:r>
        <w:rPr>
          <w:rFonts w:ascii="Calibri" w:cs="Calibri" w:eastAsia="Calibri" w:hAnsi="Calibri"/>
          <w:b/>
          <w:bCs/>
          <w:color w:val="9C792E"/>
          <w:sz w:val="22"/>
          <w:szCs w:val="22"/>
        </w:rPr>
        <w:t xml:space="preserve">[  ]  </w:t>
      </w:r>
      <w:r>
        <w:rPr>
          <w:rFonts w:ascii="Calibri" w:cs="Calibri" w:eastAsia="Calibri" w:hAnsi="Calibri"/>
          <w:b/>
          <w:bCs/>
          <w:color w:val="081325"/>
          <w:sz w:val="20"/>
          <w:szCs w:val="20"/>
        </w:rPr>
        <w:t xml:space="preserve">Advocates &amp; Partners Strength: </w:t>
      </w:r>
      <w:r>
        <w:rPr>
          <w:rFonts w:ascii="Calibri" w:cs="Calibri" w:eastAsia="Calibri" w:hAnsi="Calibri"/>
          <w:i/>
          <w:iCs/>
          <w:color w:val="4A5568"/>
          <w:sz w:val="20"/>
          <w:szCs w:val="20"/>
        </w:rPr>
        <w:t xml:space="preserve">e.g., 40+ Advocates &amp; Legal Counsel</w:t>
      </w:r>
    </w:p>
    <w:p>
      <w:pPr>
        <w:spacing w:after="80" w:before="50"/>
        <w:ind w:left="360"/>
      </w:pPr>
      <w:r>
        <w:rPr>
          <w:rFonts w:ascii="Calibri" w:cs="Calibri" w:eastAsia="Calibri" w:hAnsi="Calibri"/>
          <w:b/>
          <w:bCs/>
          <w:color w:val="9C792E"/>
          <w:sz w:val="22"/>
          <w:szCs w:val="22"/>
        </w:rPr>
        <w:t xml:space="preserve">[  ]  </w:t>
      </w:r>
      <w:r>
        <w:rPr>
          <w:rFonts w:ascii="Calibri" w:cs="Calibri" w:eastAsia="Calibri" w:hAnsi="Calibri"/>
          <w:b/>
          <w:bCs/>
          <w:color w:val="081325"/>
          <w:sz w:val="20"/>
          <w:szCs w:val="20"/>
        </w:rPr>
        <w:t xml:space="preserve">Key Court Jurisdictions: </w:t>
      </w:r>
      <w:r>
        <w:rPr>
          <w:rFonts w:ascii="Calibri" w:cs="Calibri" w:eastAsia="Calibri" w:hAnsi="Calibri"/>
          <w:i/>
          <w:iCs/>
          <w:color w:val="4A5568"/>
          <w:sz w:val="20"/>
          <w:szCs w:val="20"/>
        </w:rPr>
        <w:t xml:space="preserve">e.g., Supreme Court of India, High Courts, NCLT/NCLAT, SIAC Singapore</w:t>
      </w:r>
    </w:p>
    <w:p>
      <w:pPr>
        <w:pStyle w:val="Heading2"/>
        <w:spacing w:after="120" w:before="240"/>
      </w:pPr>
      <w:r>
        <w:rPr>
          <w:rFonts w:ascii="Arial" w:cs="Arial" w:eastAsia="Arial" w:hAnsi="Arial"/>
          <w:b/>
          <w:bCs/>
          <w:color w:val="9C792E"/>
          <w:sz w:val="24"/>
          <w:szCs w:val="24"/>
        </w:rPr>
        <w:t xml:space="preserve">C. Practice Areas (Services Offered)</w:t>
      </w:r>
    </w:p>
    <w:p>
      <w:pPr>
        <w:spacing w:after="100" w:before="60"/>
      </w:pPr>
      <w:r>
        <w:rPr>
          <w:rFonts w:ascii="Calibri" w:cs="Calibri" w:eastAsia="Calibri" w:hAnsi="Calibri"/>
          <w:b w:val="false"/>
          <w:bCs w:val="false"/>
          <w:i w:val="false"/>
          <w:iCs w:val="false"/>
          <w:color w:val="2D3748"/>
          <w:sz w:val="20"/>
          <w:szCs w:val="20"/>
        </w:rPr>
        <w:t xml:space="preserve">Kripya un sabhi legal domains ki list share karein jinme firm services deti hai (Har domain ka Naam + 2-3 line brief description):</w:t>
      </w:r>
    </w:p>
    <w:p>
      <w:pPr>
        <w:spacing w:after="80" w:before="50"/>
        <w:ind w:left="360"/>
      </w:pPr>
      <w:r>
        <w:rPr>
          <w:rFonts w:ascii="Calibri" w:cs="Calibri" w:eastAsia="Calibri" w:hAnsi="Calibri"/>
          <w:b/>
          <w:bCs/>
          <w:color w:val="9C792E"/>
          <w:sz w:val="22"/>
          <w:szCs w:val="22"/>
        </w:rPr>
        <w:t xml:space="preserve">[  ]  </w:t>
      </w:r>
      <w:r>
        <w:rPr>
          <w:rFonts w:ascii="Calibri" w:cs="Calibri" w:eastAsia="Calibri" w:hAnsi="Calibri"/>
          <w:b/>
          <w:bCs/>
          <w:color w:val="081325"/>
          <w:sz w:val="20"/>
          <w:szCs w:val="20"/>
        </w:rPr>
        <w:t xml:space="preserve">Litigation &amp; Supreme Court Practice: </w:t>
      </w:r>
      <w:r>
        <w:rPr>
          <w:rFonts w:ascii="Calibri" w:cs="Calibri" w:eastAsia="Calibri" w:hAnsi="Calibri"/>
          <w:i/>
          <w:iCs/>
          <w:color w:val="4A5568"/>
          <w:sz w:val="20"/>
          <w:szCs w:val="20"/>
        </w:rPr>
        <w:t xml:space="preserve">Commercial suits, constitutional writs, SLPs</w:t>
      </w:r>
    </w:p>
    <w:p>
      <w:pPr>
        <w:spacing w:after="80" w:before="50"/>
        <w:ind w:left="360"/>
      </w:pPr>
      <w:r>
        <w:rPr>
          <w:rFonts w:ascii="Calibri" w:cs="Calibri" w:eastAsia="Calibri" w:hAnsi="Calibri"/>
          <w:b/>
          <w:bCs/>
          <w:color w:val="9C792E"/>
          <w:sz w:val="22"/>
          <w:szCs w:val="22"/>
        </w:rPr>
        <w:t xml:space="preserve">[  ]  </w:t>
      </w:r>
      <w:r>
        <w:rPr>
          <w:rFonts w:ascii="Calibri" w:cs="Calibri" w:eastAsia="Calibri" w:hAnsi="Calibri"/>
          <w:b/>
          <w:bCs/>
          <w:color w:val="081325"/>
          <w:sz w:val="20"/>
          <w:szCs w:val="20"/>
        </w:rPr>
        <w:t xml:space="preserve">Corporate Law &amp; M&amp;A: </w:t>
      </w:r>
      <w:r>
        <w:rPr>
          <w:rFonts w:ascii="Calibri" w:cs="Calibri" w:eastAsia="Calibri" w:hAnsi="Calibri"/>
          <w:i/>
          <w:iCs/>
          <w:color w:val="4A5568"/>
          <w:sz w:val="20"/>
          <w:szCs w:val="20"/>
        </w:rPr>
        <w:t xml:space="preserve">Joint ventures, cross-border acquisitions, corporate due diligence</w:t>
      </w:r>
    </w:p>
    <w:p>
      <w:pPr>
        <w:spacing w:after="80" w:before="50"/>
        <w:ind w:left="360"/>
      </w:pPr>
      <w:r>
        <w:rPr>
          <w:rFonts w:ascii="Calibri" w:cs="Calibri" w:eastAsia="Calibri" w:hAnsi="Calibri"/>
          <w:b/>
          <w:bCs/>
          <w:color w:val="9C792E"/>
          <w:sz w:val="22"/>
          <w:szCs w:val="22"/>
        </w:rPr>
        <w:t xml:space="preserve">[  ]  </w:t>
      </w:r>
      <w:r>
        <w:rPr>
          <w:rFonts w:ascii="Calibri" w:cs="Calibri" w:eastAsia="Calibri" w:hAnsi="Calibri"/>
          <w:b/>
          <w:bCs/>
          <w:color w:val="081325"/>
          <w:sz w:val="20"/>
          <w:szCs w:val="20"/>
        </w:rPr>
        <w:t xml:space="preserve">Insolvency &amp; Bankruptcy (NCLT / IBC): </w:t>
      </w:r>
      <w:r>
        <w:rPr>
          <w:rFonts w:ascii="Calibri" w:cs="Calibri" w:eastAsia="Calibri" w:hAnsi="Calibri"/>
          <w:i/>
          <w:iCs/>
          <w:color w:val="4A5568"/>
          <w:sz w:val="20"/>
          <w:szCs w:val="20"/>
        </w:rPr>
        <w:t xml:space="preserve">Corporate insolvency, liquidation, debt restructuring</w:t>
      </w:r>
    </w:p>
    <w:p>
      <w:pPr>
        <w:spacing w:after="80" w:before="50"/>
        <w:ind w:left="360"/>
      </w:pPr>
      <w:r>
        <w:rPr>
          <w:rFonts w:ascii="Calibri" w:cs="Calibri" w:eastAsia="Calibri" w:hAnsi="Calibri"/>
          <w:b/>
          <w:bCs/>
          <w:color w:val="9C792E"/>
          <w:sz w:val="22"/>
          <w:szCs w:val="22"/>
        </w:rPr>
        <w:t xml:space="preserve">[  ]  </w:t>
      </w:r>
      <w:r>
        <w:rPr>
          <w:rFonts w:ascii="Calibri" w:cs="Calibri" w:eastAsia="Calibri" w:hAnsi="Calibri"/>
          <w:b/>
          <w:bCs/>
          <w:color w:val="081325"/>
          <w:sz w:val="20"/>
          <w:szCs w:val="20"/>
        </w:rPr>
        <w:t xml:space="preserve">White-Collar Crime Defense: </w:t>
      </w:r>
      <w:r>
        <w:rPr>
          <w:rFonts w:ascii="Calibri" w:cs="Calibri" w:eastAsia="Calibri" w:hAnsi="Calibri"/>
          <w:i/>
          <w:iCs/>
          <w:color w:val="4A5568"/>
          <w:sz w:val="20"/>
          <w:szCs w:val="20"/>
        </w:rPr>
        <w:t xml:space="preserve">ED, CBI, PMLA, SFIO, corporate fraud defense</w:t>
      </w:r>
    </w:p>
    <w:p>
      <w:pPr>
        <w:spacing w:after="80" w:before="50"/>
        <w:ind w:left="360"/>
      </w:pPr>
      <w:r>
        <w:rPr>
          <w:rFonts w:ascii="Calibri" w:cs="Calibri" w:eastAsia="Calibri" w:hAnsi="Calibri"/>
          <w:b/>
          <w:bCs/>
          <w:color w:val="9C792E"/>
          <w:sz w:val="22"/>
          <w:szCs w:val="22"/>
        </w:rPr>
        <w:t xml:space="preserve">[  ]  </w:t>
      </w:r>
      <w:r>
        <w:rPr>
          <w:rFonts w:ascii="Calibri" w:cs="Calibri" w:eastAsia="Calibri" w:hAnsi="Calibri"/>
          <w:b/>
          <w:bCs/>
          <w:color w:val="081325"/>
          <w:sz w:val="20"/>
          <w:szCs w:val="20"/>
        </w:rPr>
        <w:t xml:space="preserve">International &amp; Domestic Arbitration: </w:t>
      </w:r>
      <w:r>
        <w:rPr>
          <w:rFonts w:ascii="Calibri" w:cs="Calibri" w:eastAsia="Calibri" w:hAnsi="Calibri"/>
          <w:i/>
          <w:iCs/>
          <w:color w:val="4A5568"/>
          <w:sz w:val="20"/>
          <w:szCs w:val="20"/>
        </w:rPr>
        <w:t xml:space="preserve">SIAC, ICC, LCIA, Delhi International Arbitration Centre</w:t>
      </w:r>
    </w:p>
    <w:p>
      <w:pPr>
        <w:spacing w:after="80" w:before="50"/>
        <w:ind w:left="360"/>
      </w:pPr>
      <w:r>
        <w:rPr>
          <w:rFonts w:ascii="Calibri" w:cs="Calibri" w:eastAsia="Calibri" w:hAnsi="Calibri"/>
          <w:b/>
          <w:bCs/>
          <w:color w:val="9C792E"/>
          <w:sz w:val="22"/>
          <w:szCs w:val="22"/>
        </w:rPr>
        <w:t xml:space="preserve">[  ]  </w:t>
      </w:r>
      <w:r>
        <w:rPr>
          <w:rFonts w:ascii="Calibri" w:cs="Calibri" w:eastAsia="Calibri" w:hAnsi="Calibri"/>
          <w:b/>
          <w:bCs/>
          <w:color w:val="081325"/>
          <w:sz w:val="20"/>
          <w:szCs w:val="20"/>
        </w:rPr>
        <w:t xml:space="preserve">Intellectual Property (IP): </w:t>
      </w:r>
      <w:r>
        <w:rPr>
          <w:rFonts w:ascii="Calibri" w:cs="Calibri" w:eastAsia="Calibri" w:hAnsi="Calibri"/>
          <w:i/>
          <w:iCs/>
          <w:color w:val="4A5568"/>
          <w:sz w:val="20"/>
          <w:szCs w:val="20"/>
        </w:rPr>
        <w:t xml:space="preserve">Patents, trademarks, copyright, trade secret litigation</w:t>
      </w:r>
    </w:p>
    <w:p>
      <w:pPr>
        <w:spacing w:after="80" w:before="50"/>
        <w:ind w:left="360"/>
      </w:pPr>
      <w:r>
        <w:rPr>
          <w:rFonts w:ascii="Calibri" w:cs="Calibri" w:eastAsia="Calibri" w:hAnsi="Calibri"/>
          <w:b/>
          <w:bCs/>
          <w:color w:val="9C792E"/>
          <w:sz w:val="22"/>
          <w:szCs w:val="22"/>
        </w:rPr>
        <w:t xml:space="preserve">[  ]  </w:t>
      </w:r>
      <w:r>
        <w:rPr>
          <w:rFonts w:ascii="Calibri" w:cs="Calibri" w:eastAsia="Calibri" w:hAnsi="Calibri"/>
          <w:b/>
          <w:bCs/>
          <w:color w:val="081325"/>
          <w:sz w:val="20"/>
          <w:szCs w:val="20"/>
        </w:rPr>
        <w:t xml:space="preserve">Other Specialized Domains: </w:t>
      </w:r>
      <w:r>
        <w:rPr>
          <w:rFonts w:ascii="Calibri" w:cs="Calibri" w:eastAsia="Calibri" w:hAnsi="Calibri"/>
          <w:i/>
          <w:iCs/>
          <w:color w:val="4A5568"/>
          <w:sz w:val="20"/>
          <w:szCs w:val="20"/>
        </w:rPr>
        <w:t xml:space="preserve">Real estate, banking, maritime, taxation agar applicable ho</w:t>
      </w:r>
    </w:p>
    <w:p>
      <w:pPr>
        <w:pStyle w:val="Heading2"/>
        <w:spacing w:after="120" w:before="240"/>
      </w:pPr>
      <w:r>
        <w:rPr>
          <w:rFonts w:ascii="Arial" w:cs="Arial" w:eastAsia="Arial" w:hAnsi="Arial"/>
          <w:b/>
          <w:bCs/>
          <w:color w:val="9C792E"/>
          <w:sz w:val="24"/>
          <w:szCs w:val="24"/>
        </w:rPr>
        <w:t xml:space="preserve">D. Partners &amp; Advocates Profiles</w:t>
      </w:r>
    </w:p>
    <w:p>
      <w:pPr>
        <w:spacing w:after="100" w:before="60"/>
      </w:pPr>
      <w:r>
        <w:rPr>
          <w:rFonts w:ascii="Calibri" w:cs="Calibri" w:eastAsia="Calibri" w:hAnsi="Calibri"/>
          <w:b w:val="false"/>
          <w:bCs w:val="false"/>
          <w:i w:val="false"/>
          <w:iCs w:val="false"/>
          <w:color w:val="2D3748"/>
          <w:sz w:val="20"/>
          <w:szCs w:val="20"/>
        </w:rPr>
        <w:t xml:space="preserve">Har Senior Partner / Advocate ke liye niche di gayi jaankari:</w:t>
      </w:r>
    </w:p>
    <w:p>
      <w:pPr>
        <w:spacing w:after="80" w:before="50"/>
        <w:ind w:left="360"/>
      </w:pPr>
      <w:r>
        <w:rPr>
          <w:rFonts w:ascii="Calibri" w:cs="Calibri" w:eastAsia="Calibri" w:hAnsi="Calibri"/>
          <w:b/>
          <w:bCs/>
          <w:color w:val="9C792E"/>
          <w:sz w:val="22"/>
          <w:szCs w:val="22"/>
        </w:rPr>
        <w:t xml:space="preserve">[  ]  </w:t>
      </w:r>
      <w:r>
        <w:rPr>
          <w:rFonts w:ascii="Calibri" w:cs="Calibri" w:eastAsia="Calibri" w:hAnsi="Calibri"/>
          <w:b/>
          <w:bCs/>
          <w:color w:val="081325"/>
          <w:sz w:val="20"/>
          <w:szCs w:val="20"/>
        </w:rPr>
        <w:t xml:space="preserve">Full Name &amp; Designation: </w:t>
      </w:r>
      <w:r>
        <w:rPr>
          <w:rFonts w:ascii="Calibri" w:cs="Calibri" w:eastAsia="Calibri" w:hAnsi="Calibri"/>
          <w:i/>
          <w:iCs/>
          <w:color w:val="4A5568"/>
          <w:sz w:val="20"/>
          <w:szCs w:val="20"/>
        </w:rPr>
        <w:t xml:space="preserve">e.g., 'Rajiv Mehra - Senior Advocate &amp; Managing Partner'</w:t>
      </w:r>
    </w:p>
    <w:p>
      <w:pPr>
        <w:spacing w:after="80" w:before="50"/>
        <w:ind w:left="360"/>
      </w:pPr>
      <w:r>
        <w:rPr>
          <w:rFonts w:ascii="Calibri" w:cs="Calibri" w:eastAsia="Calibri" w:hAnsi="Calibri"/>
          <w:b/>
          <w:bCs/>
          <w:color w:val="9C792E"/>
          <w:sz w:val="22"/>
          <w:szCs w:val="22"/>
        </w:rPr>
        <w:t xml:space="preserve">[  ]  </w:t>
      </w:r>
      <w:r>
        <w:rPr>
          <w:rFonts w:ascii="Calibri" w:cs="Calibri" w:eastAsia="Calibri" w:hAnsi="Calibri"/>
          <w:b/>
          <w:bCs/>
          <w:color w:val="081325"/>
          <w:sz w:val="20"/>
          <w:szCs w:val="20"/>
        </w:rPr>
        <w:t xml:space="preserve">Professional Headshot: </w:t>
      </w:r>
      <w:r>
        <w:rPr>
          <w:rFonts w:ascii="Calibri" w:cs="Calibri" w:eastAsia="Calibri" w:hAnsi="Calibri"/>
          <w:i/>
          <w:iCs/>
          <w:color w:val="4A5568"/>
          <w:sz w:val="20"/>
          <w:szCs w:val="20"/>
        </w:rPr>
        <w:t xml:space="preserve">High-resolution formal picture in lawyer attire (Suit/Band)</w:t>
      </w:r>
    </w:p>
    <w:p>
      <w:pPr>
        <w:spacing w:after="80" w:before="50"/>
        <w:ind w:left="360"/>
      </w:pPr>
      <w:r>
        <w:rPr>
          <w:rFonts w:ascii="Calibri" w:cs="Calibri" w:eastAsia="Calibri" w:hAnsi="Calibri"/>
          <w:b/>
          <w:bCs/>
          <w:color w:val="9C792E"/>
          <w:sz w:val="22"/>
          <w:szCs w:val="22"/>
        </w:rPr>
        <w:t xml:space="preserve">[  ]  </w:t>
      </w:r>
      <w:r>
        <w:rPr>
          <w:rFonts w:ascii="Calibri" w:cs="Calibri" w:eastAsia="Calibri" w:hAnsi="Calibri"/>
          <w:b/>
          <w:bCs/>
          <w:color w:val="081325"/>
          <w:sz w:val="20"/>
          <w:szCs w:val="20"/>
        </w:rPr>
        <w:t xml:space="preserve">Bar Council Enrollment Number: </w:t>
      </w:r>
      <w:r>
        <w:rPr>
          <w:rFonts w:ascii="Calibri" w:cs="Calibri" w:eastAsia="Calibri" w:hAnsi="Calibri"/>
          <w:i/>
          <w:iCs/>
          <w:color w:val="4A5568"/>
          <w:sz w:val="20"/>
          <w:szCs w:val="20"/>
        </w:rPr>
        <w:t xml:space="preserve">e.g., 'D/1450/2002 - Bar Council of Delhi'</w:t>
      </w:r>
    </w:p>
    <w:p>
      <w:pPr>
        <w:spacing w:after="80" w:before="50"/>
        <w:ind w:left="360"/>
      </w:pPr>
      <w:r>
        <w:rPr>
          <w:rFonts w:ascii="Calibri" w:cs="Calibri" w:eastAsia="Calibri" w:hAnsi="Calibri"/>
          <w:b/>
          <w:bCs/>
          <w:color w:val="9C792E"/>
          <w:sz w:val="22"/>
          <w:szCs w:val="22"/>
        </w:rPr>
        <w:t xml:space="preserve">[  ]  </w:t>
      </w:r>
      <w:r>
        <w:rPr>
          <w:rFonts w:ascii="Calibri" w:cs="Calibri" w:eastAsia="Calibri" w:hAnsi="Calibri"/>
          <w:b/>
          <w:bCs/>
          <w:color w:val="081325"/>
          <w:sz w:val="20"/>
          <w:szCs w:val="20"/>
        </w:rPr>
        <w:t xml:space="preserve">Years of Experience &amp; Courts: </w:t>
      </w:r>
      <w:r>
        <w:rPr>
          <w:rFonts w:ascii="Calibri" w:cs="Calibri" w:eastAsia="Calibri" w:hAnsi="Calibri"/>
          <w:i/>
          <w:iCs/>
          <w:color w:val="4A5568"/>
          <w:sz w:val="20"/>
          <w:szCs w:val="20"/>
        </w:rPr>
        <w:t xml:space="preserve">e.g., '24+ Years | Supreme Court &amp; Delhi High Court'</w:t>
      </w:r>
    </w:p>
    <w:p>
      <w:pPr>
        <w:spacing w:after="80" w:before="50"/>
        <w:ind w:left="360"/>
      </w:pPr>
      <w:r>
        <w:rPr>
          <w:rFonts w:ascii="Calibri" w:cs="Calibri" w:eastAsia="Calibri" w:hAnsi="Calibri"/>
          <w:b/>
          <w:bCs/>
          <w:color w:val="9C792E"/>
          <w:sz w:val="22"/>
          <w:szCs w:val="22"/>
        </w:rPr>
        <w:t xml:space="preserve">[  ]  </w:t>
      </w:r>
      <w:r>
        <w:rPr>
          <w:rFonts w:ascii="Calibri" w:cs="Calibri" w:eastAsia="Calibri" w:hAnsi="Calibri"/>
          <w:b/>
          <w:bCs/>
          <w:color w:val="081325"/>
          <w:sz w:val="20"/>
          <w:szCs w:val="20"/>
        </w:rPr>
        <w:t xml:space="preserve">Primary Practice Focus: </w:t>
      </w:r>
      <w:r>
        <w:rPr>
          <w:rFonts w:ascii="Calibri" w:cs="Calibri" w:eastAsia="Calibri" w:hAnsi="Calibri"/>
          <w:i/>
          <w:iCs/>
          <w:color w:val="4A5568"/>
          <w:sz w:val="20"/>
          <w:szCs w:val="20"/>
        </w:rPr>
        <w:t xml:space="preserve">e.g., 'Corporate Insolvency &amp; Appellate Litigation'</w:t>
      </w:r>
    </w:p>
    <w:p>
      <w:pPr>
        <w:spacing w:after="80" w:before="50"/>
        <w:ind w:left="360"/>
      </w:pPr>
      <w:r>
        <w:rPr>
          <w:rFonts w:ascii="Calibri" w:cs="Calibri" w:eastAsia="Calibri" w:hAnsi="Calibri"/>
          <w:b/>
          <w:bCs/>
          <w:color w:val="9C792E"/>
          <w:sz w:val="22"/>
          <w:szCs w:val="22"/>
        </w:rPr>
        <w:t xml:space="preserve">[  ]  </w:t>
      </w:r>
      <w:r>
        <w:rPr>
          <w:rFonts w:ascii="Calibri" w:cs="Calibri" w:eastAsia="Calibri" w:hAnsi="Calibri"/>
          <w:b/>
          <w:bCs/>
          <w:color w:val="081325"/>
          <w:sz w:val="20"/>
          <w:szCs w:val="20"/>
        </w:rPr>
        <w:t xml:space="preserve">Educational Qualifications: </w:t>
      </w:r>
      <w:r>
        <w:rPr>
          <w:rFonts w:ascii="Calibri" w:cs="Calibri" w:eastAsia="Calibri" w:hAnsi="Calibri"/>
          <w:i/>
          <w:iCs/>
          <w:color w:val="4A5568"/>
          <w:sz w:val="20"/>
          <w:szCs w:val="20"/>
        </w:rPr>
        <w:t xml:space="preserve">e.g., 'BA.LL.B (Hons.), LL.M (NLSIU / Cambridge)'</w:t>
      </w:r>
    </w:p>
    <w:p>
      <w:pPr>
        <w:spacing w:after="80" w:before="50"/>
        <w:ind w:left="360"/>
      </w:pPr>
      <w:r>
        <w:rPr>
          <w:rFonts w:ascii="Calibri" w:cs="Calibri" w:eastAsia="Calibri" w:hAnsi="Calibri"/>
          <w:b/>
          <w:bCs/>
          <w:color w:val="9C792E"/>
          <w:sz w:val="22"/>
          <w:szCs w:val="22"/>
        </w:rPr>
        <w:t xml:space="preserve">[  ]  </w:t>
      </w:r>
      <w:r>
        <w:rPr>
          <w:rFonts w:ascii="Calibri" w:cs="Calibri" w:eastAsia="Calibri" w:hAnsi="Calibri"/>
          <w:b/>
          <w:bCs/>
          <w:color w:val="081325"/>
          <w:sz w:val="20"/>
          <w:szCs w:val="20"/>
        </w:rPr>
        <w:t xml:space="preserve">Professional Bio: </w:t>
      </w:r>
      <w:r>
        <w:rPr>
          <w:rFonts w:ascii="Calibri" w:cs="Calibri" w:eastAsia="Calibri" w:hAnsi="Calibri"/>
          <w:i/>
          <w:iCs/>
          <w:color w:val="4A5568"/>
          <w:sz w:val="20"/>
          <w:szCs w:val="20"/>
        </w:rPr>
        <w:t xml:space="preserve">100-150 words me unke notable cases aur career background</w:t>
      </w:r>
    </w:p>
    <w:p>
      <w:pPr>
        <w:pStyle w:val="Heading2"/>
        <w:spacing w:after="120" w:before="240"/>
      </w:pPr>
      <w:r>
        <w:rPr>
          <w:rFonts w:ascii="Arial" w:cs="Arial" w:eastAsia="Arial" w:hAnsi="Arial"/>
          <w:b/>
          <w:bCs/>
          <w:color w:val="9C792E"/>
          <w:sz w:val="24"/>
          <w:szCs w:val="24"/>
        </w:rPr>
        <w:t xml:space="preserve">E. Landmark Precedents &amp; Won Cases</w:t>
      </w:r>
    </w:p>
    <w:p>
      <w:pPr>
        <w:spacing w:after="100" w:before="60"/>
      </w:pPr>
      <w:r>
        <w:rPr>
          <w:rFonts w:ascii="Calibri" w:cs="Calibri" w:eastAsia="Calibri" w:hAnsi="Calibri"/>
          <w:b w:val="false"/>
          <w:bCs w:val="false"/>
          <w:i w:val="false"/>
          <w:iCs w:val="false"/>
          <w:color w:val="2D3748"/>
          <w:sz w:val="20"/>
          <w:szCs w:val="20"/>
        </w:rPr>
        <w:t xml:space="preserve">Prospective clients ka trust build karne ke liye 3 se 6 historic cases:</w:t>
      </w:r>
    </w:p>
    <w:p>
      <w:pPr>
        <w:spacing w:after="80" w:before="50"/>
        <w:ind w:left="360"/>
      </w:pPr>
      <w:r>
        <w:rPr>
          <w:rFonts w:ascii="Calibri" w:cs="Calibri" w:eastAsia="Calibri" w:hAnsi="Calibri"/>
          <w:b/>
          <w:bCs/>
          <w:color w:val="9C792E"/>
          <w:sz w:val="22"/>
          <w:szCs w:val="22"/>
        </w:rPr>
        <w:t xml:space="preserve">[  ]  </w:t>
      </w:r>
      <w:r>
        <w:rPr>
          <w:rFonts w:ascii="Calibri" w:cs="Calibri" w:eastAsia="Calibri" w:hAnsi="Calibri"/>
          <w:b/>
          <w:bCs/>
          <w:color w:val="081325"/>
          <w:sz w:val="20"/>
          <w:szCs w:val="20"/>
        </w:rPr>
        <w:t xml:space="preserve">Case Title / Subject: </w:t>
      </w:r>
      <w:r>
        <w:rPr>
          <w:rFonts w:ascii="Calibri" w:cs="Calibri" w:eastAsia="Calibri" w:hAnsi="Calibri"/>
          <w:i/>
          <w:iCs/>
          <w:color w:val="4A5568"/>
          <w:sz w:val="20"/>
          <w:szCs w:val="20"/>
        </w:rPr>
        <w:t xml:space="preserve">e.g., 'In re: National Infrastructure Concession Dispute'</w:t>
      </w:r>
    </w:p>
    <w:p>
      <w:pPr>
        <w:spacing w:after="80" w:before="50"/>
        <w:ind w:left="360"/>
      </w:pPr>
      <w:r>
        <w:rPr>
          <w:rFonts w:ascii="Calibri" w:cs="Calibri" w:eastAsia="Calibri" w:hAnsi="Calibri"/>
          <w:b/>
          <w:bCs/>
          <w:color w:val="9C792E"/>
          <w:sz w:val="22"/>
          <w:szCs w:val="22"/>
        </w:rPr>
        <w:t xml:space="preserve">[  ]  </w:t>
      </w:r>
      <w:r>
        <w:rPr>
          <w:rFonts w:ascii="Calibri" w:cs="Calibri" w:eastAsia="Calibri" w:hAnsi="Calibri"/>
          <w:b/>
          <w:bCs/>
          <w:color w:val="081325"/>
          <w:sz w:val="20"/>
          <w:szCs w:val="20"/>
        </w:rPr>
        <w:t xml:space="preserve">Court / Tribunal Forum: </w:t>
      </w:r>
      <w:r>
        <w:rPr>
          <w:rFonts w:ascii="Calibri" w:cs="Calibri" w:eastAsia="Calibri" w:hAnsi="Calibri"/>
          <w:i/>
          <w:iCs/>
          <w:color w:val="4A5568"/>
          <w:sz w:val="20"/>
          <w:szCs w:val="20"/>
        </w:rPr>
        <w:t xml:space="preserve">e.g., 'Supreme Court of India / NCLAT New Delhi'</w:t>
      </w:r>
    </w:p>
    <w:p>
      <w:pPr>
        <w:spacing w:after="80" w:before="50"/>
        <w:ind w:left="360"/>
      </w:pPr>
      <w:r>
        <w:rPr>
          <w:rFonts w:ascii="Calibri" w:cs="Calibri" w:eastAsia="Calibri" w:hAnsi="Calibri"/>
          <w:b/>
          <w:bCs/>
          <w:color w:val="9C792E"/>
          <w:sz w:val="22"/>
          <w:szCs w:val="22"/>
        </w:rPr>
        <w:t xml:space="preserve">[  ]  </w:t>
      </w:r>
      <w:r>
        <w:rPr>
          <w:rFonts w:ascii="Calibri" w:cs="Calibri" w:eastAsia="Calibri" w:hAnsi="Calibri"/>
          <w:b/>
          <w:bCs/>
          <w:color w:val="081325"/>
          <w:sz w:val="20"/>
          <w:szCs w:val="20"/>
        </w:rPr>
        <w:t xml:space="preserve">Dispute / Claim Value: </w:t>
      </w:r>
      <w:r>
        <w:rPr>
          <w:rFonts w:ascii="Calibri" w:cs="Calibri" w:eastAsia="Calibri" w:hAnsi="Calibri"/>
          <w:i/>
          <w:iCs/>
          <w:color w:val="4A5568"/>
          <w:sz w:val="20"/>
          <w:szCs w:val="20"/>
        </w:rPr>
        <w:t xml:space="preserve">e.g., '₹1,200 Crores' (Optional if confidential)</w:t>
      </w:r>
    </w:p>
    <w:p>
      <w:pPr>
        <w:spacing w:after="80" w:before="50"/>
        <w:ind w:left="360"/>
      </w:pPr>
      <w:r>
        <w:rPr>
          <w:rFonts w:ascii="Calibri" w:cs="Calibri" w:eastAsia="Calibri" w:hAnsi="Calibri"/>
          <w:b/>
          <w:bCs/>
          <w:color w:val="9C792E"/>
          <w:sz w:val="22"/>
          <w:szCs w:val="22"/>
        </w:rPr>
        <w:t xml:space="preserve">[  ]  </w:t>
      </w:r>
      <w:r>
        <w:rPr>
          <w:rFonts w:ascii="Calibri" w:cs="Calibri" w:eastAsia="Calibri" w:hAnsi="Calibri"/>
          <w:b/>
          <w:bCs/>
          <w:color w:val="081325"/>
          <w:sz w:val="20"/>
          <w:szCs w:val="20"/>
        </w:rPr>
        <w:t xml:space="preserve">Judgment / Outcome Achieved: </w:t>
      </w:r>
      <w:r>
        <w:rPr>
          <w:rFonts w:ascii="Calibri" w:cs="Calibri" w:eastAsia="Calibri" w:hAnsi="Calibri"/>
          <w:i/>
          <w:iCs/>
          <w:color w:val="4A5568"/>
          <w:sz w:val="20"/>
          <w:szCs w:val="20"/>
        </w:rPr>
        <w:t xml:space="preserve">Relief obtained (e.g., 'Unanimously set aside penalty order')</w:t>
      </w:r>
    </w:p>
    <w:p>
      <w:pPr>
        <w:pStyle w:val="Heading2"/>
        <w:spacing w:after="120" w:before="240"/>
      </w:pPr>
      <w:r>
        <w:rPr>
          <w:rFonts w:ascii="Arial" w:cs="Arial" w:eastAsia="Arial" w:hAnsi="Arial"/>
          <w:b/>
          <w:bCs/>
          <w:color w:val="9C792E"/>
          <w:sz w:val="24"/>
          <w:szCs w:val="24"/>
        </w:rPr>
        <w:t xml:space="preserve">F. Chambers &amp; Office Locations</w:t>
      </w:r>
    </w:p>
    <w:p>
      <w:pPr>
        <w:spacing w:after="80" w:before="50"/>
        <w:ind w:left="360"/>
      </w:pPr>
      <w:r>
        <w:rPr>
          <w:rFonts w:ascii="Calibri" w:cs="Calibri" w:eastAsia="Calibri" w:hAnsi="Calibri"/>
          <w:b/>
          <w:bCs/>
          <w:color w:val="9C792E"/>
          <w:sz w:val="22"/>
          <w:szCs w:val="22"/>
        </w:rPr>
        <w:t xml:space="preserve">[  ]  </w:t>
      </w:r>
      <w:r>
        <w:rPr>
          <w:rFonts w:ascii="Calibri" w:cs="Calibri" w:eastAsia="Calibri" w:hAnsi="Calibri"/>
          <w:b/>
          <w:bCs/>
          <w:color w:val="081325"/>
          <w:sz w:val="20"/>
          <w:szCs w:val="20"/>
        </w:rPr>
        <w:t xml:space="preserve">Head Office / Supreme Court Chambers: </w:t>
      </w:r>
      <w:r>
        <w:rPr>
          <w:rFonts w:ascii="Calibri" w:cs="Calibri" w:eastAsia="Calibri" w:hAnsi="Calibri"/>
          <w:i/>
          <w:iCs/>
          <w:color w:val="4A5568"/>
          <w:sz w:val="20"/>
          <w:szCs w:val="20"/>
        </w:rPr>
        <w:t xml:space="preserve">Complete address, direct telephone, chamber email</w:t>
      </w:r>
    </w:p>
    <w:p>
      <w:pPr>
        <w:spacing w:after="80" w:before="50"/>
        <w:ind w:left="360"/>
      </w:pPr>
      <w:r>
        <w:rPr>
          <w:rFonts w:ascii="Calibri" w:cs="Calibri" w:eastAsia="Calibri" w:hAnsi="Calibri"/>
          <w:b/>
          <w:bCs/>
          <w:color w:val="9C792E"/>
          <w:sz w:val="22"/>
          <w:szCs w:val="22"/>
        </w:rPr>
        <w:t xml:space="preserve">[  ]  </w:t>
      </w:r>
      <w:r>
        <w:rPr>
          <w:rFonts w:ascii="Calibri" w:cs="Calibri" w:eastAsia="Calibri" w:hAnsi="Calibri"/>
          <w:b/>
          <w:bCs/>
          <w:color w:val="081325"/>
          <w:sz w:val="20"/>
          <w:szCs w:val="20"/>
        </w:rPr>
        <w:t xml:space="preserve">High Court / Branch Offices: </w:t>
      </w:r>
      <w:r>
        <w:rPr>
          <w:rFonts w:ascii="Calibri" w:cs="Calibri" w:eastAsia="Calibri" w:hAnsi="Calibri"/>
          <w:i/>
          <w:iCs/>
          <w:color w:val="4A5568"/>
          <w:sz w:val="20"/>
          <w:szCs w:val="20"/>
        </w:rPr>
        <w:t xml:space="preserve">Mumbai, Bengaluru, Kolkata, Singapore addresses</w:t>
      </w:r>
    </w:p>
    <w:p>
      <w:pPr>
        <w:spacing w:after="80" w:before="50"/>
        <w:ind w:left="360"/>
      </w:pPr>
      <w:r>
        <w:rPr>
          <w:rFonts w:ascii="Calibri" w:cs="Calibri" w:eastAsia="Calibri" w:hAnsi="Calibri"/>
          <w:b/>
          <w:bCs/>
          <w:color w:val="9C792E"/>
          <w:sz w:val="22"/>
          <w:szCs w:val="22"/>
        </w:rPr>
        <w:t xml:space="preserve">[  ]  </w:t>
      </w:r>
      <w:r>
        <w:rPr>
          <w:rFonts w:ascii="Calibri" w:cs="Calibri" w:eastAsia="Calibri" w:hAnsi="Calibri"/>
          <w:b/>
          <w:bCs/>
          <w:color w:val="081325"/>
          <w:sz w:val="20"/>
          <w:szCs w:val="20"/>
        </w:rPr>
        <w:t xml:space="preserve">Google Maps Location Pin: </w:t>
      </w:r>
      <w:r>
        <w:rPr>
          <w:rFonts w:ascii="Calibri" w:cs="Calibri" w:eastAsia="Calibri" w:hAnsi="Calibri"/>
          <w:i/>
          <w:iCs/>
          <w:color w:val="4A5568"/>
          <w:sz w:val="20"/>
          <w:szCs w:val="20"/>
        </w:rPr>
        <w:t xml:space="preserve">Map location links (Coordinates)</w:t>
      </w:r>
    </w:p>
    <w:p>
      <w:pPr>
        <w:pStyle w:val="Heading2"/>
        <w:spacing w:after="120" w:before="240"/>
      </w:pPr>
      <w:r>
        <w:rPr>
          <w:rFonts w:ascii="Arial" w:cs="Arial" w:eastAsia="Arial" w:hAnsi="Arial"/>
          <w:b/>
          <w:bCs/>
          <w:color w:val="9C792E"/>
          <w:sz w:val="24"/>
          <w:szCs w:val="24"/>
        </w:rPr>
        <w:t xml:space="preserve">G. Legal Articles / Knowledge Hub (Optional Initial Batch)</w:t>
      </w:r>
    </w:p>
    <w:p>
      <w:pPr>
        <w:spacing w:after="80" w:before="50"/>
        <w:ind w:left="360"/>
      </w:pPr>
      <w:r>
        <w:rPr>
          <w:rFonts w:ascii="Calibri" w:cs="Calibri" w:eastAsia="Calibri" w:hAnsi="Calibri"/>
          <w:b/>
          <w:bCs/>
          <w:color w:val="9C792E"/>
          <w:sz w:val="22"/>
          <w:szCs w:val="22"/>
        </w:rPr>
        <w:t xml:space="preserve">[  ]  </w:t>
      </w:r>
      <w:r>
        <w:rPr>
          <w:rFonts w:ascii="Calibri" w:cs="Calibri" w:eastAsia="Calibri" w:hAnsi="Calibri"/>
          <w:b/>
          <w:bCs/>
          <w:color w:val="081325"/>
          <w:sz w:val="20"/>
          <w:szCs w:val="20"/>
        </w:rPr>
        <w:t xml:space="preserve">1-3 Legal Insight Articles: </w:t>
      </w:r>
      <w:r>
        <w:rPr>
          <w:rFonts w:ascii="Calibri" w:cs="Calibri" w:eastAsia="Calibri" w:hAnsi="Calibri"/>
          <w:i/>
          <w:iCs/>
          <w:color w:val="4A5568"/>
          <w:sz w:val="20"/>
          <w:szCs w:val="20"/>
        </w:rPr>
        <w:t xml:space="preserve">Recent judgments, regulatory amendments ya legal advisories</w:t>
      </w:r>
    </w:p>
    <w:p>
      <w:pPr>
        <w:pStyle w:val="Heading1"/>
        <w:spacing w:after="160" w:before="360"/>
      </w:pPr>
      <w:r>
        <w:rPr>
          <w:rFonts w:ascii="Arial" w:cs="Arial" w:eastAsia="Arial" w:hAnsi="Arial"/>
          <w:b/>
          <w:bCs/>
          <w:color w:val="081325"/>
          <w:sz w:val="28"/>
          <w:szCs w:val="28"/>
        </w:rPr>
        <w:t xml:space="preserve">3. MEDIA &amp; ASSET SPECIFICATIONS</w:t>
      </w:r>
    </w:p>
    <w:p>
      <w:pPr>
        <w:spacing w:after="100" w:before="60"/>
      </w:pPr>
      <w:r>
        <w:rPr>
          <w:rFonts w:ascii="Calibri" w:cs="Calibri" w:eastAsia="Calibri" w:hAnsi="Calibri"/>
          <w:b w:val="false"/>
          <w:bCs w:val="false"/>
          <w:i w:val="false"/>
          <w:iCs w:val="false"/>
          <w:color w:val="2D3748"/>
          <w:sz w:val="20"/>
          <w:szCs w:val="20"/>
        </w:rPr>
        <w:t xml:space="preserve">Client se assets mangwate waqt in technical guidelines ko follow karein: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0A192F" w:val="clear"/>
            <w:tcMar>
              <w:top w:type="dxa" w:w="120"/>
              <w:left w:type="dxa" w:w="160"/>
              <w:bottom w:type="dxa" w:w="120"/>
              <w:right w:type="dxa" w:w="160"/>
            </w:tcMar>
          </w:tcPr>
          <w:p>
            <w:r>
              <w:rPr>
                <w:rFonts w:ascii="Calibri" w:cs="Calibri" w:eastAsia="Calibri" w:hAnsi="Calibri"/>
                <w:b/>
                <w:bCs/>
                <w:color w:val="FFFFFF"/>
                <w:sz w:val="19"/>
                <w:szCs w:val="19"/>
              </w:rPr>
              <w:t xml:space="preserve">Asset Name</w:t>
            </w:r>
          </w:p>
        </w:tc>
        <w:tc>
          <w:tcPr>
            <w:tcW w:type="dxa" w:w="3000"/>
            <w:shd w:fill="0A192F" w:val="clear"/>
            <w:tcMar>
              <w:top w:type="dxa" w:w="120"/>
              <w:left w:type="dxa" w:w="160"/>
              <w:bottom w:type="dxa" w:w="120"/>
              <w:right w:type="dxa" w:w="160"/>
            </w:tcMar>
          </w:tcPr>
          <w:p>
            <w:r>
              <w:rPr>
                <w:rFonts w:ascii="Calibri" w:cs="Calibri" w:eastAsia="Calibri" w:hAnsi="Calibri"/>
                <w:b/>
                <w:bCs/>
                <w:color w:val="FFFFFF"/>
                <w:sz w:val="19"/>
                <w:szCs w:val="19"/>
              </w:rPr>
              <w:t xml:space="preserve">Recommended Format</w:t>
            </w:r>
          </w:p>
        </w:tc>
        <w:tc>
          <w:tcPr>
            <w:tcW w:type="dxa" w:w="3000"/>
            <w:shd w:fill="0A192F" w:val="clear"/>
            <w:tcMar>
              <w:top w:type="dxa" w:w="120"/>
              <w:left w:type="dxa" w:w="160"/>
              <w:bottom w:type="dxa" w:w="120"/>
              <w:right w:type="dxa" w:w="160"/>
            </w:tcMar>
          </w:tcPr>
          <w:p>
            <w:r>
              <w:rPr>
                <w:rFonts w:ascii="Calibri" w:cs="Calibri" w:eastAsia="Calibri" w:hAnsi="Calibri"/>
                <w:b/>
                <w:bCs/>
                <w:color w:val="FFFFFF"/>
                <w:sz w:val="19"/>
                <w:szCs w:val="19"/>
              </w:rPr>
              <w:t xml:space="preserve">Dimensions / Specifications</w:t>
            </w:r>
          </w:p>
        </w:tc>
      </w:tr>
      <w:tr>
        <w:tc>
          <w:tcPr>
            <w:tcW w:type="dxa" w:w="3000"/>
            <w:shd w:fill="FFFFFF" w:val="clear"/>
            <w:tcMar>
              <w:top w:type="dxa" w:w="120"/>
              <w:left w:type="dxa" w:w="160"/>
              <w:bottom w:type="dxa" w:w="120"/>
              <w:right w:type="dxa" w:w="160"/>
            </w:tcMar>
          </w:tcPr>
          <w:p>
            <w:r>
              <w:rPr>
                <w:rFonts w:ascii="Calibri" w:cs="Calibri" w:eastAsia="Calibri" w:hAnsi="Calibri"/>
                <w:b w:val="false"/>
                <w:bCs w:val="false"/>
                <w:color w:val="2D3748"/>
                <w:sz w:val="19"/>
                <w:szCs w:val="19"/>
              </w:rPr>
              <w:t xml:space="preserve">Firm Logo</w:t>
            </w:r>
          </w:p>
        </w:tc>
        <w:tc>
          <w:tcPr>
            <w:tcW w:type="dxa" w:w="3000"/>
            <w:shd w:fill="FFFFFF" w:val="clear"/>
            <w:tcMar>
              <w:top w:type="dxa" w:w="120"/>
              <w:left w:type="dxa" w:w="160"/>
              <w:bottom w:type="dxa" w:w="120"/>
              <w:right w:type="dxa" w:w="160"/>
            </w:tcMar>
          </w:tcPr>
          <w:p>
            <w:r>
              <w:rPr>
                <w:rFonts w:ascii="Calibri" w:cs="Calibri" w:eastAsia="Calibri" w:hAnsi="Calibri"/>
                <w:b w:val="false"/>
                <w:bCs w:val="false"/>
                <w:color w:val="2D3748"/>
                <w:sz w:val="19"/>
                <w:szCs w:val="19"/>
              </w:rPr>
              <w:t xml:space="preserve">PNG (Transparent) or SVG</w:t>
            </w:r>
          </w:p>
        </w:tc>
        <w:tc>
          <w:tcPr>
            <w:tcW w:type="dxa" w:w="3000"/>
            <w:shd w:fill="FFFFFF" w:val="clear"/>
            <w:tcMar>
              <w:top w:type="dxa" w:w="120"/>
              <w:left w:type="dxa" w:w="160"/>
              <w:bottom w:type="dxa" w:w="120"/>
              <w:right w:type="dxa" w:w="160"/>
            </w:tcMar>
          </w:tcPr>
          <w:p>
            <w:r>
              <w:rPr>
                <w:rFonts w:ascii="Calibri" w:cs="Calibri" w:eastAsia="Calibri" w:hAnsi="Calibri"/>
                <w:b w:val="false"/>
                <w:bCs w:val="false"/>
                <w:color w:val="2D3748"/>
                <w:sz w:val="19"/>
                <w:szCs w:val="19"/>
              </w:rPr>
              <w:t xml:space="preserve">500px+ width, High-Res vector</w:t>
            </w:r>
          </w:p>
        </w:tc>
      </w:tr>
      <w:tr>
        <w:tc>
          <w:tcPr>
            <w:tcW w:type="dxa" w:w="3000"/>
            <w:shd w:fill="F7FAFC" w:val="clear"/>
            <w:tcMar>
              <w:top w:type="dxa" w:w="120"/>
              <w:left w:type="dxa" w:w="160"/>
              <w:bottom w:type="dxa" w:w="120"/>
              <w:right w:type="dxa" w:w="160"/>
            </w:tcMar>
          </w:tcPr>
          <w:p>
            <w:r>
              <w:rPr>
                <w:rFonts w:ascii="Calibri" w:cs="Calibri" w:eastAsia="Calibri" w:hAnsi="Calibri"/>
                <w:b w:val="false"/>
                <w:bCs w:val="false"/>
                <w:color w:val="2D3748"/>
                <w:sz w:val="19"/>
                <w:szCs w:val="19"/>
              </w:rPr>
              <w:t xml:space="preserve">Partner Headshots</w:t>
            </w:r>
          </w:p>
        </w:tc>
        <w:tc>
          <w:tcPr>
            <w:tcW w:type="dxa" w:w="3000"/>
            <w:shd w:fill="F7FAFC" w:val="clear"/>
            <w:tcMar>
              <w:top w:type="dxa" w:w="120"/>
              <w:left w:type="dxa" w:w="160"/>
              <w:bottom w:type="dxa" w:w="120"/>
              <w:right w:type="dxa" w:w="160"/>
            </w:tcMar>
          </w:tcPr>
          <w:p>
            <w:r>
              <w:rPr>
                <w:rFonts w:ascii="Calibri" w:cs="Calibri" w:eastAsia="Calibri" w:hAnsi="Calibri"/>
                <w:b w:val="false"/>
                <w:bCs w:val="false"/>
                <w:color w:val="2D3748"/>
                <w:sz w:val="19"/>
                <w:szCs w:val="19"/>
              </w:rPr>
              <w:t xml:space="preserve">JPG / PNG / WebP</w:t>
            </w:r>
          </w:p>
        </w:tc>
        <w:tc>
          <w:tcPr>
            <w:tcW w:type="dxa" w:w="3000"/>
            <w:shd w:fill="F7FAFC" w:val="clear"/>
            <w:tcMar>
              <w:top w:type="dxa" w:w="120"/>
              <w:left w:type="dxa" w:w="160"/>
              <w:bottom w:type="dxa" w:w="120"/>
              <w:right w:type="dxa" w:w="160"/>
            </w:tcMar>
          </w:tcPr>
          <w:p>
            <w:r>
              <w:rPr>
                <w:rFonts w:ascii="Calibri" w:cs="Calibri" w:eastAsia="Calibri" w:hAnsi="Calibri"/>
                <w:b w:val="false"/>
                <w:bCs w:val="false"/>
                <w:color w:val="2D3748"/>
                <w:sz w:val="19"/>
                <w:szCs w:val="19"/>
              </w:rPr>
              <w:t xml:space="preserve">800x1000px, Professional portrait, Neutral background</w:t>
            </w:r>
          </w:p>
        </w:tc>
      </w:tr>
      <w:tr>
        <w:tc>
          <w:tcPr>
            <w:tcW w:type="dxa" w:w="3000"/>
            <w:shd w:fill="FFFFFF" w:val="clear"/>
            <w:tcMar>
              <w:top w:type="dxa" w:w="120"/>
              <w:left w:type="dxa" w:w="160"/>
              <w:bottom w:type="dxa" w:w="120"/>
              <w:right w:type="dxa" w:w="160"/>
            </w:tcMar>
          </w:tcPr>
          <w:p>
            <w:r>
              <w:rPr>
                <w:rFonts w:ascii="Calibri" w:cs="Calibri" w:eastAsia="Calibri" w:hAnsi="Calibri"/>
                <w:b w:val="false"/>
                <w:bCs w:val="false"/>
                <w:color w:val="2D3748"/>
                <w:sz w:val="19"/>
                <w:szCs w:val="19"/>
              </w:rPr>
              <w:t xml:space="preserve">Chambers / Law Library Photos</w:t>
            </w:r>
          </w:p>
        </w:tc>
        <w:tc>
          <w:tcPr>
            <w:tcW w:type="dxa" w:w="3000"/>
            <w:shd w:fill="FFFFFF" w:val="clear"/>
            <w:tcMar>
              <w:top w:type="dxa" w:w="120"/>
              <w:left w:type="dxa" w:w="160"/>
              <w:bottom w:type="dxa" w:w="120"/>
              <w:right w:type="dxa" w:w="160"/>
            </w:tcMar>
          </w:tcPr>
          <w:p>
            <w:r>
              <w:rPr>
                <w:rFonts w:ascii="Calibri" w:cs="Calibri" w:eastAsia="Calibri" w:hAnsi="Calibri"/>
                <w:b w:val="false"/>
                <w:bCs w:val="false"/>
                <w:color w:val="2D3748"/>
                <w:sz w:val="19"/>
                <w:szCs w:val="19"/>
              </w:rPr>
              <w:t xml:space="preserve">JPG / WebP</w:t>
            </w:r>
          </w:p>
        </w:tc>
        <w:tc>
          <w:tcPr>
            <w:tcW w:type="dxa" w:w="3000"/>
            <w:shd w:fill="FFFFFF" w:val="clear"/>
            <w:tcMar>
              <w:top w:type="dxa" w:w="120"/>
              <w:left w:type="dxa" w:w="160"/>
              <w:bottom w:type="dxa" w:w="120"/>
              <w:right w:type="dxa" w:w="160"/>
            </w:tcMar>
          </w:tcPr>
          <w:p>
            <w:r>
              <w:rPr>
                <w:rFonts w:ascii="Calibri" w:cs="Calibri" w:eastAsia="Calibri" w:hAnsi="Calibri"/>
                <w:b w:val="false"/>
                <w:bCs w:val="false"/>
                <w:color w:val="2D3748"/>
                <w:sz w:val="19"/>
                <w:szCs w:val="19"/>
              </w:rPr>
              <w:t xml:space="preserve">1920x1080px (Landscape), High clarity</w:t>
            </w:r>
          </w:p>
        </w:tc>
      </w:tr>
      <w:tr>
        <w:tc>
          <w:tcPr>
            <w:tcW w:type="dxa" w:w="3000"/>
            <w:shd w:fill="F7FAFC" w:val="clear"/>
            <w:tcMar>
              <w:top w:type="dxa" w:w="120"/>
              <w:left w:type="dxa" w:w="160"/>
              <w:bottom w:type="dxa" w:w="120"/>
              <w:right w:type="dxa" w:w="160"/>
            </w:tcMar>
          </w:tcPr>
          <w:p>
            <w:r>
              <w:rPr>
                <w:rFonts w:ascii="Calibri" w:cs="Calibri" w:eastAsia="Calibri" w:hAnsi="Calibri"/>
                <w:b w:val="false"/>
                <w:bCs w:val="false"/>
                <w:color w:val="2D3748"/>
                <w:sz w:val="19"/>
                <w:szCs w:val="19"/>
              </w:rPr>
              <w:t xml:space="preserve">Articles / Content</w:t>
            </w:r>
          </w:p>
        </w:tc>
        <w:tc>
          <w:tcPr>
            <w:tcW w:type="dxa" w:w="3000"/>
            <w:shd w:fill="F7FAFC" w:val="clear"/>
            <w:tcMar>
              <w:top w:type="dxa" w:w="120"/>
              <w:left w:type="dxa" w:w="160"/>
              <w:bottom w:type="dxa" w:w="120"/>
              <w:right w:type="dxa" w:w="160"/>
            </w:tcMar>
          </w:tcPr>
          <w:p>
            <w:r>
              <w:rPr>
                <w:rFonts w:ascii="Calibri" w:cs="Calibri" w:eastAsia="Calibri" w:hAnsi="Calibri"/>
                <w:b w:val="false"/>
                <w:bCs w:val="false"/>
                <w:color w:val="2D3748"/>
                <w:sz w:val="19"/>
                <w:szCs w:val="19"/>
              </w:rPr>
              <w:t xml:space="preserve">MS Word (.docx) or PDF</w:t>
            </w:r>
          </w:p>
        </w:tc>
        <w:tc>
          <w:tcPr>
            <w:tcW w:type="dxa" w:w="3000"/>
            <w:shd w:fill="F7FAFC" w:val="clear"/>
            <w:tcMar>
              <w:top w:type="dxa" w:w="120"/>
              <w:left w:type="dxa" w:w="160"/>
              <w:bottom w:type="dxa" w:w="120"/>
              <w:right w:type="dxa" w:w="160"/>
            </w:tcMar>
          </w:tcPr>
          <w:p>
            <w:r>
              <w:rPr>
                <w:rFonts w:ascii="Calibri" w:cs="Calibri" w:eastAsia="Calibri" w:hAnsi="Calibri"/>
                <w:b w:val="false"/>
                <w:bCs w:val="false"/>
                <w:color w:val="2D3748"/>
                <w:sz w:val="19"/>
                <w:szCs w:val="19"/>
              </w:rPr>
              <w:t xml:space="preserve">Formatted text with Author name &amp; Date</w:t>
            </w:r>
          </w:p>
        </w:tc>
      </w:tr>
    </w:tbl>
    <w:p>
      <w:pPr>
        <w:pStyle w:val="Heading1"/>
        <w:spacing w:after="160" w:before="360"/>
      </w:pPr>
      <w:r>
        <w:rPr>
          <w:rFonts w:ascii="Arial" w:cs="Arial" w:eastAsia="Arial" w:hAnsi="Arial"/>
          <w:b/>
          <w:bCs/>
          <w:color w:val="081325"/>
          <w:sz w:val="28"/>
          <w:szCs w:val="28"/>
        </w:rPr>
        <w:t xml:space="preserve">4. STATUTORY &amp; BAR COUNCIL OF INDIA (BCI) NOTE</w:t>
      </w:r>
    </w:p>
    <w:p>
      <w:pPr>
        <w:spacing w:after="100" w:before="60"/>
      </w:pPr>
      <w:r>
        <w:rPr>
          <w:rFonts w:ascii="Calibri" w:cs="Calibri" w:eastAsia="Calibri" w:hAnsi="Calibri"/>
          <w:b w:val="false"/>
          <w:bCs w:val="false"/>
          <w:i w:val="false"/>
          <w:iCs w:val="false"/>
          <w:color w:val="2D3748"/>
          <w:sz w:val="20"/>
          <w:szCs w:val="20"/>
        </w:rPr>
        <w:t xml:space="preserve">Indian Bar Council Rules (Rule 36 of Bar Council of India) ke anusaar, advocates aur law firms direct advertisement ya solicitation nahi kar sakte. Is website me humne compliance ke liye mandatory entry disclaimer modal integrate kiya hai jo confirm karta hai ki user info lene apni marzi se website visit kar raha hai. Client ko is baat ki assurance di ja sakti hai ki yeh website fully BCI compliant hai.</w:t>
      </w:r>
    </w:p>
    <w:sectPr>
      <w:pgSz w:w="11906" w:h="16838" w:orient="portrait"/>
      <w:pgMar w:top="1000" w:right="1200" w:bottom="10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2026-10-06T08:48:46.113Z</dcterms:created>
  <dcterms:modified xsi:type="dcterms:W3CDTF">2026-10-06T08:48:46.113Z</dcterms:modified>
</cp:coreProperties>
</file>

<file path=docProps/custom.xml><?xml version="1.0" encoding="utf-8"?>
<Properties xmlns="http://schemas.openxmlformats.org/officeDocument/2006/custom-properties" xmlns:vt="http://schemas.openxmlformats.org/officeDocument/2006/docPropsVTypes"/>
</file>