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jc w:val="center"/>
      </w:pPr>
      <w:r>
        <w:rPr>
          <w:rFonts w:ascii="Arial" w:cs="Arial" w:eastAsia="Arial" w:hAnsi="Arial"/>
          <w:b/>
          <w:bCs/>
          <w:color w:val="081325"/>
          <w:sz w:val="36"/>
          <w:szCs w:val="36"/>
        </w:rPr>
        <w:t xml:space="preserve">LEGAL WEB PLATFORM ARCHITECTURE &amp; CONTENT SPECIFICATION</w:t>
      </w:r>
    </w:p>
    <w:p>
      <w:pPr>
        <w:spacing w:after="360"/>
        <w:jc w:val="center"/>
      </w:pPr>
      <w:r>
        <w:rPr>
          <w:rFonts w:ascii="Arial" w:cs="Arial" w:eastAsia="Arial" w:hAnsi="Arial"/>
          <w:b/>
          <w:bCs/>
          <w:color w:val="9C792E"/>
          <w:sz w:val="20"/>
          <w:szCs w:val="20"/>
        </w:rPr>
        <w:t xml:space="preserve">Tier-1 Law Firm Digital Infrastructure | Scope of Features &amp; Client Content Onboarding</w:t>
      </w:r>
    </w:p>
    <w:p>
      <w:pPr>
        <w:spacing w:after="100" w:before="60"/>
      </w:pPr>
      <w:r>
        <w:rPr>
          <w:rFonts w:ascii="Calibri" w:cs="Calibri" w:eastAsia="Calibri" w:hAnsi="Calibri"/>
          <w:b w:val="false"/>
          <w:bCs w:val="false"/>
          <w:i/>
          <w:iCs/>
          <w:color w:val="2D3748"/>
          <w:sz w:val="20"/>
          <w:szCs w:val="20"/>
        </w:rPr>
        <w:t xml:space="preserve">This document outlines the planned architecture, interactive modules, and features to be developed for the law firm's upcoming digital platform, accompanied by the complete content requirements needed from the firm to proceed with development and integration.</w:t>
      </w:r>
    </w:p>
    <w:p>
      <w:pPr>
        <w:pStyle w:val="Heading1"/>
        <w:spacing w:after="160" w:before="400"/>
      </w:pPr>
      <w:r>
        <w:rPr>
          <w:rFonts w:ascii="Arial" w:cs="Arial" w:eastAsia="Arial" w:hAnsi="Arial"/>
          <w:b/>
          <w:bCs/>
          <w:color w:val="081325"/>
          <w:sz w:val="26"/>
          <w:szCs w:val="26"/>
        </w:rPr>
        <w:t xml:space="preserve">1. PLANNED PLATFORM ARCHITECTURE &amp; CAPABILITIES</w:t>
      </w:r>
    </w:p>
    <w:p>
      <w:pPr>
        <w:spacing w:after="100" w:before="60"/>
      </w:pPr>
      <w:r>
        <w:rPr>
          <w:rFonts w:ascii="Calibri" w:cs="Calibri" w:eastAsia="Calibri" w:hAnsi="Calibri"/>
          <w:b w:val="false"/>
          <w:bCs w:val="false"/>
          <w:i w:val="false"/>
          <w:iCs w:val="false"/>
          <w:color w:val="2D3748"/>
          <w:sz w:val="20"/>
          <w:szCs w:val="20"/>
        </w:rPr>
        <w:t xml:space="preserve">The proposed web application is architected specifically for high-stakes corporate advisory, appellate litigation, and international dispute resolution. The platform will incorporate the following core interactive modules:</w:t>
      </w:r>
    </w:p>
    <w:p>
      <w:pPr>
        <w:pStyle w:val="ListParagraph"/>
        <w:numPr>
          <w:ilvl w:val="0"/>
          <w:numId w:val="1"/>
        </w:numPr>
        <w:spacing w:after="80" w:before="50"/>
      </w:pPr>
      <w:r>
        <w:rPr>
          <w:rFonts w:ascii="Calibri" w:cs="Calibri" w:eastAsia="Calibri" w:hAnsi="Calibri"/>
          <w:b/>
          <w:bCs/>
          <w:color w:val="081325"/>
          <w:sz w:val="20"/>
          <w:szCs w:val="20"/>
        </w:rPr>
        <w:t xml:space="preserve">Privileged Consultation Booking Portal: </w:t>
      </w:r>
      <w:r>
        <w:rPr>
          <w:rFonts w:ascii="Calibri" w:cs="Calibri" w:eastAsia="Calibri" w:hAnsi="Calibri"/>
          <w:color w:val="2D3748"/>
          <w:sz w:val="20"/>
          <w:szCs w:val="20"/>
        </w:rPr>
        <w:t xml:space="preserve">An encrypted client inquiry workflow allowing corporate representatives and prospective litigants to schedule confidential legal consultations by selecting specific practice areas and preferred designated partners.</w:t>
      </w:r>
    </w:p>
    <w:p>
      <w:pPr>
        <w:pStyle w:val="ListParagraph"/>
        <w:numPr>
          <w:ilvl w:val="0"/>
          <w:numId w:val="1"/>
        </w:numPr>
        <w:spacing w:after="80" w:before="50"/>
      </w:pPr>
      <w:r>
        <w:rPr>
          <w:rFonts w:ascii="Calibri" w:cs="Calibri" w:eastAsia="Calibri" w:hAnsi="Calibri"/>
          <w:b/>
          <w:bCs/>
          <w:color w:val="081325"/>
          <w:sz w:val="20"/>
          <w:szCs w:val="20"/>
        </w:rPr>
        <w:t xml:space="preserve">Procedural Timeline &amp; Strategy Estimator: </w:t>
      </w:r>
      <w:r>
        <w:rPr>
          <w:rFonts w:ascii="Calibri" w:cs="Calibri" w:eastAsia="Calibri" w:hAnsi="Calibri"/>
          <w:color w:val="2D3748"/>
          <w:sz w:val="20"/>
          <w:szCs w:val="20"/>
        </w:rPr>
        <w:t xml:space="preserve">An interactive advisory calculator enabling clients to assess dispute progression across Indian judicial forums (Supreme Court SLPs, High Court Writs, NCLT Corporate Insolvency, and Arbitration). It outlines projected procedural milestones, hearing stages, and structured fee frameworks.</w:t>
      </w:r>
    </w:p>
    <w:p>
      <w:pPr>
        <w:pStyle w:val="ListParagraph"/>
        <w:numPr>
          <w:ilvl w:val="0"/>
          <w:numId w:val="1"/>
        </w:numPr>
        <w:spacing w:after="80" w:before="50"/>
      </w:pPr>
      <w:r>
        <w:rPr>
          <w:rFonts w:ascii="Calibri" w:cs="Calibri" w:eastAsia="Calibri" w:hAnsi="Calibri"/>
          <w:b/>
          <w:bCs/>
          <w:color w:val="081325"/>
          <w:sz w:val="20"/>
          <w:szCs w:val="20"/>
        </w:rPr>
        <w:t xml:space="preserve">Practice Areas &amp; Sector Expertise Hub: </w:t>
      </w:r>
      <w:r>
        <w:rPr>
          <w:rFonts w:ascii="Calibri" w:cs="Calibri" w:eastAsia="Calibri" w:hAnsi="Calibri"/>
          <w:color w:val="2D3748"/>
          <w:sz w:val="20"/>
          <w:szCs w:val="20"/>
        </w:rPr>
        <w:t xml:space="preserve">Deep-dive modules covering the firm's legal competencies (Mergers &amp; Acquisitions, White-Collar Crime &amp; PMLA Defense, Insolvency &amp; Bankruptcy, Commercial Arbitration, and Intellectual Property), showcasing governing statutes, key capabilities, and lead partner oversight.</w:t>
      </w:r>
    </w:p>
    <w:p>
      <w:pPr>
        <w:pStyle w:val="ListParagraph"/>
        <w:numPr>
          <w:ilvl w:val="0"/>
          <w:numId w:val="1"/>
        </w:numPr>
        <w:spacing w:after="80" w:before="50"/>
      </w:pPr>
      <w:r>
        <w:rPr>
          <w:rFonts w:ascii="Calibri" w:cs="Calibri" w:eastAsia="Calibri" w:hAnsi="Calibri"/>
          <w:b/>
          <w:bCs/>
          <w:color w:val="081325"/>
          <w:sz w:val="20"/>
          <w:szCs w:val="20"/>
        </w:rPr>
        <w:t xml:space="preserve">Partners &amp; Senior Counsel Directory: </w:t>
      </w:r>
      <w:r>
        <w:rPr>
          <w:rFonts w:ascii="Calibri" w:cs="Calibri" w:eastAsia="Calibri" w:hAnsi="Calibri"/>
          <w:color w:val="2D3748"/>
          <w:sz w:val="20"/>
          <w:szCs w:val="20"/>
        </w:rPr>
        <w:t xml:space="preserve">A comprehensive biographical directory detailing each partner's Bar Council enrollment credentials, court admissions, specialized domain experience, alma mater, and direct scheduling channels.</w:t>
      </w:r>
    </w:p>
    <w:p>
      <w:pPr>
        <w:pStyle w:val="ListParagraph"/>
        <w:numPr>
          <w:ilvl w:val="0"/>
          <w:numId w:val="1"/>
        </w:numPr>
        <w:spacing w:after="80" w:before="50"/>
      </w:pPr>
      <w:r>
        <w:rPr>
          <w:rFonts w:ascii="Calibri" w:cs="Calibri" w:eastAsia="Calibri" w:hAnsi="Calibri"/>
          <w:b/>
          <w:bCs/>
          <w:color w:val="081325"/>
          <w:sz w:val="20"/>
          <w:szCs w:val="20"/>
        </w:rPr>
        <w:t xml:space="preserve">Landmark Matters &amp; Precedents Showcase: </w:t>
      </w:r>
      <w:r>
        <w:rPr>
          <w:rFonts w:ascii="Calibri" w:cs="Calibri" w:eastAsia="Calibri" w:hAnsi="Calibri"/>
          <w:color w:val="2D3748"/>
          <w:sz w:val="20"/>
          <w:szCs w:val="20"/>
        </w:rPr>
        <w:t xml:space="preserve">A curated institutional portfolio highlighting landmark reported judgments, high-value commercial victories, and regulatory relief secured by the firm to demonstrate courtroom pedigree.</w:t>
      </w:r>
    </w:p>
    <w:p>
      <w:pPr>
        <w:pStyle w:val="ListParagraph"/>
        <w:numPr>
          <w:ilvl w:val="0"/>
          <w:numId w:val="1"/>
        </w:numPr>
        <w:spacing w:after="80" w:before="50"/>
      </w:pPr>
      <w:r>
        <w:rPr>
          <w:rFonts w:ascii="Calibri" w:cs="Calibri" w:eastAsia="Calibri" w:hAnsi="Calibri"/>
          <w:b/>
          <w:bCs/>
          <w:color w:val="081325"/>
          <w:sz w:val="20"/>
          <w:szCs w:val="20"/>
        </w:rPr>
        <w:t xml:space="preserve">Legal Knowledge Hub &amp; Regulatory Insights: </w:t>
      </w:r>
      <w:r>
        <w:rPr>
          <w:rFonts w:ascii="Calibri" w:cs="Calibri" w:eastAsia="Calibri" w:hAnsi="Calibri"/>
          <w:color w:val="2D3748"/>
          <w:sz w:val="20"/>
          <w:szCs w:val="20"/>
        </w:rPr>
        <w:t xml:space="preserve">A content publishing framework for legal treatises, critical analyses of recent Supreme Court rulings, and regulatory updates (SEBI, RBI, CCI, IBC) to establish institutional thought leadership.</w:t>
      </w:r>
    </w:p>
    <w:p>
      <w:pPr>
        <w:pStyle w:val="ListParagraph"/>
        <w:numPr>
          <w:ilvl w:val="0"/>
          <w:numId w:val="1"/>
        </w:numPr>
        <w:spacing w:after="80" w:before="50"/>
      </w:pPr>
      <w:r>
        <w:rPr>
          <w:rFonts w:ascii="Calibri" w:cs="Calibri" w:eastAsia="Calibri" w:hAnsi="Calibri"/>
          <w:b/>
          <w:bCs/>
          <w:color w:val="081325"/>
          <w:sz w:val="20"/>
          <w:szCs w:val="20"/>
        </w:rPr>
        <w:t xml:space="preserve">Global Instant Search Engine (⌘K / Ctrl+K): </w:t>
      </w:r>
      <w:r>
        <w:rPr>
          <w:rFonts w:ascii="Calibri" w:cs="Calibri" w:eastAsia="Calibri" w:hAnsi="Calibri"/>
          <w:color w:val="2D3748"/>
          <w:sz w:val="20"/>
          <w:szCs w:val="20"/>
        </w:rPr>
        <w:t xml:space="preserve">A real-time search interface allowing visitors to instantly locate practice domains, specific counsel, case precedents, and legal publications via keyboard shortcuts.</w:t>
      </w:r>
    </w:p>
    <w:p>
      <w:pPr>
        <w:pStyle w:val="ListParagraph"/>
        <w:numPr>
          <w:ilvl w:val="0"/>
          <w:numId w:val="1"/>
        </w:numPr>
        <w:spacing w:after="80" w:before="50"/>
      </w:pPr>
      <w:r>
        <w:rPr>
          <w:rFonts w:ascii="Calibri" w:cs="Calibri" w:eastAsia="Calibri" w:hAnsi="Calibri"/>
          <w:b/>
          <w:bCs/>
          <w:color w:val="081325"/>
          <w:sz w:val="20"/>
          <w:szCs w:val="20"/>
        </w:rPr>
        <w:t xml:space="preserve">Emergency Injunction &amp; Stay Desk: </w:t>
      </w:r>
      <w:r>
        <w:rPr>
          <w:rFonts w:ascii="Calibri" w:cs="Calibri" w:eastAsia="Calibri" w:hAnsi="Calibri"/>
          <w:color w:val="2D3748"/>
          <w:sz w:val="20"/>
          <w:szCs w:val="20"/>
        </w:rPr>
        <w:t xml:space="preserve">A dedicated 24/7 hotline integration for urgent appellate filings, ex-parte interim injunctions, and emergency relief before constitutional courts and tribunals.</w:t>
      </w:r>
    </w:p>
    <w:p>
      <w:pPr>
        <w:pStyle w:val="ListParagraph"/>
        <w:numPr>
          <w:ilvl w:val="0"/>
          <w:numId w:val="1"/>
        </w:numPr>
        <w:spacing w:after="80" w:before="50"/>
      </w:pPr>
      <w:r>
        <w:rPr>
          <w:rFonts w:ascii="Calibri" w:cs="Calibri" w:eastAsia="Calibri" w:hAnsi="Calibri"/>
          <w:b/>
          <w:bCs/>
          <w:color w:val="081325"/>
          <w:sz w:val="20"/>
          <w:szCs w:val="20"/>
        </w:rPr>
        <w:t xml:space="preserve">Bar Council of India (BCI) Compliance Module: </w:t>
      </w:r>
      <w:r>
        <w:rPr>
          <w:rFonts w:ascii="Calibri" w:cs="Calibri" w:eastAsia="Calibri" w:hAnsi="Calibri"/>
          <w:color w:val="2D3748"/>
          <w:sz w:val="20"/>
          <w:szCs w:val="20"/>
        </w:rPr>
        <w:t xml:space="preserve">A mandatory non-solicitation disclaimer modal conforming to Rule 36, Section IV of the Bar Council of India Rules, ensuring complete regulatory legitimacy and non-advertising compliance.</w:t>
      </w:r>
    </w:p>
    <w:p>
      <w:pPr>
        <w:pStyle w:val="ListParagraph"/>
        <w:numPr>
          <w:ilvl w:val="0"/>
          <w:numId w:val="1"/>
        </w:numPr>
        <w:spacing w:after="80" w:before="50"/>
      </w:pPr>
      <w:r>
        <w:rPr>
          <w:rFonts w:ascii="Calibri" w:cs="Calibri" w:eastAsia="Calibri" w:hAnsi="Calibri"/>
          <w:b/>
          <w:bCs/>
          <w:color w:val="081325"/>
          <w:sz w:val="20"/>
          <w:szCs w:val="20"/>
        </w:rPr>
        <w:t xml:space="preserve">Multi-Jurisdictional Chambers Locator: </w:t>
      </w:r>
      <w:r>
        <w:rPr>
          <w:rFonts w:ascii="Calibri" w:cs="Calibri" w:eastAsia="Calibri" w:hAnsi="Calibri"/>
          <w:color w:val="2D3748"/>
          <w:sz w:val="20"/>
          <w:szCs w:val="20"/>
        </w:rPr>
        <w:t xml:space="preserve">A location interface providing direct contact coordinates, digital maps, and chamber access information for offices across New Delhi, Mumbai, Bengaluru, and international desks.</w:t>
      </w:r>
    </w:p>
    <w:p>
      <w:pPr>
        <w:pStyle w:val="Heading1"/>
        <w:spacing w:after="160" w:before="400"/>
      </w:pPr>
      <w:r>
        <w:rPr>
          <w:rFonts w:ascii="Arial" w:cs="Arial" w:eastAsia="Arial" w:hAnsi="Arial"/>
          <w:b/>
          <w:bCs/>
          <w:color w:val="081325"/>
          <w:sz w:val="26"/>
          <w:szCs w:val="26"/>
        </w:rPr>
        <w:t xml:space="preserve">2. CONTENT REQUIREMENTS CHECKLIST FROM THE FIRM</w:t>
      </w:r>
    </w:p>
    <w:p>
      <w:pPr>
        <w:spacing w:after="100" w:before="60"/>
      </w:pPr>
      <w:r>
        <w:rPr>
          <w:rFonts w:ascii="Calibri" w:cs="Calibri" w:eastAsia="Calibri" w:hAnsi="Calibri"/>
          <w:b w:val="false"/>
          <w:bCs w:val="false"/>
          <w:i w:val="false"/>
          <w:iCs w:val="false"/>
          <w:color w:val="2D3748"/>
          <w:sz w:val="20"/>
          <w:szCs w:val="20"/>
        </w:rPr>
        <w:t xml:space="preserve">To develop and populate the digital platform with precision, the firm is requested to provide the following information and assets:</w:t>
      </w:r>
    </w:p>
    <w:p>
      <w:pPr>
        <w:pStyle w:val="Heading2"/>
        <w:spacing w:after="120" w:before="260"/>
      </w:pPr>
      <w:r>
        <w:rPr>
          <w:rFonts w:ascii="Arial" w:cs="Arial" w:eastAsia="Arial" w:hAnsi="Arial"/>
          <w:b/>
          <w:bCs/>
          <w:color w:val="9C792E"/>
          <w:sz w:val="22"/>
          <w:szCs w:val="22"/>
        </w:rPr>
        <w:t xml:space="preserve">A. Institutional Profile &amp; Corporate Identity</w:t>
      </w:r>
    </w:p>
    <w:p>
      <w:pPr>
        <w:spacing w:after="80" w:before="50"/>
        <w:ind w:left="360"/>
      </w:pPr>
      <w:r>
        <w:rPr>
          <w:rFonts w:ascii="Calibri" w:cs="Calibri" w:eastAsia="Calibri" w:hAnsi="Calibri"/>
          <w:b/>
          <w:bCs/>
          <w:color w:val="9C792E"/>
          <w:sz w:val="22"/>
          <w:szCs w:val="22"/>
        </w:rPr>
        <w:t xml:space="preserve">[  ]  </w:t>
      </w:r>
      <w:r>
        <w:rPr>
          <w:rFonts w:ascii="Calibri" w:cs="Calibri" w:eastAsia="Calibri" w:hAnsi="Calibri"/>
          <w:b/>
          <w:bCs/>
          <w:color w:val="081325"/>
          <w:sz w:val="20"/>
          <w:szCs w:val="20"/>
        </w:rPr>
        <w:t xml:space="preserve">Official Firm Name: </w:t>
      </w:r>
      <w:r>
        <w:rPr>
          <w:rFonts w:ascii="Calibri" w:cs="Calibri" w:eastAsia="Calibri" w:hAnsi="Calibri"/>
          <w:color w:val="4A5568"/>
          <w:sz w:val="20"/>
          <w:szCs w:val="20"/>
        </w:rPr>
        <w:t xml:space="preserve">Full registered legal trade name of the partnership or LLP.</w:t>
      </w:r>
    </w:p>
    <w:p>
      <w:pPr>
        <w:spacing w:after="80" w:before="50"/>
        <w:ind w:left="360"/>
      </w:pPr>
      <w:r>
        <w:rPr>
          <w:rFonts w:ascii="Calibri" w:cs="Calibri" w:eastAsia="Calibri" w:hAnsi="Calibri"/>
          <w:b/>
          <w:bCs/>
          <w:color w:val="9C792E"/>
          <w:sz w:val="22"/>
          <w:szCs w:val="22"/>
        </w:rPr>
        <w:t xml:space="preserve">[  ]  </w:t>
      </w:r>
      <w:r>
        <w:rPr>
          <w:rFonts w:ascii="Calibri" w:cs="Calibri" w:eastAsia="Calibri" w:hAnsi="Calibri"/>
          <w:b/>
          <w:bCs/>
          <w:color w:val="081325"/>
          <w:sz w:val="20"/>
          <w:szCs w:val="20"/>
        </w:rPr>
        <w:t xml:space="preserve">Firm Tagline &amp; Motto: </w:t>
      </w:r>
      <w:r>
        <w:rPr>
          <w:rFonts w:ascii="Calibri" w:cs="Calibri" w:eastAsia="Calibri" w:hAnsi="Calibri"/>
          <w:color w:val="4A5568"/>
          <w:sz w:val="20"/>
          <w:szCs w:val="20"/>
        </w:rPr>
        <w:t xml:space="preserve">Institutional descriptor (e.g., 'Advocates, Solicitors &amp; Global Counsel').</w:t>
      </w:r>
    </w:p>
    <w:p>
      <w:pPr>
        <w:spacing w:after="80" w:before="50"/>
        <w:ind w:left="360"/>
      </w:pPr>
      <w:r>
        <w:rPr>
          <w:rFonts w:ascii="Calibri" w:cs="Calibri" w:eastAsia="Calibri" w:hAnsi="Calibri"/>
          <w:b/>
          <w:bCs/>
          <w:color w:val="9C792E"/>
          <w:sz w:val="22"/>
          <w:szCs w:val="22"/>
        </w:rPr>
        <w:t xml:space="preserve">[  ]  </w:t>
      </w:r>
      <w:r>
        <w:rPr>
          <w:rFonts w:ascii="Calibri" w:cs="Calibri" w:eastAsia="Calibri" w:hAnsi="Calibri"/>
          <w:b/>
          <w:bCs/>
          <w:color w:val="081325"/>
          <w:sz w:val="20"/>
          <w:szCs w:val="20"/>
        </w:rPr>
        <w:t xml:space="preserve">Year Established: </w:t>
      </w:r>
      <w:r>
        <w:rPr>
          <w:rFonts w:ascii="Calibri" w:cs="Calibri" w:eastAsia="Calibri" w:hAnsi="Calibri"/>
          <w:color w:val="4A5568"/>
          <w:sz w:val="20"/>
          <w:szCs w:val="20"/>
        </w:rPr>
        <w:t xml:space="preserve">Year of founding/incorporation (e.g., 'Est. 1994').</w:t>
      </w:r>
    </w:p>
    <w:p>
      <w:pPr>
        <w:spacing w:after="80" w:before="50"/>
        <w:ind w:left="360"/>
      </w:pPr>
      <w:r>
        <w:rPr>
          <w:rFonts w:ascii="Calibri" w:cs="Calibri" w:eastAsia="Calibri" w:hAnsi="Calibri"/>
          <w:b/>
          <w:bCs/>
          <w:color w:val="9C792E"/>
          <w:sz w:val="22"/>
          <w:szCs w:val="22"/>
        </w:rPr>
        <w:t xml:space="preserve">[  ]  </w:t>
      </w:r>
      <w:r>
        <w:rPr>
          <w:rFonts w:ascii="Calibri" w:cs="Calibri" w:eastAsia="Calibri" w:hAnsi="Calibri"/>
          <w:b/>
          <w:bCs/>
          <w:color w:val="081325"/>
          <w:sz w:val="20"/>
          <w:szCs w:val="20"/>
        </w:rPr>
        <w:t xml:space="preserve">Institutional Overview: </w:t>
      </w:r>
      <w:r>
        <w:rPr>
          <w:rFonts w:ascii="Calibri" w:cs="Calibri" w:eastAsia="Calibri" w:hAnsi="Calibri"/>
          <w:color w:val="4A5568"/>
          <w:sz w:val="20"/>
          <w:szCs w:val="20"/>
        </w:rPr>
        <w:t xml:space="preserve">2 to 3 paragraphs summarizing firm history, core philosophy, and courtroom track record.</w:t>
      </w:r>
    </w:p>
    <w:p>
      <w:pPr>
        <w:spacing w:after="80" w:before="50"/>
        <w:ind w:left="360"/>
      </w:pPr>
      <w:r>
        <w:rPr>
          <w:rFonts w:ascii="Calibri" w:cs="Calibri" w:eastAsia="Calibri" w:hAnsi="Calibri"/>
          <w:b/>
          <w:bCs/>
          <w:color w:val="9C792E"/>
          <w:sz w:val="22"/>
          <w:szCs w:val="22"/>
        </w:rPr>
        <w:t xml:space="preserve">[  ]  </w:t>
      </w:r>
      <w:r>
        <w:rPr>
          <w:rFonts w:ascii="Calibri" w:cs="Calibri" w:eastAsia="Calibri" w:hAnsi="Calibri"/>
          <w:b/>
          <w:bCs/>
          <w:color w:val="081325"/>
          <w:sz w:val="20"/>
          <w:szCs w:val="20"/>
        </w:rPr>
        <w:t xml:space="preserve">Official Brand Logo: </w:t>
      </w:r>
      <w:r>
        <w:rPr>
          <w:rFonts w:ascii="Calibri" w:cs="Calibri" w:eastAsia="Calibri" w:hAnsi="Calibri"/>
          <w:color w:val="4A5568"/>
          <w:sz w:val="20"/>
          <w:szCs w:val="20"/>
        </w:rPr>
        <w:t xml:space="preserve">Vector SVG format or high-resolution transparent PNG.</w:t>
      </w:r>
    </w:p>
    <w:p>
      <w:pPr>
        <w:spacing w:after="80" w:before="50"/>
        <w:ind w:left="360"/>
      </w:pPr>
      <w:r>
        <w:rPr>
          <w:rFonts w:ascii="Calibri" w:cs="Calibri" w:eastAsia="Calibri" w:hAnsi="Calibri"/>
          <w:b/>
          <w:bCs/>
          <w:color w:val="9C792E"/>
          <w:sz w:val="22"/>
          <w:szCs w:val="22"/>
        </w:rPr>
        <w:t xml:space="preserve">[  ]  </w:t>
      </w:r>
      <w:r>
        <w:rPr>
          <w:rFonts w:ascii="Calibri" w:cs="Calibri" w:eastAsia="Calibri" w:hAnsi="Calibri"/>
          <w:b/>
          <w:bCs/>
          <w:color w:val="081325"/>
          <w:sz w:val="20"/>
          <w:szCs w:val="20"/>
        </w:rPr>
        <w:t xml:space="preserve">Emergency Dispute Hotline: </w:t>
      </w:r>
      <w:r>
        <w:rPr>
          <w:rFonts w:ascii="Calibri" w:cs="Calibri" w:eastAsia="Calibri" w:hAnsi="Calibri"/>
          <w:color w:val="4A5568"/>
          <w:sz w:val="20"/>
          <w:szCs w:val="20"/>
        </w:rPr>
        <w:t xml:space="preserve">Dedicated telephone line for urgent stay petitions and after-hours matters.</w:t>
      </w:r>
    </w:p>
    <w:p>
      <w:pPr>
        <w:spacing w:after="80" w:before="50"/>
        <w:ind w:left="360"/>
      </w:pPr>
      <w:r>
        <w:rPr>
          <w:rFonts w:ascii="Calibri" w:cs="Calibri" w:eastAsia="Calibri" w:hAnsi="Calibri"/>
          <w:b/>
          <w:bCs/>
          <w:color w:val="9C792E"/>
          <w:sz w:val="22"/>
          <w:szCs w:val="22"/>
        </w:rPr>
        <w:t xml:space="preserve">[  ]  </w:t>
      </w:r>
      <w:r>
        <w:rPr>
          <w:rFonts w:ascii="Calibri" w:cs="Calibri" w:eastAsia="Calibri" w:hAnsi="Calibri"/>
          <w:b/>
          <w:bCs/>
          <w:color w:val="081325"/>
          <w:sz w:val="20"/>
          <w:szCs w:val="20"/>
        </w:rPr>
        <w:t xml:space="preserve">Inquiry &amp; Intake Email Addresses: </w:t>
      </w:r>
      <w:r>
        <w:rPr>
          <w:rFonts w:ascii="Calibri" w:cs="Calibri" w:eastAsia="Calibri" w:hAnsi="Calibri"/>
          <w:color w:val="4A5568"/>
          <w:sz w:val="20"/>
          <w:szCs w:val="20"/>
        </w:rPr>
        <w:t xml:space="preserve">Email addresses designated for consultation intake and general communication.</w:t>
      </w:r>
    </w:p>
    <w:p>
      <w:pPr>
        <w:pStyle w:val="Heading2"/>
        <w:spacing w:after="120" w:before="260"/>
      </w:pPr>
      <w:r>
        <w:rPr>
          <w:rFonts w:ascii="Arial" w:cs="Arial" w:eastAsia="Arial" w:hAnsi="Arial"/>
          <w:b/>
          <w:bCs/>
          <w:color w:val="9C792E"/>
          <w:sz w:val="22"/>
          <w:szCs w:val="22"/>
        </w:rPr>
        <w:t xml:space="preserve">B. Credential Metrics (Homepage Performance Indicators)</w:t>
      </w:r>
    </w:p>
    <w:p>
      <w:pPr>
        <w:spacing w:after="80" w:before="50"/>
        <w:ind w:left="360"/>
      </w:pPr>
      <w:r>
        <w:rPr>
          <w:rFonts w:ascii="Calibri" w:cs="Calibri" w:eastAsia="Calibri" w:hAnsi="Calibri"/>
          <w:b/>
          <w:bCs/>
          <w:color w:val="9C792E"/>
          <w:sz w:val="22"/>
          <w:szCs w:val="22"/>
        </w:rPr>
        <w:t xml:space="preserve">[  ]  </w:t>
      </w:r>
      <w:r>
        <w:rPr>
          <w:rFonts w:ascii="Calibri" w:cs="Calibri" w:eastAsia="Calibri" w:hAnsi="Calibri"/>
          <w:b/>
          <w:bCs/>
          <w:color w:val="081325"/>
          <w:sz w:val="20"/>
          <w:szCs w:val="20"/>
        </w:rPr>
        <w:t xml:space="preserve">Transactional &amp; Dispute Portfolio Value: </w:t>
      </w:r>
      <w:r>
        <w:rPr>
          <w:rFonts w:ascii="Calibri" w:cs="Calibri" w:eastAsia="Calibri" w:hAnsi="Calibri"/>
          <w:color w:val="4A5568"/>
          <w:sz w:val="20"/>
          <w:szCs w:val="20"/>
        </w:rPr>
        <w:t xml:space="preserve">Estimated cumulative value represented (e.g., '₹35,000+ Crores').</w:t>
      </w:r>
    </w:p>
    <w:p>
      <w:pPr>
        <w:spacing w:after="80" w:before="50"/>
        <w:ind w:left="360"/>
      </w:pPr>
      <w:r>
        <w:rPr>
          <w:rFonts w:ascii="Calibri" w:cs="Calibri" w:eastAsia="Calibri" w:hAnsi="Calibri"/>
          <w:b/>
          <w:bCs/>
          <w:color w:val="9C792E"/>
          <w:sz w:val="22"/>
          <w:szCs w:val="22"/>
        </w:rPr>
        <w:t xml:space="preserve">[  ]  </w:t>
      </w:r>
      <w:r>
        <w:rPr>
          <w:rFonts w:ascii="Calibri" w:cs="Calibri" w:eastAsia="Calibri" w:hAnsi="Calibri"/>
          <w:b/>
          <w:bCs/>
          <w:color w:val="081325"/>
          <w:sz w:val="20"/>
          <w:szCs w:val="20"/>
        </w:rPr>
        <w:t xml:space="preserve">Reported Judgments / Precedents Count: </w:t>
      </w:r>
      <w:r>
        <w:rPr>
          <w:rFonts w:ascii="Calibri" w:cs="Calibri" w:eastAsia="Calibri" w:hAnsi="Calibri"/>
          <w:color w:val="4A5568"/>
          <w:sz w:val="20"/>
          <w:szCs w:val="20"/>
        </w:rPr>
        <w:t xml:space="preserve">Approximate number of landmark reported decisions won.</w:t>
      </w:r>
    </w:p>
    <w:p>
      <w:pPr>
        <w:spacing w:after="80" w:before="50"/>
        <w:ind w:left="360"/>
      </w:pPr>
      <w:r>
        <w:rPr>
          <w:rFonts w:ascii="Calibri" w:cs="Calibri" w:eastAsia="Calibri" w:hAnsi="Calibri"/>
          <w:b/>
          <w:bCs/>
          <w:color w:val="9C792E"/>
          <w:sz w:val="22"/>
          <w:szCs w:val="22"/>
        </w:rPr>
        <w:t xml:space="preserve">[  ]  </w:t>
      </w:r>
      <w:r>
        <w:rPr>
          <w:rFonts w:ascii="Calibri" w:cs="Calibri" w:eastAsia="Calibri" w:hAnsi="Calibri"/>
          <w:b/>
          <w:bCs/>
          <w:color w:val="081325"/>
          <w:sz w:val="20"/>
          <w:szCs w:val="20"/>
        </w:rPr>
        <w:t xml:space="preserve">Counsel Strength: </w:t>
      </w:r>
      <w:r>
        <w:rPr>
          <w:rFonts w:ascii="Calibri" w:cs="Calibri" w:eastAsia="Calibri" w:hAnsi="Calibri"/>
          <w:color w:val="4A5568"/>
          <w:sz w:val="20"/>
          <w:szCs w:val="20"/>
        </w:rPr>
        <w:t xml:space="preserve">Total number of partners, senior advocates, and legal associates.</w:t>
      </w:r>
    </w:p>
    <w:p>
      <w:pPr>
        <w:spacing w:after="80" w:before="50"/>
        <w:ind w:left="360"/>
      </w:pPr>
      <w:r>
        <w:rPr>
          <w:rFonts w:ascii="Calibri" w:cs="Calibri" w:eastAsia="Calibri" w:hAnsi="Calibri"/>
          <w:b/>
          <w:bCs/>
          <w:color w:val="9C792E"/>
          <w:sz w:val="22"/>
          <w:szCs w:val="22"/>
        </w:rPr>
        <w:t xml:space="preserve">[  ]  </w:t>
      </w:r>
      <w:r>
        <w:rPr>
          <w:rFonts w:ascii="Calibri" w:cs="Calibri" w:eastAsia="Calibri" w:hAnsi="Calibri"/>
          <w:b/>
          <w:bCs/>
          <w:color w:val="081325"/>
          <w:sz w:val="20"/>
          <w:szCs w:val="20"/>
        </w:rPr>
        <w:t xml:space="preserve">Primary Court Jurisdictions: </w:t>
      </w:r>
      <w:r>
        <w:rPr>
          <w:rFonts w:ascii="Calibri" w:cs="Calibri" w:eastAsia="Calibri" w:hAnsi="Calibri"/>
          <w:color w:val="4A5568"/>
          <w:sz w:val="20"/>
          <w:szCs w:val="20"/>
        </w:rPr>
        <w:t xml:space="preserve">Principal forums (e.g., Supreme Court of India, High Courts, NCLT/NCLAT, SIAC).</w:t>
      </w:r>
    </w:p>
    <w:p>
      <w:pPr>
        <w:pStyle w:val="Heading2"/>
        <w:spacing w:after="120" w:before="260"/>
      </w:pPr>
      <w:r>
        <w:rPr>
          <w:rFonts w:ascii="Arial" w:cs="Arial" w:eastAsia="Arial" w:hAnsi="Arial"/>
          <w:b/>
          <w:bCs/>
          <w:color w:val="9C792E"/>
          <w:sz w:val="22"/>
          <w:szCs w:val="22"/>
        </w:rPr>
        <w:t xml:space="preserve">C. Practice Areas &amp; Legal Services</w:t>
      </w:r>
    </w:p>
    <w:p>
      <w:pPr>
        <w:spacing w:after="100" w:before="60"/>
      </w:pPr>
      <w:r>
        <w:rPr>
          <w:rFonts w:ascii="Calibri" w:cs="Calibri" w:eastAsia="Calibri" w:hAnsi="Calibri"/>
          <w:b w:val="false"/>
          <w:bCs w:val="false"/>
          <w:i w:val="false"/>
          <w:iCs w:val="false"/>
          <w:color w:val="2D3748"/>
          <w:sz w:val="20"/>
          <w:szCs w:val="20"/>
        </w:rPr>
        <w:t xml:space="preserve">Please specify the practice domains to be incorporated, along with brief summaries (2-3 paragraphs each) and lead partners:</w:t>
      </w:r>
    </w:p>
    <w:p>
      <w:pPr>
        <w:spacing w:after="80" w:before="50"/>
        <w:ind w:left="360"/>
      </w:pPr>
      <w:r>
        <w:rPr>
          <w:rFonts w:ascii="Calibri" w:cs="Calibri" w:eastAsia="Calibri" w:hAnsi="Calibri"/>
          <w:b/>
          <w:bCs/>
          <w:color w:val="9C792E"/>
          <w:sz w:val="22"/>
          <w:szCs w:val="22"/>
        </w:rPr>
        <w:t xml:space="preserve">[  ]  </w:t>
      </w:r>
      <w:r>
        <w:rPr>
          <w:rFonts w:ascii="Calibri" w:cs="Calibri" w:eastAsia="Calibri" w:hAnsi="Calibri"/>
          <w:b/>
          <w:bCs/>
          <w:color w:val="081325"/>
          <w:sz w:val="20"/>
          <w:szCs w:val="20"/>
        </w:rPr>
        <w:t xml:space="preserve">Commercial Litigation &amp; Supreme Court Practice: </w:t>
      </w:r>
      <w:r>
        <w:rPr>
          <w:rFonts w:ascii="Calibri" w:cs="Calibri" w:eastAsia="Calibri" w:hAnsi="Calibri"/>
          <w:color w:val="4A5568"/>
          <w:sz w:val="20"/>
          <w:szCs w:val="20"/>
        </w:rPr>
        <w:t xml:space="preserve">Special Leave Petitions (SLPs), constitutional writs, civil suits.</w:t>
      </w:r>
    </w:p>
    <w:p>
      <w:pPr>
        <w:spacing w:after="80" w:before="50"/>
        <w:ind w:left="360"/>
      </w:pPr>
      <w:r>
        <w:rPr>
          <w:rFonts w:ascii="Calibri" w:cs="Calibri" w:eastAsia="Calibri" w:hAnsi="Calibri"/>
          <w:b/>
          <w:bCs/>
          <w:color w:val="9C792E"/>
          <w:sz w:val="22"/>
          <w:szCs w:val="22"/>
        </w:rPr>
        <w:t xml:space="preserve">[  ]  </w:t>
      </w:r>
      <w:r>
        <w:rPr>
          <w:rFonts w:ascii="Calibri" w:cs="Calibri" w:eastAsia="Calibri" w:hAnsi="Calibri"/>
          <w:b/>
          <w:bCs/>
          <w:color w:val="081325"/>
          <w:sz w:val="20"/>
          <w:szCs w:val="20"/>
        </w:rPr>
        <w:t xml:space="preserve">Corporate Governance &amp; M&amp;A Advisory: </w:t>
      </w:r>
      <w:r>
        <w:rPr>
          <w:rFonts w:ascii="Calibri" w:cs="Calibri" w:eastAsia="Calibri" w:hAnsi="Calibri"/>
          <w:color w:val="4A5568"/>
          <w:sz w:val="20"/>
          <w:szCs w:val="20"/>
        </w:rPr>
        <w:t xml:space="preserve">Mergers, joint ventures, cross-border acquisitions, transactional diligence.</w:t>
      </w:r>
    </w:p>
    <w:p>
      <w:pPr>
        <w:spacing w:after="80" w:before="50"/>
        <w:ind w:left="360"/>
      </w:pPr>
      <w:r>
        <w:rPr>
          <w:rFonts w:ascii="Calibri" w:cs="Calibri" w:eastAsia="Calibri" w:hAnsi="Calibri"/>
          <w:b/>
          <w:bCs/>
          <w:color w:val="9C792E"/>
          <w:sz w:val="22"/>
          <w:szCs w:val="22"/>
        </w:rPr>
        <w:t xml:space="preserve">[  ]  </w:t>
      </w:r>
      <w:r>
        <w:rPr>
          <w:rFonts w:ascii="Calibri" w:cs="Calibri" w:eastAsia="Calibri" w:hAnsi="Calibri"/>
          <w:b/>
          <w:bCs/>
          <w:color w:val="081325"/>
          <w:sz w:val="20"/>
          <w:szCs w:val="20"/>
        </w:rPr>
        <w:t xml:space="preserve">Insolvency &amp; Bankruptcy (NCLT / IBC): </w:t>
      </w:r>
      <w:r>
        <w:rPr>
          <w:rFonts w:ascii="Calibri" w:cs="Calibri" w:eastAsia="Calibri" w:hAnsi="Calibri"/>
          <w:color w:val="4A5568"/>
          <w:sz w:val="20"/>
          <w:szCs w:val="20"/>
        </w:rPr>
        <w:t xml:space="preserve">Corporate insolvency resolution process (CIRP), liquidation, creditor representation.</w:t>
      </w:r>
    </w:p>
    <w:p>
      <w:pPr>
        <w:spacing w:after="80" w:before="50"/>
        <w:ind w:left="360"/>
      </w:pPr>
      <w:r>
        <w:rPr>
          <w:rFonts w:ascii="Calibri" w:cs="Calibri" w:eastAsia="Calibri" w:hAnsi="Calibri"/>
          <w:b/>
          <w:bCs/>
          <w:color w:val="9C792E"/>
          <w:sz w:val="22"/>
          <w:szCs w:val="22"/>
        </w:rPr>
        <w:t xml:space="preserve">[  ]  </w:t>
      </w:r>
      <w:r>
        <w:rPr>
          <w:rFonts w:ascii="Calibri" w:cs="Calibri" w:eastAsia="Calibri" w:hAnsi="Calibri"/>
          <w:b/>
          <w:bCs/>
          <w:color w:val="081325"/>
          <w:sz w:val="20"/>
          <w:szCs w:val="20"/>
        </w:rPr>
        <w:t xml:space="preserve">White-Collar Crime Defense &amp; Investigations: </w:t>
      </w:r>
      <w:r>
        <w:rPr>
          <w:rFonts w:ascii="Calibri" w:cs="Calibri" w:eastAsia="Calibri" w:hAnsi="Calibri"/>
          <w:color w:val="4A5568"/>
          <w:sz w:val="20"/>
          <w:szCs w:val="20"/>
        </w:rPr>
        <w:t xml:space="preserve">Enforcement Directorate (ED), CBI, SFIO, PMLA, corporate fraud defense.</w:t>
      </w:r>
    </w:p>
    <w:p>
      <w:pPr>
        <w:spacing w:after="80" w:before="50"/>
        <w:ind w:left="360"/>
      </w:pPr>
      <w:r>
        <w:rPr>
          <w:rFonts w:ascii="Calibri" w:cs="Calibri" w:eastAsia="Calibri" w:hAnsi="Calibri"/>
          <w:b/>
          <w:bCs/>
          <w:color w:val="9C792E"/>
          <w:sz w:val="22"/>
          <w:szCs w:val="22"/>
        </w:rPr>
        <w:t xml:space="preserve">[  ]  </w:t>
      </w:r>
      <w:r>
        <w:rPr>
          <w:rFonts w:ascii="Calibri" w:cs="Calibri" w:eastAsia="Calibri" w:hAnsi="Calibri"/>
          <w:b/>
          <w:bCs/>
          <w:color w:val="081325"/>
          <w:sz w:val="20"/>
          <w:szCs w:val="20"/>
        </w:rPr>
        <w:t xml:space="preserve">Domestic &amp; International Commercial Arbitration: </w:t>
      </w:r>
      <w:r>
        <w:rPr>
          <w:rFonts w:ascii="Calibri" w:cs="Calibri" w:eastAsia="Calibri" w:hAnsi="Calibri"/>
          <w:color w:val="4A5568"/>
          <w:sz w:val="20"/>
          <w:szCs w:val="20"/>
        </w:rPr>
        <w:t xml:space="preserve">Proceedings under SIAC, ICC, LCIA, UNCITRAL, DIAC rules.</w:t>
      </w:r>
    </w:p>
    <w:p>
      <w:pPr>
        <w:spacing w:after="80" w:before="50"/>
        <w:ind w:left="360"/>
      </w:pPr>
      <w:r>
        <w:rPr>
          <w:rFonts w:ascii="Calibri" w:cs="Calibri" w:eastAsia="Calibri" w:hAnsi="Calibri"/>
          <w:b/>
          <w:bCs/>
          <w:color w:val="9C792E"/>
          <w:sz w:val="22"/>
          <w:szCs w:val="22"/>
        </w:rPr>
        <w:t xml:space="preserve">[  ]  </w:t>
      </w:r>
      <w:r>
        <w:rPr>
          <w:rFonts w:ascii="Calibri" w:cs="Calibri" w:eastAsia="Calibri" w:hAnsi="Calibri"/>
          <w:b/>
          <w:bCs/>
          <w:color w:val="081325"/>
          <w:sz w:val="20"/>
          <w:szCs w:val="20"/>
        </w:rPr>
        <w:t xml:space="preserve">Intellectual Property &amp; Technology Law: </w:t>
      </w:r>
      <w:r>
        <w:rPr>
          <w:rFonts w:ascii="Calibri" w:cs="Calibri" w:eastAsia="Calibri" w:hAnsi="Calibri"/>
          <w:color w:val="4A5568"/>
          <w:sz w:val="20"/>
          <w:szCs w:val="20"/>
        </w:rPr>
        <w:t xml:space="preserve">Patent, trademark, copyright litigation, technology licensing.</w:t>
      </w:r>
    </w:p>
    <w:p>
      <w:pPr>
        <w:spacing w:after="80" w:before="50"/>
        <w:ind w:left="360"/>
      </w:pPr>
      <w:r>
        <w:rPr>
          <w:rFonts w:ascii="Calibri" w:cs="Calibri" w:eastAsia="Calibri" w:hAnsi="Calibri"/>
          <w:b/>
          <w:bCs/>
          <w:color w:val="9C792E"/>
          <w:sz w:val="22"/>
          <w:szCs w:val="22"/>
        </w:rPr>
        <w:t xml:space="preserve">[  ]  </w:t>
      </w:r>
      <w:r>
        <w:rPr>
          <w:rFonts w:ascii="Calibri" w:cs="Calibri" w:eastAsia="Calibri" w:hAnsi="Calibri"/>
          <w:b/>
          <w:bCs/>
          <w:color w:val="081325"/>
          <w:sz w:val="20"/>
          <w:szCs w:val="20"/>
        </w:rPr>
        <w:t xml:space="preserve">Additional Sector Practices: </w:t>
      </w:r>
      <w:r>
        <w:rPr>
          <w:rFonts w:ascii="Calibri" w:cs="Calibri" w:eastAsia="Calibri" w:hAnsi="Calibri"/>
          <w:color w:val="4A5568"/>
          <w:sz w:val="20"/>
          <w:szCs w:val="20"/>
        </w:rPr>
        <w:t xml:space="preserve">Taxation, Banking &amp; Finance, Real Estate, Maritime Law (as applicable).</w:t>
      </w:r>
    </w:p>
    <w:p>
      <w:pPr>
        <w:pStyle w:val="Heading2"/>
        <w:spacing w:after="120" w:before="260"/>
      </w:pPr>
      <w:r>
        <w:rPr>
          <w:rFonts w:ascii="Arial" w:cs="Arial" w:eastAsia="Arial" w:hAnsi="Arial"/>
          <w:b/>
          <w:bCs/>
          <w:color w:val="9C792E"/>
          <w:sz w:val="22"/>
          <w:szCs w:val="22"/>
        </w:rPr>
        <w:t xml:space="preserve">D. Advocates &amp; Partners Profiles</w:t>
      </w:r>
    </w:p>
    <w:p>
      <w:pPr>
        <w:spacing w:after="100" w:before="60"/>
      </w:pPr>
      <w:r>
        <w:rPr>
          <w:rFonts w:ascii="Calibri" w:cs="Calibri" w:eastAsia="Calibri" w:hAnsi="Calibri"/>
          <w:b w:val="false"/>
          <w:bCs w:val="false"/>
          <w:i w:val="false"/>
          <w:iCs w:val="false"/>
          <w:color w:val="2D3748"/>
          <w:sz w:val="20"/>
          <w:szCs w:val="20"/>
        </w:rPr>
        <w:t xml:space="preserve">For each Partner or Senior Counsel to be featured in the directory:</w:t>
      </w:r>
    </w:p>
    <w:p>
      <w:pPr>
        <w:spacing w:after="80" w:before="50"/>
        <w:ind w:left="360"/>
      </w:pPr>
      <w:r>
        <w:rPr>
          <w:rFonts w:ascii="Calibri" w:cs="Calibri" w:eastAsia="Calibri" w:hAnsi="Calibri"/>
          <w:b/>
          <w:bCs/>
          <w:color w:val="9C792E"/>
          <w:sz w:val="22"/>
          <w:szCs w:val="22"/>
        </w:rPr>
        <w:t xml:space="preserve">[  ]  </w:t>
      </w:r>
      <w:r>
        <w:rPr>
          <w:rFonts w:ascii="Calibri" w:cs="Calibri" w:eastAsia="Calibri" w:hAnsi="Calibri"/>
          <w:b/>
          <w:bCs/>
          <w:color w:val="081325"/>
          <w:sz w:val="20"/>
          <w:szCs w:val="20"/>
        </w:rPr>
        <w:t xml:space="preserve">Full Name &amp; Title: </w:t>
      </w:r>
      <w:r>
        <w:rPr>
          <w:rFonts w:ascii="Calibri" w:cs="Calibri" w:eastAsia="Calibri" w:hAnsi="Calibri"/>
          <w:color w:val="4A5568"/>
          <w:sz w:val="20"/>
          <w:szCs w:val="20"/>
        </w:rPr>
        <w:t xml:space="preserve">Designation (e.g., 'Senior Advocate', 'Managing Partner', 'Partner').</w:t>
      </w:r>
    </w:p>
    <w:p>
      <w:pPr>
        <w:spacing w:after="80" w:before="50"/>
        <w:ind w:left="360"/>
      </w:pPr>
      <w:r>
        <w:rPr>
          <w:rFonts w:ascii="Calibri" w:cs="Calibri" w:eastAsia="Calibri" w:hAnsi="Calibri"/>
          <w:b/>
          <w:bCs/>
          <w:color w:val="9C792E"/>
          <w:sz w:val="22"/>
          <w:szCs w:val="22"/>
        </w:rPr>
        <w:t xml:space="preserve">[  ]  </w:t>
      </w:r>
      <w:r>
        <w:rPr>
          <w:rFonts w:ascii="Calibri" w:cs="Calibri" w:eastAsia="Calibri" w:hAnsi="Calibri"/>
          <w:b/>
          <w:bCs/>
          <w:color w:val="081325"/>
          <w:sz w:val="20"/>
          <w:szCs w:val="20"/>
        </w:rPr>
        <w:t xml:space="preserve">Professional Headshot: </w:t>
      </w:r>
      <w:r>
        <w:rPr>
          <w:rFonts w:ascii="Calibri" w:cs="Calibri" w:eastAsia="Calibri" w:hAnsi="Calibri"/>
          <w:color w:val="4A5568"/>
          <w:sz w:val="20"/>
          <w:szCs w:val="20"/>
        </w:rPr>
        <w:t xml:space="preserve">High-resolution portrait in professional courtroom or corporate attire.</w:t>
      </w:r>
    </w:p>
    <w:p>
      <w:pPr>
        <w:spacing w:after="80" w:before="50"/>
        <w:ind w:left="360"/>
      </w:pPr>
      <w:r>
        <w:rPr>
          <w:rFonts w:ascii="Calibri" w:cs="Calibri" w:eastAsia="Calibri" w:hAnsi="Calibri"/>
          <w:b/>
          <w:bCs/>
          <w:color w:val="9C792E"/>
          <w:sz w:val="22"/>
          <w:szCs w:val="22"/>
        </w:rPr>
        <w:t xml:space="preserve">[  ]  </w:t>
      </w:r>
      <w:r>
        <w:rPr>
          <w:rFonts w:ascii="Calibri" w:cs="Calibri" w:eastAsia="Calibri" w:hAnsi="Calibri"/>
          <w:b/>
          <w:bCs/>
          <w:color w:val="081325"/>
          <w:sz w:val="20"/>
          <w:szCs w:val="20"/>
        </w:rPr>
        <w:t xml:space="preserve">Bar Council Enrollment Number: </w:t>
      </w:r>
      <w:r>
        <w:rPr>
          <w:rFonts w:ascii="Calibri" w:cs="Calibri" w:eastAsia="Calibri" w:hAnsi="Calibri"/>
          <w:color w:val="4A5568"/>
          <w:sz w:val="20"/>
          <w:szCs w:val="20"/>
        </w:rPr>
        <w:t xml:space="preserve">State Bar Council registration details (e.g., 'D/1234/2004 - Bar Council of Delhi').</w:t>
      </w:r>
    </w:p>
    <w:p>
      <w:pPr>
        <w:spacing w:after="80" w:before="50"/>
        <w:ind w:left="360"/>
      </w:pPr>
      <w:r>
        <w:rPr>
          <w:rFonts w:ascii="Calibri" w:cs="Calibri" w:eastAsia="Calibri" w:hAnsi="Calibri"/>
          <w:b/>
          <w:bCs/>
          <w:color w:val="9C792E"/>
          <w:sz w:val="22"/>
          <w:szCs w:val="22"/>
        </w:rPr>
        <w:t xml:space="preserve">[  ]  </w:t>
      </w:r>
      <w:r>
        <w:rPr>
          <w:rFonts w:ascii="Calibri" w:cs="Calibri" w:eastAsia="Calibri" w:hAnsi="Calibri"/>
          <w:b/>
          <w:bCs/>
          <w:color w:val="081325"/>
          <w:sz w:val="20"/>
          <w:szCs w:val="20"/>
        </w:rPr>
        <w:t xml:space="preserve">Admissions &amp; Years in Practice: </w:t>
      </w:r>
      <w:r>
        <w:rPr>
          <w:rFonts w:ascii="Calibri" w:cs="Calibri" w:eastAsia="Calibri" w:hAnsi="Calibri"/>
          <w:color w:val="4A5568"/>
          <w:sz w:val="20"/>
          <w:szCs w:val="20"/>
        </w:rPr>
        <w:t xml:space="preserve">Years of active practice and admitted courts (e.g., '22+ Years | Supreme Court &amp; Delhi HC').</w:t>
      </w:r>
    </w:p>
    <w:p>
      <w:pPr>
        <w:spacing w:after="80" w:before="50"/>
        <w:ind w:left="360"/>
      </w:pPr>
      <w:r>
        <w:rPr>
          <w:rFonts w:ascii="Calibri" w:cs="Calibri" w:eastAsia="Calibri" w:hAnsi="Calibri"/>
          <w:b/>
          <w:bCs/>
          <w:color w:val="9C792E"/>
          <w:sz w:val="22"/>
          <w:szCs w:val="22"/>
        </w:rPr>
        <w:t xml:space="preserve">[  ]  </w:t>
      </w:r>
      <w:r>
        <w:rPr>
          <w:rFonts w:ascii="Calibri" w:cs="Calibri" w:eastAsia="Calibri" w:hAnsi="Calibri"/>
          <w:b/>
          <w:bCs/>
          <w:color w:val="081325"/>
          <w:sz w:val="20"/>
          <w:szCs w:val="20"/>
        </w:rPr>
        <w:t xml:space="preserve">Core Specialization: </w:t>
      </w:r>
      <w:r>
        <w:rPr>
          <w:rFonts w:ascii="Calibri" w:cs="Calibri" w:eastAsia="Calibri" w:hAnsi="Calibri"/>
          <w:color w:val="4A5568"/>
          <w:sz w:val="20"/>
          <w:szCs w:val="20"/>
        </w:rPr>
        <w:t xml:space="preserve">Primary areas of focus and advisory expertise.</w:t>
      </w:r>
    </w:p>
    <w:p>
      <w:pPr>
        <w:spacing w:after="80" w:before="50"/>
        <w:ind w:left="360"/>
      </w:pPr>
      <w:r>
        <w:rPr>
          <w:rFonts w:ascii="Calibri" w:cs="Calibri" w:eastAsia="Calibri" w:hAnsi="Calibri"/>
          <w:b/>
          <w:bCs/>
          <w:color w:val="9C792E"/>
          <w:sz w:val="22"/>
          <w:szCs w:val="22"/>
        </w:rPr>
        <w:t xml:space="preserve">[  ]  </w:t>
      </w:r>
      <w:r>
        <w:rPr>
          <w:rFonts w:ascii="Calibri" w:cs="Calibri" w:eastAsia="Calibri" w:hAnsi="Calibri"/>
          <w:b/>
          <w:bCs/>
          <w:color w:val="081325"/>
          <w:sz w:val="20"/>
          <w:szCs w:val="20"/>
        </w:rPr>
        <w:t xml:space="preserve">Educational Background: </w:t>
      </w:r>
      <w:r>
        <w:rPr>
          <w:rFonts w:ascii="Calibri" w:cs="Calibri" w:eastAsia="Calibri" w:hAnsi="Calibri"/>
          <w:color w:val="4A5568"/>
          <w:sz w:val="20"/>
          <w:szCs w:val="20"/>
        </w:rPr>
        <w:t xml:space="preserve">Law degrees, university alma maters, and academic distinctions.</w:t>
      </w:r>
    </w:p>
    <w:p>
      <w:pPr>
        <w:spacing w:after="80" w:before="50"/>
        <w:ind w:left="360"/>
      </w:pPr>
      <w:r>
        <w:rPr>
          <w:rFonts w:ascii="Calibri" w:cs="Calibri" w:eastAsia="Calibri" w:hAnsi="Calibri"/>
          <w:b/>
          <w:bCs/>
          <w:color w:val="9C792E"/>
          <w:sz w:val="22"/>
          <w:szCs w:val="22"/>
        </w:rPr>
        <w:t xml:space="preserve">[  ]  </w:t>
      </w:r>
      <w:r>
        <w:rPr>
          <w:rFonts w:ascii="Calibri" w:cs="Calibri" w:eastAsia="Calibri" w:hAnsi="Calibri"/>
          <w:b/>
          <w:bCs/>
          <w:color w:val="081325"/>
          <w:sz w:val="20"/>
          <w:szCs w:val="20"/>
        </w:rPr>
        <w:t xml:space="preserve">Professional Biography: </w:t>
      </w:r>
      <w:r>
        <w:rPr>
          <w:rFonts w:ascii="Calibri" w:cs="Calibri" w:eastAsia="Calibri" w:hAnsi="Calibri"/>
          <w:color w:val="4A5568"/>
          <w:sz w:val="20"/>
          <w:szCs w:val="20"/>
        </w:rPr>
        <w:t xml:space="preserve">100 to 150 words detailing career achievements, significant representations, and memberships.</w:t>
      </w:r>
    </w:p>
    <w:p>
      <w:pPr>
        <w:pStyle w:val="Heading2"/>
        <w:spacing w:after="120" w:before="260"/>
      </w:pPr>
      <w:r>
        <w:rPr>
          <w:rFonts w:ascii="Arial" w:cs="Arial" w:eastAsia="Arial" w:hAnsi="Arial"/>
          <w:b/>
          <w:bCs/>
          <w:color w:val="9C792E"/>
          <w:sz w:val="22"/>
          <w:szCs w:val="22"/>
        </w:rPr>
        <w:t xml:space="preserve">E. Landmark Matters &amp; Judicial Precedents</w:t>
      </w:r>
    </w:p>
    <w:p>
      <w:pPr>
        <w:spacing w:after="100" w:before="60"/>
      </w:pPr>
      <w:r>
        <w:rPr>
          <w:rFonts w:ascii="Calibri" w:cs="Calibri" w:eastAsia="Calibri" w:hAnsi="Calibri"/>
          <w:b w:val="false"/>
          <w:bCs w:val="false"/>
          <w:i w:val="false"/>
          <w:iCs w:val="false"/>
          <w:color w:val="2D3748"/>
          <w:sz w:val="20"/>
          <w:szCs w:val="20"/>
        </w:rPr>
        <w:t xml:space="preserve">A selection of 3 to 6 notable cases to be showcased in the precedents archive (party names may be anonymized if confidential):</w:t>
      </w:r>
    </w:p>
    <w:p>
      <w:pPr>
        <w:spacing w:after="80" w:before="50"/>
        <w:ind w:left="360"/>
      </w:pPr>
      <w:r>
        <w:rPr>
          <w:rFonts w:ascii="Calibri" w:cs="Calibri" w:eastAsia="Calibri" w:hAnsi="Calibri"/>
          <w:b/>
          <w:bCs/>
          <w:color w:val="9C792E"/>
          <w:sz w:val="22"/>
          <w:szCs w:val="22"/>
        </w:rPr>
        <w:t xml:space="preserve">[  ]  </w:t>
      </w:r>
      <w:r>
        <w:rPr>
          <w:rFonts w:ascii="Calibri" w:cs="Calibri" w:eastAsia="Calibri" w:hAnsi="Calibri"/>
          <w:b/>
          <w:bCs/>
          <w:color w:val="081325"/>
          <w:sz w:val="20"/>
          <w:szCs w:val="20"/>
        </w:rPr>
        <w:t xml:space="preserve">Matter Subject / Title: </w:t>
      </w:r>
      <w:r>
        <w:rPr>
          <w:rFonts w:ascii="Calibri" w:cs="Calibri" w:eastAsia="Calibri" w:hAnsi="Calibri"/>
          <w:color w:val="4A5568"/>
          <w:sz w:val="20"/>
          <w:szCs w:val="20"/>
        </w:rPr>
        <w:t xml:space="preserve">Descriptive title (e.g., 'In re: National Telecom Concession Arbitration Challenge').</w:t>
      </w:r>
    </w:p>
    <w:p>
      <w:pPr>
        <w:spacing w:after="80" w:before="50"/>
        <w:ind w:left="360"/>
      </w:pPr>
      <w:r>
        <w:rPr>
          <w:rFonts w:ascii="Calibri" w:cs="Calibri" w:eastAsia="Calibri" w:hAnsi="Calibri"/>
          <w:b/>
          <w:bCs/>
          <w:color w:val="9C792E"/>
          <w:sz w:val="22"/>
          <w:szCs w:val="22"/>
        </w:rPr>
        <w:t xml:space="preserve">[  ]  </w:t>
      </w:r>
      <w:r>
        <w:rPr>
          <w:rFonts w:ascii="Calibri" w:cs="Calibri" w:eastAsia="Calibri" w:hAnsi="Calibri"/>
          <w:b/>
          <w:bCs/>
          <w:color w:val="081325"/>
          <w:sz w:val="20"/>
          <w:szCs w:val="20"/>
        </w:rPr>
        <w:t xml:space="preserve">Judicial Forum: </w:t>
      </w:r>
      <w:r>
        <w:rPr>
          <w:rFonts w:ascii="Calibri" w:cs="Calibri" w:eastAsia="Calibri" w:hAnsi="Calibri"/>
          <w:color w:val="4A5568"/>
          <w:sz w:val="20"/>
          <w:szCs w:val="20"/>
        </w:rPr>
        <w:t xml:space="preserve">Court or tribunal (e.g., 'Supreme Court of India / High Court of Delhi').</w:t>
      </w:r>
    </w:p>
    <w:p>
      <w:pPr>
        <w:spacing w:after="80" w:before="50"/>
        <w:ind w:left="360"/>
      </w:pPr>
      <w:r>
        <w:rPr>
          <w:rFonts w:ascii="Calibri" w:cs="Calibri" w:eastAsia="Calibri" w:hAnsi="Calibri"/>
          <w:b/>
          <w:bCs/>
          <w:color w:val="9C792E"/>
          <w:sz w:val="22"/>
          <w:szCs w:val="22"/>
        </w:rPr>
        <w:t xml:space="preserve">[  ]  </w:t>
      </w:r>
      <w:r>
        <w:rPr>
          <w:rFonts w:ascii="Calibri" w:cs="Calibri" w:eastAsia="Calibri" w:hAnsi="Calibri"/>
          <w:b/>
          <w:bCs/>
          <w:color w:val="081325"/>
          <w:sz w:val="20"/>
          <w:szCs w:val="20"/>
        </w:rPr>
        <w:t xml:space="preserve">Dispute / Claim Value: </w:t>
      </w:r>
      <w:r>
        <w:rPr>
          <w:rFonts w:ascii="Calibri" w:cs="Calibri" w:eastAsia="Calibri" w:hAnsi="Calibri"/>
          <w:color w:val="4A5568"/>
          <w:sz w:val="20"/>
          <w:szCs w:val="20"/>
        </w:rPr>
        <w:t xml:space="preserve">Financial value or quantum involved (optional if sensitive).</w:t>
      </w:r>
    </w:p>
    <w:p>
      <w:pPr>
        <w:spacing w:after="80" w:before="50"/>
        <w:ind w:left="360"/>
      </w:pPr>
      <w:r>
        <w:rPr>
          <w:rFonts w:ascii="Calibri" w:cs="Calibri" w:eastAsia="Calibri" w:hAnsi="Calibri"/>
          <w:b/>
          <w:bCs/>
          <w:color w:val="9C792E"/>
          <w:sz w:val="22"/>
          <w:szCs w:val="22"/>
        </w:rPr>
        <w:t xml:space="preserve">[  ]  </w:t>
      </w:r>
      <w:r>
        <w:rPr>
          <w:rFonts w:ascii="Calibri" w:cs="Calibri" w:eastAsia="Calibri" w:hAnsi="Calibri"/>
          <w:b/>
          <w:bCs/>
          <w:color w:val="081325"/>
          <w:sz w:val="20"/>
          <w:szCs w:val="20"/>
        </w:rPr>
        <w:t xml:space="preserve">Outcome / Relief Secured: </w:t>
      </w:r>
      <w:r>
        <w:rPr>
          <w:rFonts w:ascii="Calibri" w:cs="Calibri" w:eastAsia="Calibri" w:hAnsi="Calibri"/>
          <w:color w:val="4A5568"/>
          <w:sz w:val="20"/>
          <w:szCs w:val="20"/>
        </w:rPr>
        <w:t xml:space="preserve">Precise legal relief achieved (e.g., 'Secured stay on penalty and set new precedent on patent illegality').</w:t>
      </w:r>
    </w:p>
    <w:p>
      <w:pPr>
        <w:pStyle w:val="Heading2"/>
        <w:spacing w:after="120" w:before="260"/>
      </w:pPr>
      <w:r>
        <w:rPr>
          <w:rFonts w:ascii="Arial" w:cs="Arial" w:eastAsia="Arial" w:hAnsi="Arial"/>
          <w:b/>
          <w:bCs/>
          <w:color w:val="9C792E"/>
          <w:sz w:val="22"/>
          <w:szCs w:val="22"/>
        </w:rPr>
        <w:t xml:space="preserve">F. Chambers Locations &amp; Contact Points</w:t>
      </w:r>
    </w:p>
    <w:p>
      <w:pPr>
        <w:spacing w:after="80" w:before="50"/>
        <w:ind w:left="360"/>
      </w:pPr>
      <w:r>
        <w:rPr>
          <w:rFonts w:ascii="Calibri" w:cs="Calibri" w:eastAsia="Calibri" w:hAnsi="Calibri"/>
          <w:b/>
          <w:bCs/>
          <w:color w:val="9C792E"/>
          <w:sz w:val="22"/>
          <w:szCs w:val="22"/>
        </w:rPr>
        <w:t xml:space="preserve">[  ]  </w:t>
      </w:r>
      <w:r>
        <w:rPr>
          <w:rFonts w:ascii="Calibri" w:cs="Calibri" w:eastAsia="Calibri" w:hAnsi="Calibri"/>
          <w:b/>
          <w:bCs/>
          <w:color w:val="081325"/>
          <w:sz w:val="20"/>
          <w:szCs w:val="20"/>
        </w:rPr>
        <w:t xml:space="preserve">Principal Chambers / Head Office: </w:t>
      </w:r>
      <w:r>
        <w:rPr>
          <w:rFonts w:ascii="Calibri" w:cs="Calibri" w:eastAsia="Calibri" w:hAnsi="Calibri"/>
          <w:color w:val="4A5568"/>
          <w:sz w:val="20"/>
          <w:szCs w:val="20"/>
        </w:rPr>
        <w:t xml:space="preserve">Full address, direct phone lines, chamber email address.</w:t>
      </w:r>
    </w:p>
    <w:p>
      <w:pPr>
        <w:spacing w:after="80" w:before="50"/>
        <w:ind w:left="360"/>
      </w:pPr>
      <w:r>
        <w:rPr>
          <w:rFonts w:ascii="Calibri" w:cs="Calibri" w:eastAsia="Calibri" w:hAnsi="Calibri"/>
          <w:b/>
          <w:bCs/>
          <w:color w:val="9C792E"/>
          <w:sz w:val="22"/>
          <w:szCs w:val="22"/>
        </w:rPr>
        <w:t xml:space="preserve">[  ]  </w:t>
      </w:r>
      <w:r>
        <w:rPr>
          <w:rFonts w:ascii="Calibri" w:cs="Calibri" w:eastAsia="Calibri" w:hAnsi="Calibri"/>
          <w:b/>
          <w:bCs/>
          <w:color w:val="081325"/>
          <w:sz w:val="20"/>
          <w:szCs w:val="20"/>
        </w:rPr>
        <w:t xml:space="preserve">Branch &amp; Regional Offices: </w:t>
      </w:r>
      <w:r>
        <w:rPr>
          <w:rFonts w:ascii="Calibri" w:cs="Calibri" w:eastAsia="Calibri" w:hAnsi="Calibri"/>
          <w:color w:val="4A5568"/>
          <w:sz w:val="20"/>
          <w:szCs w:val="20"/>
        </w:rPr>
        <w:t xml:space="preserve">Addresses and coordinates for Mumbai, Bengaluru, Singapore or other desks.</w:t>
      </w:r>
    </w:p>
    <w:p>
      <w:pPr>
        <w:spacing w:after="80" w:before="50"/>
        <w:ind w:left="360"/>
      </w:pPr>
      <w:r>
        <w:rPr>
          <w:rFonts w:ascii="Calibri" w:cs="Calibri" w:eastAsia="Calibri" w:hAnsi="Calibri"/>
          <w:b/>
          <w:bCs/>
          <w:color w:val="9C792E"/>
          <w:sz w:val="22"/>
          <w:szCs w:val="22"/>
        </w:rPr>
        <w:t xml:space="preserve">[  ]  </w:t>
      </w:r>
      <w:r>
        <w:rPr>
          <w:rFonts w:ascii="Calibri" w:cs="Calibri" w:eastAsia="Calibri" w:hAnsi="Calibri"/>
          <w:b/>
          <w:bCs/>
          <w:color w:val="081325"/>
          <w:sz w:val="20"/>
          <w:szCs w:val="20"/>
        </w:rPr>
        <w:t xml:space="preserve">Map Coordinates / Location Links: </w:t>
      </w:r>
      <w:r>
        <w:rPr>
          <w:rFonts w:ascii="Calibri" w:cs="Calibri" w:eastAsia="Calibri" w:hAnsi="Calibri"/>
          <w:color w:val="4A5568"/>
          <w:sz w:val="20"/>
          <w:szCs w:val="20"/>
        </w:rPr>
        <w:t xml:space="preserve">Google Maps links for accurate location routing.</w:t>
      </w:r>
    </w:p>
    <w:p>
      <w:pPr>
        <w:pStyle w:val="Heading2"/>
        <w:spacing w:after="120" w:before="260"/>
      </w:pPr>
      <w:r>
        <w:rPr>
          <w:rFonts w:ascii="Arial" w:cs="Arial" w:eastAsia="Arial" w:hAnsi="Arial"/>
          <w:b/>
          <w:bCs/>
          <w:color w:val="9C792E"/>
          <w:sz w:val="22"/>
          <w:szCs w:val="22"/>
        </w:rPr>
        <w:t xml:space="preserve">G. Legal Insights &amp; Thought Leadership (Initial Set)</w:t>
      </w:r>
    </w:p>
    <w:p>
      <w:pPr>
        <w:spacing w:after="80" w:before="50"/>
        <w:ind w:left="360"/>
      </w:pPr>
      <w:r>
        <w:rPr>
          <w:rFonts w:ascii="Calibri" w:cs="Calibri" w:eastAsia="Calibri" w:hAnsi="Calibri"/>
          <w:b/>
          <w:bCs/>
          <w:color w:val="9C792E"/>
          <w:sz w:val="22"/>
          <w:szCs w:val="22"/>
        </w:rPr>
        <w:t xml:space="preserve">[  ]  </w:t>
      </w:r>
      <w:r>
        <w:rPr>
          <w:rFonts w:ascii="Calibri" w:cs="Calibri" w:eastAsia="Calibri" w:hAnsi="Calibri"/>
          <w:b/>
          <w:bCs/>
          <w:color w:val="081325"/>
          <w:sz w:val="20"/>
          <w:szCs w:val="20"/>
        </w:rPr>
        <w:t xml:space="preserve">1 to 3 Legal Insight Articles: </w:t>
      </w:r>
      <w:r>
        <w:rPr>
          <w:rFonts w:ascii="Calibri" w:cs="Calibri" w:eastAsia="Calibri" w:hAnsi="Calibri"/>
          <w:color w:val="4A5568"/>
          <w:sz w:val="20"/>
          <w:szCs w:val="20"/>
        </w:rPr>
        <w:t xml:space="preserve">Recent legal commentary, statutory analysis, or case briefs authored by the firm's advocates.</w:t>
      </w:r>
    </w:p>
    <w:p>
      <w:pPr>
        <w:pStyle w:val="Heading1"/>
        <w:spacing w:after="160" w:before="400"/>
      </w:pPr>
      <w:r>
        <w:rPr>
          <w:rFonts w:ascii="Arial" w:cs="Arial" w:eastAsia="Arial" w:hAnsi="Arial"/>
          <w:b/>
          <w:bCs/>
          <w:color w:val="081325"/>
          <w:sz w:val="26"/>
          <w:szCs w:val="26"/>
        </w:rPr>
        <w:t xml:space="preserve">3. MEDIA &amp; ASSET TECHNICAL SPECIFICATIONS</w:t>
      </w:r>
    </w:p>
    <w:p>
      <w:pPr>
        <w:spacing w:after="100" w:before="60"/>
      </w:pPr>
      <w:r>
        <w:rPr>
          <w:rFonts w:ascii="Calibri" w:cs="Calibri" w:eastAsia="Calibri" w:hAnsi="Calibri"/>
          <w:b w:val="false"/>
          <w:bCs w:val="false"/>
          <w:i w:val="false"/>
          <w:iCs w:val="false"/>
          <w:color w:val="2D3748"/>
          <w:sz w:val="20"/>
          <w:szCs w:val="20"/>
        </w:rPr>
        <w:t xml:space="preserve">To ensure optimal visual presentation and performance, assets should adhere to the following technical standards: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0A192F" w:val="clear"/>
            <w:tcMar>
              <w:top w:type="dxa" w:w="120"/>
              <w:left w:type="dxa" w:w="160"/>
              <w:bottom w:type="dxa" w:w="120"/>
              <w:right w:type="dxa" w:w="160"/>
            </w:tcMar>
          </w:tcPr>
          <w:p>
            <w:r>
              <w:rPr>
                <w:rFonts w:ascii="Calibri" w:cs="Calibri" w:eastAsia="Calibri" w:hAnsi="Calibri"/>
                <w:b/>
                <w:bCs/>
                <w:color w:val="FFFFFF"/>
                <w:sz w:val="19"/>
                <w:szCs w:val="19"/>
              </w:rPr>
              <w:t xml:space="preserve">Asset Category</w:t>
            </w:r>
          </w:p>
        </w:tc>
        <w:tc>
          <w:tcPr>
            <w:tcW w:type="dxa" w:w="3000"/>
            <w:shd w:fill="0A192F" w:val="clear"/>
            <w:tcMar>
              <w:top w:type="dxa" w:w="120"/>
              <w:left w:type="dxa" w:w="160"/>
              <w:bottom w:type="dxa" w:w="120"/>
              <w:right w:type="dxa" w:w="160"/>
            </w:tcMar>
          </w:tcPr>
          <w:p>
            <w:r>
              <w:rPr>
                <w:rFonts w:ascii="Calibri" w:cs="Calibri" w:eastAsia="Calibri" w:hAnsi="Calibri"/>
                <w:b/>
                <w:bCs/>
                <w:color w:val="FFFFFF"/>
                <w:sz w:val="19"/>
                <w:szCs w:val="19"/>
              </w:rPr>
              <w:t xml:space="preserve">Supported File Formats</w:t>
            </w:r>
          </w:p>
        </w:tc>
        <w:tc>
          <w:tcPr>
            <w:tcW w:type="dxa" w:w="3000"/>
            <w:shd w:fill="0A192F" w:val="clear"/>
            <w:tcMar>
              <w:top w:type="dxa" w:w="120"/>
              <w:left w:type="dxa" w:w="160"/>
              <w:bottom w:type="dxa" w:w="120"/>
              <w:right w:type="dxa" w:w="160"/>
            </w:tcMar>
          </w:tcPr>
          <w:p>
            <w:r>
              <w:rPr>
                <w:rFonts w:ascii="Calibri" w:cs="Calibri" w:eastAsia="Calibri" w:hAnsi="Calibri"/>
                <w:b/>
                <w:bCs/>
                <w:color w:val="FFFFFF"/>
                <w:sz w:val="19"/>
                <w:szCs w:val="19"/>
              </w:rPr>
              <w:t xml:space="preserve">Recommended Specifications</w:t>
            </w:r>
          </w:p>
        </w:tc>
      </w:tr>
      <w:tr>
        <w:tc>
          <w:tcPr>
            <w:tcW w:type="dxa" w:w="3000"/>
            <w:shd w:fill="FFFFFF" w:val="clear"/>
            <w:tcMar>
              <w:top w:type="dxa" w:w="120"/>
              <w:left w:type="dxa" w:w="160"/>
              <w:bottom w:type="dxa" w:w="120"/>
              <w:right w:type="dxa" w:w="160"/>
            </w:tcMar>
          </w:tcPr>
          <w:p>
            <w:r>
              <w:rPr>
                <w:rFonts w:ascii="Calibri" w:cs="Calibri" w:eastAsia="Calibri" w:hAnsi="Calibri"/>
                <w:b w:val="false"/>
                <w:bCs w:val="false"/>
                <w:color w:val="2D3748"/>
                <w:sz w:val="19"/>
                <w:szCs w:val="19"/>
              </w:rPr>
              <w:t xml:space="preserve">Firm Brand Identity (Logo)</w:t>
            </w:r>
          </w:p>
        </w:tc>
        <w:tc>
          <w:tcPr>
            <w:tcW w:type="dxa" w:w="3000"/>
            <w:shd w:fill="FFFFFF" w:val="clear"/>
            <w:tcMar>
              <w:top w:type="dxa" w:w="120"/>
              <w:left w:type="dxa" w:w="160"/>
              <w:bottom w:type="dxa" w:w="120"/>
              <w:right w:type="dxa" w:w="160"/>
            </w:tcMar>
          </w:tcPr>
          <w:p>
            <w:r>
              <w:rPr>
                <w:rFonts w:ascii="Calibri" w:cs="Calibri" w:eastAsia="Calibri" w:hAnsi="Calibri"/>
                <w:b w:val="false"/>
                <w:bCs w:val="false"/>
                <w:color w:val="2D3748"/>
                <w:sz w:val="19"/>
                <w:szCs w:val="19"/>
              </w:rPr>
              <w:t xml:space="preserve">SVG (Vector) or PNG (Transparent)</w:t>
            </w:r>
          </w:p>
        </w:tc>
        <w:tc>
          <w:tcPr>
            <w:tcW w:type="dxa" w:w="3000"/>
            <w:shd w:fill="FFFFFF" w:val="clear"/>
            <w:tcMar>
              <w:top w:type="dxa" w:w="120"/>
              <w:left w:type="dxa" w:w="160"/>
              <w:bottom w:type="dxa" w:w="120"/>
              <w:right w:type="dxa" w:w="160"/>
            </w:tcMar>
          </w:tcPr>
          <w:p>
            <w:r>
              <w:rPr>
                <w:rFonts w:ascii="Calibri" w:cs="Calibri" w:eastAsia="Calibri" w:hAnsi="Calibri"/>
                <w:b w:val="false"/>
                <w:bCs w:val="false"/>
                <w:color w:val="2D3748"/>
                <w:sz w:val="19"/>
                <w:szCs w:val="19"/>
              </w:rPr>
              <w:t xml:space="preserve">Minimum 600px width; vector formats preferred for optimal retina scaling</w:t>
            </w:r>
          </w:p>
        </w:tc>
      </w:tr>
      <w:tr>
        <w:tc>
          <w:tcPr>
            <w:tcW w:type="dxa" w:w="3000"/>
            <w:shd w:fill="F8FAFC" w:val="clear"/>
            <w:tcMar>
              <w:top w:type="dxa" w:w="120"/>
              <w:left w:type="dxa" w:w="160"/>
              <w:bottom w:type="dxa" w:w="120"/>
              <w:right w:type="dxa" w:w="160"/>
            </w:tcMar>
          </w:tcPr>
          <w:p>
            <w:r>
              <w:rPr>
                <w:rFonts w:ascii="Calibri" w:cs="Calibri" w:eastAsia="Calibri" w:hAnsi="Calibri"/>
                <w:b w:val="false"/>
                <w:bCs w:val="false"/>
                <w:color w:val="2D3748"/>
                <w:sz w:val="19"/>
                <w:szCs w:val="19"/>
              </w:rPr>
              <w:t xml:space="preserve">Partner &amp; Counsel Portraits</w:t>
            </w:r>
          </w:p>
        </w:tc>
        <w:tc>
          <w:tcPr>
            <w:tcW w:type="dxa" w:w="3000"/>
            <w:shd w:fill="F8FAFC" w:val="clear"/>
            <w:tcMar>
              <w:top w:type="dxa" w:w="120"/>
              <w:left w:type="dxa" w:w="160"/>
              <w:bottom w:type="dxa" w:w="120"/>
              <w:right w:type="dxa" w:w="160"/>
            </w:tcMar>
          </w:tcPr>
          <w:p>
            <w:r>
              <w:rPr>
                <w:rFonts w:ascii="Calibri" w:cs="Calibri" w:eastAsia="Calibri" w:hAnsi="Calibri"/>
                <w:b w:val="false"/>
                <w:bCs w:val="false"/>
                <w:color w:val="2D3748"/>
                <w:sz w:val="19"/>
                <w:szCs w:val="19"/>
              </w:rPr>
              <w:t xml:space="preserve">JPG / PNG / WebP</w:t>
            </w:r>
          </w:p>
        </w:tc>
        <w:tc>
          <w:tcPr>
            <w:tcW w:type="dxa" w:w="3000"/>
            <w:shd w:fill="F8FAFC" w:val="clear"/>
            <w:tcMar>
              <w:top w:type="dxa" w:w="120"/>
              <w:left w:type="dxa" w:w="160"/>
              <w:bottom w:type="dxa" w:w="120"/>
              <w:right w:type="dxa" w:w="160"/>
            </w:tcMar>
          </w:tcPr>
          <w:p>
            <w:r>
              <w:rPr>
                <w:rFonts w:ascii="Calibri" w:cs="Calibri" w:eastAsia="Calibri" w:hAnsi="Calibri"/>
                <w:b w:val="false"/>
                <w:bCs w:val="false"/>
                <w:color w:val="2D3748"/>
                <w:sz w:val="19"/>
                <w:szCs w:val="19"/>
              </w:rPr>
              <w:t xml:space="preserve">Minimum 800 x 1000px; studio portrait in formal legal attire; uniform background</w:t>
            </w:r>
          </w:p>
        </w:tc>
      </w:tr>
      <w:tr>
        <w:tc>
          <w:tcPr>
            <w:tcW w:type="dxa" w:w="3000"/>
            <w:shd w:fill="FFFFFF" w:val="clear"/>
            <w:tcMar>
              <w:top w:type="dxa" w:w="120"/>
              <w:left w:type="dxa" w:w="160"/>
              <w:bottom w:type="dxa" w:w="120"/>
              <w:right w:type="dxa" w:w="160"/>
            </w:tcMar>
          </w:tcPr>
          <w:p>
            <w:r>
              <w:rPr>
                <w:rFonts w:ascii="Calibri" w:cs="Calibri" w:eastAsia="Calibri" w:hAnsi="Calibri"/>
                <w:b w:val="false"/>
                <w:bCs w:val="false"/>
                <w:color w:val="2D3748"/>
                <w:sz w:val="19"/>
                <w:szCs w:val="19"/>
              </w:rPr>
              <w:t xml:space="preserve">Chambers &amp; Library Photography</w:t>
            </w:r>
          </w:p>
        </w:tc>
        <w:tc>
          <w:tcPr>
            <w:tcW w:type="dxa" w:w="3000"/>
            <w:shd w:fill="FFFFFF" w:val="clear"/>
            <w:tcMar>
              <w:top w:type="dxa" w:w="120"/>
              <w:left w:type="dxa" w:w="160"/>
              <w:bottom w:type="dxa" w:w="120"/>
              <w:right w:type="dxa" w:w="160"/>
            </w:tcMar>
          </w:tcPr>
          <w:p>
            <w:r>
              <w:rPr>
                <w:rFonts w:ascii="Calibri" w:cs="Calibri" w:eastAsia="Calibri" w:hAnsi="Calibri"/>
                <w:b w:val="false"/>
                <w:bCs w:val="false"/>
                <w:color w:val="2D3748"/>
                <w:sz w:val="19"/>
                <w:szCs w:val="19"/>
              </w:rPr>
              <w:t xml:space="preserve">JPG / WebP</w:t>
            </w:r>
          </w:p>
        </w:tc>
        <w:tc>
          <w:tcPr>
            <w:tcW w:type="dxa" w:w="3000"/>
            <w:shd w:fill="FFFFFF" w:val="clear"/>
            <w:tcMar>
              <w:top w:type="dxa" w:w="120"/>
              <w:left w:type="dxa" w:w="160"/>
              <w:bottom w:type="dxa" w:w="120"/>
              <w:right w:type="dxa" w:w="160"/>
            </w:tcMar>
          </w:tcPr>
          <w:p>
            <w:r>
              <w:rPr>
                <w:rFonts w:ascii="Calibri" w:cs="Calibri" w:eastAsia="Calibri" w:hAnsi="Calibri"/>
                <w:b w:val="false"/>
                <w:bCs w:val="false"/>
                <w:color w:val="2D3748"/>
                <w:sz w:val="19"/>
                <w:szCs w:val="19"/>
              </w:rPr>
              <w:t xml:space="preserve">1920 x 1080px (16:9 Landscape); architectural/interior clarity</w:t>
            </w:r>
          </w:p>
        </w:tc>
      </w:tr>
      <w:tr>
        <w:tc>
          <w:tcPr>
            <w:tcW w:type="dxa" w:w="3000"/>
            <w:shd w:fill="F8FAFC" w:val="clear"/>
            <w:tcMar>
              <w:top w:type="dxa" w:w="120"/>
              <w:left w:type="dxa" w:w="160"/>
              <w:bottom w:type="dxa" w:w="120"/>
              <w:right w:type="dxa" w:w="160"/>
            </w:tcMar>
          </w:tcPr>
          <w:p>
            <w:r>
              <w:rPr>
                <w:rFonts w:ascii="Calibri" w:cs="Calibri" w:eastAsia="Calibri" w:hAnsi="Calibri"/>
                <w:b w:val="false"/>
                <w:bCs w:val="false"/>
                <w:color w:val="2D3748"/>
                <w:sz w:val="19"/>
                <w:szCs w:val="19"/>
              </w:rPr>
              <w:t xml:space="preserve">Insight Articles &amp; Legal Briefs</w:t>
            </w:r>
          </w:p>
        </w:tc>
        <w:tc>
          <w:tcPr>
            <w:tcW w:type="dxa" w:w="3000"/>
            <w:shd w:fill="F8FAFC" w:val="clear"/>
            <w:tcMar>
              <w:top w:type="dxa" w:w="120"/>
              <w:left w:type="dxa" w:w="160"/>
              <w:bottom w:type="dxa" w:w="120"/>
              <w:right w:type="dxa" w:w="160"/>
            </w:tcMar>
          </w:tcPr>
          <w:p>
            <w:r>
              <w:rPr>
                <w:rFonts w:ascii="Calibri" w:cs="Calibri" w:eastAsia="Calibri" w:hAnsi="Calibri"/>
                <w:b w:val="false"/>
                <w:bCs w:val="false"/>
                <w:color w:val="2D3748"/>
                <w:sz w:val="19"/>
                <w:szCs w:val="19"/>
              </w:rPr>
              <w:t xml:space="preserve">Microsoft Word (.docx) or PDF</w:t>
            </w:r>
          </w:p>
        </w:tc>
        <w:tc>
          <w:tcPr>
            <w:tcW w:type="dxa" w:w="3000"/>
            <w:shd w:fill="F8FAFC" w:val="clear"/>
            <w:tcMar>
              <w:top w:type="dxa" w:w="120"/>
              <w:left w:type="dxa" w:w="160"/>
              <w:bottom w:type="dxa" w:w="120"/>
              <w:right w:type="dxa" w:w="160"/>
            </w:tcMar>
          </w:tcPr>
          <w:p>
            <w:r>
              <w:rPr>
                <w:rFonts w:ascii="Calibri" w:cs="Calibri" w:eastAsia="Calibri" w:hAnsi="Calibri"/>
                <w:b w:val="false"/>
                <w:bCs w:val="false"/>
                <w:color w:val="2D3748"/>
                <w:sz w:val="19"/>
                <w:szCs w:val="19"/>
              </w:rPr>
              <w:t xml:space="preserve">Structured manuscript containing title, author name, publication date, and references</w:t>
            </w:r>
          </w:p>
        </w:tc>
      </w:tr>
    </w:tbl>
    <w:p>
      <w:pPr>
        <w:pStyle w:val="Heading1"/>
        <w:spacing w:after="160" w:before="400"/>
      </w:pPr>
      <w:r>
        <w:rPr>
          <w:rFonts w:ascii="Arial" w:cs="Arial" w:eastAsia="Arial" w:hAnsi="Arial"/>
          <w:b/>
          <w:bCs/>
          <w:color w:val="081325"/>
          <w:sz w:val="26"/>
          <w:szCs w:val="26"/>
        </w:rPr>
        <w:t xml:space="preserve">4. STATUTORY &amp; REGULATORY COMPLIANCE NOTE</w:t>
      </w:r>
    </w:p>
    <w:p>
      <w:pPr>
        <w:spacing w:after="100" w:before="60"/>
      </w:pPr>
      <w:r>
        <w:rPr>
          <w:rFonts w:ascii="Calibri" w:cs="Calibri" w:eastAsia="Calibri" w:hAnsi="Calibri"/>
          <w:b w:val="false"/>
          <w:bCs w:val="false"/>
          <w:i w:val="false"/>
          <w:iCs w:val="false"/>
          <w:color w:val="2D3748"/>
          <w:sz w:val="20"/>
          <w:szCs w:val="20"/>
        </w:rPr>
        <w:t xml:space="preserve">In strict accordance with Rule 36, Section IV, Chapter II, Part VI of the Bar Council of India Rules, advocates and legal practitioners in India are prohibited from soliciting work or advertising their practice directly. The proposed web architecture incorporates an automated, non-bypassable regulatory disclaimer modal. This ensures that any visitor accessing the platform acknowledges they are seeking information voluntarily without any solicitation or inducement by the firm, ensuring the web platform remains 100% compliant with statutory guidelines.</w:t>
      </w:r>
    </w:p>
    <w:p>
      <w:pPr>
        <w:pStyle w:val="Heading1"/>
        <w:spacing w:after="160" w:before="400"/>
      </w:pPr>
      <w:r>
        <w:rPr>
          <w:rFonts w:ascii="Arial" w:cs="Arial" w:eastAsia="Arial" w:hAnsi="Arial"/>
          <w:b/>
          <w:bCs/>
          <w:color w:val="081325"/>
          <w:sz w:val="26"/>
          <w:szCs w:val="26"/>
        </w:rPr>
        <w:t xml:space="preserve">5. PROJECT WORKFLOW &amp; NEXT STEPS</w:t>
      </w:r>
    </w:p>
    <w:p>
      <w:pPr>
        <w:pStyle w:val="ListParagraph"/>
        <w:numPr>
          <w:ilvl w:val="0"/>
          <w:numId w:val="1"/>
        </w:numPr>
        <w:spacing w:after="80" w:before="50"/>
      </w:pPr>
      <w:r>
        <w:rPr>
          <w:rFonts w:ascii="Calibri" w:cs="Calibri" w:eastAsia="Calibri" w:hAnsi="Calibri"/>
          <w:b/>
          <w:bCs/>
          <w:color w:val="081325"/>
          <w:sz w:val="20"/>
          <w:szCs w:val="20"/>
        </w:rPr>
        <w:t xml:space="preserve">Step 1: Content Collection: </w:t>
      </w:r>
      <w:r>
        <w:rPr>
          <w:rFonts w:ascii="Calibri" w:cs="Calibri" w:eastAsia="Calibri" w:hAnsi="Calibri"/>
          <w:color w:val="2D3748"/>
          <w:sz w:val="20"/>
          <w:szCs w:val="20"/>
        </w:rPr>
        <w:t xml:space="preserve">The firm collates and provides the information outlined in Section 2.</w:t>
      </w:r>
    </w:p>
    <w:p>
      <w:pPr>
        <w:pStyle w:val="ListParagraph"/>
        <w:numPr>
          <w:ilvl w:val="0"/>
          <w:numId w:val="1"/>
        </w:numPr>
        <w:spacing w:after="80" w:before="50"/>
      </w:pPr>
      <w:r>
        <w:rPr>
          <w:rFonts w:ascii="Calibri" w:cs="Calibri" w:eastAsia="Calibri" w:hAnsi="Calibri"/>
          <w:b/>
          <w:bCs/>
          <w:color w:val="081325"/>
          <w:sz w:val="20"/>
          <w:szCs w:val="20"/>
        </w:rPr>
        <w:t xml:space="preserve">Step 2: Structural Architecture &amp; Digital Integration: </w:t>
      </w:r>
      <w:r>
        <w:rPr>
          <w:rFonts w:ascii="Calibri" w:cs="Calibri" w:eastAsia="Calibri" w:hAnsi="Calibri"/>
          <w:color w:val="2D3748"/>
          <w:sz w:val="20"/>
          <w:szCs w:val="20"/>
        </w:rPr>
        <w:t xml:space="preserve">Our development team configures the platform, styling tokens, and interactive components around the firm's verified identity.</w:t>
      </w:r>
    </w:p>
    <w:p>
      <w:pPr>
        <w:pStyle w:val="ListParagraph"/>
        <w:numPr>
          <w:ilvl w:val="0"/>
          <w:numId w:val="1"/>
        </w:numPr>
        <w:spacing w:after="80" w:before="50"/>
      </w:pPr>
      <w:r>
        <w:rPr>
          <w:rFonts w:ascii="Calibri" w:cs="Calibri" w:eastAsia="Calibri" w:hAnsi="Calibri"/>
          <w:b/>
          <w:bCs/>
          <w:color w:val="081325"/>
          <w:sz w:val="20"/>
          <w:szCs w:val="20"/>
        </w:rPr>
        <w:t xml:space="preserve">Step 3: Partner Review &amp; Verification: </w:t>
      </w:r>
      <w:r>
        <w:rPr>
          <w:rFonts w:ascii="Calibri" w:cs="Calibri" w:eastAsia="Calibri" w:hAnsi="Calibri"/>
          <w:color w:val="2D3748"/>
          <w:sz w:val="20"/>
          <w:szCs w:val="20"/>
        </w:rPr>
        <w:t xml:space="preserve">The firm reviews the fully integrated platform across desktop and mobile viewports for factual and stylistic verification.</w:t>
      </w:r>
    </w:p>
    <w:p>
      <w:pPr>
        <w:pStyle w:val="ListParagraph"/>
        <w:numPr>
          <w:ilvl w:val="0"/>
          <w:numId w:val="1"/>
        </w:numPr>
        <w:spacing w:after="80" w:before="50"/>
      </w:pPr>
      <w:r>
        <w:rPr>
          <w:rFonts w:ascii="Calibri" w:cs="Calibri" w:eastAsia="Calibri" w:hAnsi="Calibri"/>
          <w:b/>
          <w:bCs/>
          <w:color w:val="081325"/>
          <w:sz w:val="20"/>
          <w:szCs w:val="20"/>
        </w:rPr>
        <w:t xml:space="preserve">Step 4: Domain Deployment &amp; Live Launch: </w:t>
      </w:r>
      <w:r>
        <w:rPr>
          <w:rFonts w:ascii="Calibri" w:cs="Calibri" w:eastAsia="Calibri" w:hAnsi="Calibri"/>
          <w:color w:val="2D3748"/>
          <w:sz w:val="20"/>
          <w:szCs w:val="20"/>
        </w:rPr>
        <w:t xml:space="preserve">Platform deployment to the firm's official domain with SSL security and search engine indexing.</w:t>
      </w:r>
    </w:p>
    <w:sectPr>
      <w:pgSz w:w="11906" w:h="16838" w:orient="portrait"/>
      <w:pgMar w:top="1000" w:right="1200" w:bottom="1000" w:left="12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2026-10-06T08:59:44.556Z</dcterms:created>
  <dcterms:modified xsi:type="dcterms:W3CDTF">2026-10-06T08:59:44.557Z</dcterms:modified>
</cp:coreProperties>
</file>

<file path=docProps/custom.xml><?xml version="1.0" encoding="utf-8"?>
<Properties xmlns="http://schemas.openxmlformats.org/officeDocument/2006/custom-properties" xmlns:vt="http://schemas.openxmlformats.org/officeDocument/2006/docPropsVTypes"/>
</file>