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в частности,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Множество возможных путей зависит от топологии и программного окружения, а конкретный путь выбирает транспортный слой. Вообще говоря, сообщение может быть разбито на фрагменты, которые передаются по разным путям.</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различных устройств, то есть время от начала передачи на устройстве-отправителе до завершения приёма на устройстве-получателе.</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Параметры UCX, от которых зависит путь передачи, модуль выставляет сам до вызова MPI_Init, поскольку UCX читает их при инициализации. Порог UCX_RNDV_THRESH и параметры Open MPI задаются при запуске. Значения переменных UCX записываются в заголовок каждого файла результатов.</w:t>
      </w:r>
    </w:p>
    <w:p w14:paraId="3A708C14" w14:textId="77777777" w:rsidR="00193ECF" w:rsidRDefault="00000000">
      <w:r>
        <w:rPr>
          <w:b/>
        </w:rPr>
        <w:t xml:space="preserve">Open MPI и UCX. </w:t>
      </w:r>
      <w:r>
        <w:t>Скрипт запуска включает в Open MPI передачу сообщений через UCX (OMPI_MCA_pml=ucx) и поддержку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