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2FE7C46C" w14:textId="77777777">
      <w:pPr>
        <w:pStyle w:val="Heading1"/>
        <w:pageBreakBefore/>
        <w:jc w:val="center"/>
      </w:pPr>
      <w:r>
        <w:rPr>
          <w:rFonts w:ascii="Times New Roman" w:hAnsi="Times New Roman" w:eastAsia="Times New Roman" w:cs="Times New Roman"/>
          <w:b/>
          <w:bCs/>
          <w:kern w:val="36"/>
          <w:sz w:val="40"/>
          <w:szCs w:val="40"/>
        </w:rPr>
        <w:t>Разработка методов определения задержек при нагрузочном тестировании при передаче данных между графическими процессорами в вычислительном кластере</w:t>
      </w:r>
    </w:p>
    <w:p w14:paraId="69672FCF" w14:textId="77777777">
      <w:pPr>
        <w:pStyle w:val="a4"/>
        <w:jc w:val="center"/>
      </w:pPr>
      <w:r>
        <w:rPr>
          <w:rFonts w:ascii="Times New Roman" w:hAnsi="Times New Roman" w:eastAsia="Times New Roman" w:cs="Times New Roman"/>
          <w:b/>
          <w:bCs/>
          <w:sz w:val="28"/>
          <w:szCs w:val="28"/>
        </w:rPr>
        <w:t>К. О. Кибизов</w:t>
      </w:r>
      <w:r>
        <w:rPr>
          <w:rFonts w:ascii="Times New Roman" w:hAnsi="Times New Roman" w:eastAsia="Times New Roman" w:cs="Times New Roman"/>
          <w:b/>
          <w:bCs/>
          <w:sz w:val="28"/>
          <w:szCs w:val="28"/>
          <w:vertAlign w:val="superscript"/>
        </w:rPr>
        <w:t>1</w:t>
      </w:r>
      <w:r>
        <w:rPr>
          <w:rFonts w:ascii="Times New Roman" w:hAnsi="Times New Roman" w:eastAsia="Times New Roman" w:cs="Times New Roman"/>
          <w:b/>
          <w:bCs/>
          <w:sz w:val="28"/>
          <w:szCs w:val="28"/>
        </w:rPr>
        <w:t>, А. Н. Сальников</w:t>
      </w:r>
      <w:r>
        <w:rPr>
          <w:rFonts w:ascii="Times New Roman" w:hAnsi="Times New Roman" w:eastAsia="Times New Roman" w:cs="Times New Roman"/>
          <w:b/>
          <w:bCs/>
          <w:sz w:val="28"/>
          <w:szCs w:val="28"/>
          <w:vertAlign w:val="superscript"/>
        </w:rPr>
        <w:t>1,2</w:t>
      </w:r>
      <w:r>
        <w:rPr>
          <w:rFonts w:ascii="Times New Roman" w:hAnsi="Times New Roman" w:eastAsia="Times New Roman" w:cs="Times New Roman"/>
          <w:b/>
          <w:bCs/>
          <w:sz w:val="28"/>
          <w:szCs w:val="28"/>
        </w:rPr>
        <w:t>, Г. М. Михайлов</w:t>
      </w:r>
      <w:r>
        <w:rPr>
          <w:rFonts w:ascii="Times New Roman" w:hAnsi="Times New Roman" w:eastAsia="Times New Roman" w:cs="Times New Roman"/>
          <w:b/>
          <w:bCs/>
          <w:sz w:val="28"/>
          <w:szCs w:val="28"/>
          <w:vertAlign w:val="superscript"/>
        </w:rPr>
        <w:t>2</w:t>
      </w:r>
    </w:p>
    <w:p w14:paraId="4D415CFA" w14:textId="77777777">
      <w:pPr>
        <w:pStyle w:val="a6"/>
        <w:jc w:val="center"/>
      </w:pPr>
      <w:r>
        <w:rPr>
          <w:rFonts w:ascii="Times New Roman" w:hAnsi="Times New Roman" w:eastAsia="Times New Roman" w:cs="Times New Roman"/>
          <w:i/>
          <w:iCs/>
          <w:sz w:val="28"/>
          <w:szCs w:val="28"/>
          <w:vertAlign w:val="superscript"/>
        </w:rPr>
        <w:t xml:space="preserve">1 </w:t>
      </w:r>
      <w:r>
        <w:rPr>
          <w:rFonts w:ascii="Times New Roman" w:hAnsi="Times New Roman" w:eastAsia="Times New Roman" w:cs="Times New Roman"/>
          <w:i/>
          <w:iCs/>
          <w:sz w:val="28"/>
          <w:szCs w:val="28"/>
        </w:rPr>
        <w:t>МГУ имени М. В. Ломоносова, Москва</w:t>
      </w:r>
    </w:p>
    <w:p w14:paraId="5F98B517" w14:textId="77777777">
      <w:pPr>
        <w:pStyle w:val="a6"/>
        <w:jc w:val="center"/>
      </w:pPr>
      <w:r>
        <w:rPr>
          <w:rFonts w:ascii="Times New Roman" w:hAnsi="Times New Roman" w:eastAsia="Times New Roman" w:cs="Times New Roman"/>
          <w:i/>
          <w:iCs/>
          <w:sz w:val="28"/>
          <w:szCs w:val="28"/>
          <w:vertAlign w:val="superscript"/>
        </w:rPr>
        <w:t xml:space="preserve">2 </w:t>
      </w:r>
      <w:r>
        <w:rPr>
          <w:rFonts w:ascii="Times New Roman" w:hAnsi="Times New Roman" w:eastAsia="Times New Roman" w:cs="Times New Roman"/>
          <w:i/>
          <w:iCs/>
          <w:sz w:val="28"/>
          <w:szCs w:val="28"/>
        </w:rPr>
        <w:t>Вычислительный центр им. А. А. Дородницына ФИЦ ИУ РАН, Москва</w:t>
      </w:r>
    </w:p>
    <w:p w14:paraId="4D05181C">
      <w:pPr>
        <w:pStyle w:val="a6"/>
      </w:pPr>
    </w:p>
    <w:p w14:paraId="0A8C80C8">
      <w:pPr>
        <w:pStyle w:val="a6"/>
      </w:pPr>
    </w:p>
    <w:p w14:paraId="69886A46" w14:textId="77777777">
      <w:pPr>
        <w:ind w:firstLine="680"/>
        <w:jc w:val="both"/>
      </w:pPr>
      <w:r>
        <w:rPr>
          <w:rFonts w:ascii="Times New Roman" w:hAnsi="Times New Roman" w:eastAsia="Times New Roman" w:cs="Times New Roman"/>
          <w:sz w:val="28"/>
          <w:szCs w:val="28"/>
        </w:rPr>
        <w:t>При использовании нескольких GPU производительность зависит не только от скорости вычислений на каждом устройстве, но и от скорости обмена данными между ними: медленный обмен способен стать узким местом. Данные между GPU передаются либо без промежуточных копий, либо с копированием через оперативную память. Путь передачи определяется расположением устройств, настройками транспортного слоя и привязкой ресурсов к процессу. От выбранного пути зависит задержка, и для разных пар GPU она может заметно различаться. Неоднородность задержек между парами узлов кластера показана в [1], а в [2] предложен метод их измерения для GPU, расположенных на разных узлах. Настоящая работа продолжает этот подход и расширяет набор тестов проекта Clustbench в ветке gpu_tests [3]. Ранее на каждом узле запускался один MPI-процесс, обслуживавший все его GPU: обмен внутри узла измерялся средствами CUDA без участия MPI, а между узлами всегда шёл через оперативную память. Теперь каждому GPU соответствует отдельный MPI-процесс, поэтому любой обмен, как внутри узла, так и между узлами, измеряется через MPI, а при необходимости передачу можно принудительно вести через оперативную память.</w:t>
      </w:r>
    </w:p>
    <w:p w14:paraId="12C1D344" w14:textId="77777777">
      <w:pPr>
        <w:ind w:firstLine="680"/>
        <w:jc w:val="both"/>
      </w:pPr>
      <w:r>
        <w:rPr>
          <w:rFonts w:ascii="Times New Roman" w:hAnsi="Times New Roman" w:eastAsia="Times New Roman" w:cs="Times New Roman"/>
          <w:sz w:val="28"/>
          <w:szCs w:val="28"/>
        </w:rPr>
        <w:t>Коммуникационная среда представляется в виде графа, вершины которого соответствуют аппаратным компонентам — процессорам, GPU, сетевым адаптерам и коммутаторам, — а рёбра физическим соединениям: PCIe, NVLink, Ethernet, InfiniBand. При тестировании GPU обмениваются сообщениями — синтетически сформированными блоками данных заданного размера. Сообщение проходит по графу через последовательность вершин и рёбер, которая называется маршрутом. Множество допустимых маршрутов задаётся топологией, а фактический маршрут определяется исполняемым кодом и коммуникационным стеком. Без промежуточного копирования данные передаются внутри узла средствами GPUDirect Peer-to-Peer [4], между узлами — GPUDirect RDMA [5]. Предметом изучения служит сквозная задержка передачи сообщения между упорядоченной парой устройств.</w:t>
      </w:r>
    </w:p>
    <w:p w14:paraId="19D8C260" w14:textId="77777777">
      <w:pPr>
        <w:ind w:firstLine="680"/>
        <w:jc w:val="both"/>
      </w:pPr>
      <w:r>
        <w:rPr>
          <w:rFonts w:ascii="Times New Roman" w:hAnsi="Times New Roman" w:eastAsia="Times New Roman" w:cs="Times New Roman"/>
          <w:sz w:val="28"/>
          <w:szCs w:val="28"/>
        </w:rPr>
        <w:t>Задержка измеряется на стороне получателя таймером MPI_Wtime(): фиксируется интервал от готовности принять данные до завершения приёма. Измеренный интервал может включать ожидание начала передачи и потому является оценкой сверху. Применяются Open MPI [6] в CUDA-aware режиме и транспортный слой UCX [7]. Каждый MPI-процесс привязан к одному GPU, к ближайшему к нему по шине PCIe сетевому адаптеру и к ядрам процессора того же NUMA-домена. В среде передачи auto указатели на буферы в памяти GPU передаются непосредственно в вызовы MPI, а способ передачи данных выбирает UCX. В среде host используется промежуточный буфер в оперативной памяти. В режиме тестирования one_to_one в каждый момент времени обмен идёт только между одной парой устройств. В режиме all_to_all обмен идёт одновременно между всеми парами.</w:t>
      </w:r>
    </w:p>
    <w:p w14:paraId="087901D7" w14:textId="193560AD">
      <w:pPr>
        <w:ind w:firstLine="680"/>
        <w:jc w:val="both"/>
      </w:pPr>
      <w:r>
        <w:rPr>
          <w:rFonts w:ascii="Times New Roman" w:hAnsi="Times New Roman" w:eastAsia="Times New Roman" w:cs="Times New Roman"/>
          <w:sz w:val="28"/>
          <w:szCs w:val="28"/>
        </w:rPr>
        <w:t>Измерения выполнены на вычислительном комплексе ЦКП «Информатика» [8] с GPU NVIDIA A100. Использовались по два GPU на двух узлах xFusion G5500 V7, где GPU подключены по шине PCIe, и четыре GPU на узле xFusion G8600 V7, где они объединены коммутаторами NVSwitch. Межузловой обмен идёт через InfiniBand. Использовались Open MPI 5.0.10, UCX 1.15.0 и CUDA Toolkit 12.8. Библиотека GDRCopy, ускоряющая копирование небольших сообщений из памяти GPU, не применялась. Первые передачи в каждой серии не учитываются: так из результата исключаются возможные разовые издержки на установление соединений транспортного слоя и регистрацию буферов. В замерах внутри серии могут наблюдаться периодические всплески задержки [9], поэтому типичное значение оценивается не средним, а медианой, устойчивой к выбросам [10].</w:t>
      </w:r>
    </w:p>
    <w:p w14:paraId="25485672" w14:textId="77777777">
      <w:pPr>
        <w:ind w:firstLine="680"/>
        <w:jc w:val="both"/>
      </w:pPr>
      <w:r>
        <w:rPr>
          <w:rFonts w:ascii="Times New Roman" w:hAnsi="Times New Roman" w:eastAsia="Times New Roman" w:cs="Times New Roman"/>
          <w:sz w:val="28"/>
          <w:szCs w:val="28"/>
        </w:rPr>
        <w:t>В среде auto способ передачи выбирает UCX в зависимости от размера сообщения. Сообщения меньше порога передаются протоколом eager с копированием через оперативную память, более крупные — протоколом rendezvous без промежуточного копирования. В среде host данные в любом случае проходят через оперативную память. По умолчанию порог выбирается автоматически и различается между группами узлов: между 8 и 16 КБ на узле G8600 V7 и между 256 и 512 КБ на группе узлов G5500 V7. Ниже порога задержку ограничивает копирование, а не канал, и при переходе через порог она заметно падает. Без GDRCopy UCX копирует данные небольшими порциями, поэтому протокол eager медленнее даже среды host, где буфер копируется целиком. Чтобы протокол передачи не зависел от размера сообщения и группы узлов, основные измерения выполнены с UCX_RNDV_THRESH=0, при котором любое сообщение передаётся протоколом rendezvous.</w:t>
      </w:r>
    </w:p>
    <w:p w14:paraId="50E961B0" w14:textId="77777777">
      <w:pPr>
        <w:ind w:firstLine="680"/>
        <w:jc w:val="both"/>
      </w:pPr>
      <w:r>
        <w:rPr>
          <w:rFonts w:ascii="Times New Roman" w:hAnsi="Times New Roman" w:eastAsia="Times New Roman" w:cs="Times New Roman"/>
          <w:sz w:val="28"/>
          <w:szCs w:val="28"/>
        </w:rPr>
        <w:t>Наиболее показателен режим one_to_one (рис. 1 и 2) при сообщениях размером 16 МБ, когда задержка определяется пропускной способностью маршрута. Внутри узла G8600 V7 передача между GPU в среде auto примерно в 17 раз быстрее, чем в среде host, и достигает около 75% теоретической пропускной способности NVLink третьего поколения (300 ГБ/с в одном направлении). Задержки для всех пар GPU этого узла различаются не более чем на 2%, что согласуется с полносвязной топологией NVSwitch. На группе узлов G5500 V7 среда auto быстрее host лишь примерно в 1.5 раза, причём как для пар GPU внутри одного узла, так и для пар на разных узлах. Передача между узлами в среде auto достигает около 70% предела InfiniBand 100 Гбит/с.</w:t>
      </w:r>
    </w:p>
    <w:p w14:paraId="2F702F81" w14:textId="77777777">
      <w:pPr>
        <w:ind w:firstLine="680"/>
        <w:jc w:val="both"/>
      </w:pPr>
      <w:r>
        <w:rPr>
          <w:rFonts w:ascii="Times New Roman" w:hAnsi="Times New Roman" w:eastAsia="Times New Roman" w:cs="Times New Roman"/>
          <w:sz w:val="28"/>
          <w:szCs w:val="28"/>
        </w:rPr>
        <w:t>В режиме all_to_all задержки на обеих группах узлов и в обеих средах получились заметно больше, чем в one_to_one, из-за конкуренции передач за общие ресурсы.</w:t>
      </w:r>
    </w:p>
    <w:p w14:paraId="66FAC786" w14:textId="77777777">
      <w:pPr>
        <w:pStyle w:val="a7"/>
        <w:jc w:val="center"/>
      </w:pPr>
      <w:r>
        <w:drawing>
          <wp:inline distT="0" distB="0" distL="0" distR="0">
            <wp:extent cx="5040000" cy="2160000"/>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11"/>
                    <a:stretch>
                      <a:fillRect/>
                    </a:stretch>
                  </pic:blipFill>
                  <pic:spPr>
                    <a:xfrm>
                      <a:off x="0" y="0"/>
                      <a:ext cx="5040000" cy="2160000"/>
                    </a:xfrm>
                    <a:prstGeom prst="rect">
                      <a:avLst/>
                    </a:prstGeom>
                  </pic:spPr>
                </pic:pic>
              </a:graphicData>
            </a:graphic>
          </wp:inline>
        </w:drawing>
      </w:r>
    </w:p>
    <w:p w14:paraId="7890218A" w14:textId="77777777">
      <w:pPr>
        <w:pStyle w:val="a9"/>
        <w:jc w:val="center"/>
      </w:pPr>
      <w:r>
        <w:rPr>
          <w:rFonts w:ascii="Times New Roman" w:hAnsi="Times New Roman" w:eastAsia="MS Mincho" w:cs="Times New Roman"/>
          <w:sz w:val="28"/>
          <w:szCs w:val="28"/>
        </w:rPr>
        <w:t>Рис. 1. Медианная по парам GPU задержка в среде auto, режим one_to_one, UCX_RNDV_THRESH=0</w:t>
      </w:r>
    </w:p>
    <w:p w14:paraId="66FAC786" w14:textId="77777777">
      <w:pPr>
        <w:pStyle w:val="a7"/>
        <w:jc w:val="center"/>
      </w:pPr>
      <w:r>
        <w:drawing>
          <wp:inline xmlns:a="http://schemas.openxmlformats.org/drawingml/2006/main" xmlns:pic="http://schemas.openxmlformats.org/drawingml/2006/picture">
            <wp:extent cx="5040000" cy="2160000"/>
            <wp:docPr id="100001" name="Picture 100001"/>
            <wp:cNvGraphicFramePr>
              <a:graphicFrameLocks noChangeAspect="1"/>
            </wp:cNvGraphicFramePr>
            <a:graphic>
              <a:graphicData uri="http://schemas.openxmlformats.org/drawingml/2006/picture">
                <pic:pic>
                  <pic:nvPicPr>
                    <pic:cNvPr id="0" name="fig_latency_host_one_to_one_thresh0.png"/>
                    <pic:cNvPicPr/>
                  </pic:nvPicPr>
                  <pic:blipFill>
                    <a:blip r:embed="rId12"/>
                    <a:stretch>
                      <a:fillRect/>
                    </a:stretch>
                  </pic:blipFill>
                  <pic:spPr>
                    <a:xfrm>
                      <a:off x="0" y="0"/>
                      <a:ext cx="5040000" cy="2160000"/>
                    </a:xfrm>
                    <a:prstGeom prst="rect"/>
                  </pic:spPr>
                </pic:pic>
              </a:graphicData>
            </a:graphic>
          </wp:inline>
        </w:drawing>
      </w:r>
    </w:p>
    <w:p w14:paraId="7890218A" w14:textId="77777777">
      <w:pPr>
        <w:pStyle w:val="a9"/>
        <w:jc w:val="center"/>
      </w:pPr>
      <w:r>
        <w:rPr>
          <w:rFonts w:ascii="Times New Roman" w:hAnsi="Times New Roman" w:eastAsia="MS Mincho" w:cs="Times New Roman"/>
          <w:sz w:val="28"/>
          <w:szCs w:val="28"/>
        </w:rPr>
        <w:t>Рис. 2. Медианная по парам GPU задержка в среде host, режим one_to_one, UCX_RNDV_THRESH=0</w:t>
      </w:r>
    </w:p>
    <w:p w14:paraId="3A3910A3" w14:textId="77777777">
      <w:pPr>
        <w:pStyle w:val="af"/>
        <w:pageBreakBefore/>
        <w:jc w:val="left"/>
      </w:pPr>
      <w:r>
        <w:rPr>
          <w:rFonts w:ascii="Times New Roman" w:hAnsi="Times New Roman" w:eastAsia="Times New Roman" w:cs="Times New Roman"/>
          <w:b/>
          <w:bCs/>
          <w:sz w:val="28"/>
          <w:szCs w:val="28"/>
        </w:rPr>
        <w:t>Литература</w:t>
      </w:r>
    </w:p>
    <w:p w14:paraId="3A400406" w14:textId="77777777">
      <w:pPr>
        <w:pStyle w:val="a5"/>
        <w:jc w:val="both"/>
      </w:pPr>
      <w:r>
        <w:tab/>
      </w:r>
      <w:r>
        <w:rPr>
          <w:rFonts w:ascii="Times New Roman" w:hAnsi="Times New Roman" w:eastAsia="MS Mincho" w:cs="Times New Roman"/>
          <w:sz w:val="28"/>
          <w:szCs w:val="28"/>
        </w:rPr>
        <w:t>1.</w:t>
      </w:r>
      <w:r>
        <w:tab/>
      </w:r>
      <w:r>
        <w:rPr>
          <w:rFonts w:ascii="Times New Roman" w:hAnsi="Times New Roman" w:eastAsia="MS Mincho" w:cs="Times New Roman"/>
          <w:sz w:val="28"/>
          <w:szCs w:val="28"/>
        </w:rPr>
        <w:t>Сальников А.Н., Бегаев А.А., Майсурадзе А.И. Кластеризация задержек между узлами суперкомпьютера и визуализация полученных результатов // Современные проблемы математического моделирования, обработки изображений и параллельных вычислений 2017: труды Международной научной конференции (пос. Дивноморское, 4–11 сентября 2017 г.). — Ростов-на-Дону: ДГТУ-Принт, 2017. — Т. 1. — С. 206–215.</w:t>
      </w:r>
    </w:p>
    <w:p w14:paraId="44E7269B" w14:textId="77777777">
      <w:pPr>
        <w:pStyle w:val="a5"/>
        <w:jc w:val="both"/>
      </w:pPr>
      <w:r>
        <w:tab/>
      </w:r>
      <w:r>
        <w:rPr>
          <w:rFonts w:ascii="Times New Roman" w:hAnsi="Times New Roman" w:eastAsia="MS Mincho" w:cs="Times New Roman"/>
          <w:sz w:val="28"/>
          <w:szCs w:val="28"/>
        </w:rPr>
        <w:t>2.</w:t>
      </w:r>
      <w:r>
        <w:tab/>
      </w:r>
      <w:r>
        <w:rPr>
          <w:rFonts w:ascii="Times New Roman" w:hAnsi="Times New Roman" w:eastAsia="MS Mincho" w:cs="Times New Roman"/>
          <w:sz w:val="28"/>
          <w:szCs w:val="28"/>
        </w:rPr>
        <w:t>Бегаев А.А., Сальников А.Н. Метод измерения задержек при передаче данных между графическими процессорами, находящимися на разных узлах вычислительного кластера // Вестник Московского университета. Серия 15: Вычислительная математика и кибернетика. — 2020. — № 1. — С. 3–13.</w:t>
      </w:r>
    </w:p>
    <w:p w14:paraId="72C0ECA3" w14:textId="77777777">
      <w:pPr>
        <w:pStyle w:val="a5"/>
        <w:jc w:val="both"/>
      </w:pPr>
      <w:r>
        <w:tab/>
      </w:r>
      <w:r>
        <w:rPr>
          <w:rFonts w:ascii="Times New Roman" w:hAnsi="Times New Roman" w:eastAsia="MS Mincho" w:cs="Times New Roman"/>
          <w:sz w:val="28"/>
          <w:szCs w:val="28"/>
        </w:rPr>
        <w:t>3.</w:t>
      </w:r>
      <w:r>
        <w:tab/>
      </w:r>
      <w:r>
        <w:rPr>
          <w:rFonts w:ascii="Times New Roman" w:hAnsi="Times New Roman" w:eastAsia="MS Mincho" w:cs="Times New Roman"/>
          <w:sz w:val="28"/>
          <w:szCs w:val="28"/>
        </w:rPr>
        <w:t>Clustbench / network-tests2, ветка gpu_tests. — URL: https://github.com/clustbench/network-tests2/tree/gpu_tests (дата обращения: 20.09.2026).</w:t>
      </w:r>
    </w:p>
    <w:p w14:paraId="6E430B5E" w14:textId="77777777">
      <w:pPr>
        <w:pStyle w:val="a5"/>
        <w:jc w:val="both"/>
      </w:pPr>
      <w:r>
        <w:tab/>
      </w:r>
      <w:r>
        <w:rPr>
          <w:rFonts w:ascii="Times New Roman" w:hAnsi="Times New Roman" w:eastAsia="MS Mincho" w:cs="Times New Roman"/>
          <w:sz w:val="28"/>
          <w:szCs w:val="28"/>
        </w:rPr>
        <w:t>4.</w:t>
      </w:r>
      <w:r>
        <w:tab/>
      </w:r>
      <w:r>
        <w:rPr>
          <w:rFonts w:ascii="Times New Roman" w:hAnsi="Times New Roman" w:eastAsia="MS Mincho" w:cs="Times New Roman"/>
          <w:sz w:val="28"/>
          <w:szCs w:val="28"/>
        </w:rPr>
        <w:t>NVIDIA. CUDA C++ Programming Guide: Peer Device Memory Access. — URL: https://docs.nvidia.com/cuda/cuda-c-programming-guide/ (дата обращения: 20.09.2026).</w:t>
      </w:r>
    </w:p>
    <w:p w14:paraId="1D18138E" w14:textId="77777777">
      <w:pPr>
        <w:pStyle w:val="a5"/>
        <w:jc w:val="both"/>
      </w:pPr>
      <w:r>
        <w:tab/>
      </w:r>
      <w:r>
        <w:rPr>
          <w:rFonts w:ascii="Times New Roman" w:hAnsi="Times New Roman" w:eastAsia="MS Mincho" w:cs="Times New Roman"/>
          <w:sz w:val="28"/>
          <w:szCs w:val="28"/>
        </w:rPr>
        <w:t>5.</w:t>
      </w:r>
      <w:r>
        <w:tab/>
      </w:r>
      <w:r>
        <w:rPr>
          <w:rFonts w:ascii="Times New Roman" w:hAnsi="Times New Roman" w:eastAsia="MS Mincho" w:cs="Times New Roman"/>
          <w:sz w:val="28"/>
          <w:szCs w:val="28"/>
        </w:rPr>
        <w:t>NVIDIA. GPUDirect RDMA. — URL: https://docs.nvidia.com/cuda/gpudirect-rdma/ (дата обращения: 20.09.2026).</w:t>
      </w:r>
    </w:p>
    <w:p w14:paraId="3FB2F28C" w14:textId="77777777">
      <w:pPr>
        <w:pStyle w:val="a5"/>
        <w:jc w:val="both"/>
      </w:pPr>
      <w:r>
        <w:tab/>
      </w:r>
      <w:r>
        <w:rPr>
          <w:rFonts w:ascii="Times New Roman" w:hAnsi="Times New Roman" w:eastAsia="MS Mincho" w:cs="Times New Roman"/>
          <w:sz w:val="28"/>
          <w:szCs w:val="28"/>
        </w:rPr>
        <w:t>6.</w:t>
      </w:r>
      <w:r>
        <w:tab/>
      </w:r>
      <w:r>
        <w:rPr>
          <w:rFonts w:ascii="Times New Roman" w:hAnsi="Times New Roman" w:eastAsia="MS Mincho" w:cs="Times New Roman"/>
          <w:sz w:val="28"/>
          <w:szCs w:val="28"/>
        </w:rPr>
        <w:t>Open MPI 5.0.x Documentation: CUDA. — URL: https://docs.open-mpi.org/en/v5.0.x/tuning-apps/networking/cuda.html (дата обращения: 20.09.2026).</w:t>
      </w:r>
    </w:p>
    <w:p w14:paraId="4F0FB508" w14:textId="77777777">
      <w:pPr>
        <w:pStyle w:val="a5"/>
        <w:jc w:val="both"/>
      </w:pPr>
      <w:r>
        <w:tab/>
      </w:r>
      <w:r>
        <w:rPr>
          <w:rFonts w:ascii="Times New Roman" w:hAnsi="Times New Roman" w:eastAsia="MS Mincho" w:cs="Times New Roman"/>
          <w:sz w:val="28"/>
          <w:szCs w:val="28"/>
        </w:rPr>
        <w:t>7.</w:t>
      </w:r>
      <w:r>
        <w:tab/>
      </w:r>
      <w:r>
        <w:rPr>
          <w:rFonts w:ascii="Times New Roman" w:hAnsi="Times New Roman" w:eastAsia="MS Mincho" w:cs="Times New Roman"/>
          <w:sz w:val="28"/>
          <w:szCs w:val="28"/>
        </w:rPr>
        <w:t>Unified Communication X. — URL: https://openucx.org/ (дата обращения: 20.09.2026).</w:t>
      </w:r>
    </w:p>
    <w:p w14:paraId="28A0DB62" w14:textId="77777777">
      <w:pPr>
        <w:pStyle w:val="a5"/>
        <w:jc w:val="both"/>
      </w:pPr>
      <w:r>
        <w:tab/>
      </w:r>
      <w:r>
        <w:rPr>
          <w:rFonts w:ascii="Times New Roman" w:hAnsi="Times New Roman" w:eastAsia="MS Mincho" w:cs="Times New Roman"/>
          <w:sz w:val="28"/>
          <w:szCs w:val="28"/>
        </w:rPr>
        <w:t>8.</w:t>
      </w:r>
      <w:r>
        <w:tab/>
      </w:r>
      <w:r>
        <w:rPr>
          <w:rFonts w:ascii="Times New Roman" w:hAnsi="Times New Roman" w:eastAsia="MS Mincho" w:cs="Times New Roman"/>
          <w:sz w:val="28"/>
          <w:szCs w:val="28"/>
        </w:rPr>
        <w:t>Центр коллективного пользования «Информатика» ФИЦ ИУ РАН: Вычислительная инфраструктура. — URL: https://docs.hpc.frccsc.ru/hardware/ (дата обращения: 20.09.2026).</w:t>
      </w:r>
    </w:p>
    <w:p w14:paraId="3E0D1286" w14:textId="77777777">
      <w:pPr>
        <w:pStyle w:val="a5"/>
        <w:jc w:val="both"/>
      </w:pPr>
      <w:r>
        <w:tab/>
      </w:r>
      <w:r>
        <w:rPr>
          <w:rFonts w:ascii="Times New Roman" w:hAnsi="Times New Roman" w:eastAsia="MS Mincho" w:cs="Times New Roman"/>
          <w:sz w:val="28"/>
          <w:szCs w:val="28"/>
        </w:rPr>
        <w:t>9.</w:t>
      </w:r>
      <w:r>
        <w:tab/>
      </w:r>
      <w:r>
        <w:rPr>
          <w:rFonts w:ascii="Times New Roman" w:hAnsi="Times New Roman" w:eastAsia="MS Mincho" w:cs="Times New Roman"/>
          <w:sz w:val="28"/>
          <w:szCs w:val="28"/>
        </w:rPr>
        <w:t>Волчанинов А.П., Сальников А.Н. Исследование структуры серии измерений задержки при нагрузочном тестировании коммутационной среды вычислительного кластера // Суперкомпьютерные дни в России: Труды международной конференции (Москва, 25–26 сентября 2023 г.). — М.: МАКС Пресс, 2023. — С. 42–52.</w:t>
      </w:r>
    </w:p>
    <w:p w14:paraId="38685247" w14:textId="0B192EBE">
      <w:pPr>
        <w:pStyle w:val="a5"/>
        <w:jc w:val="both"/>
      </w:pPr>
      <w:r>
        <w:tab/>
      </w:r>
      <w:r>
        <w:rPr>
          <w:rFonts w:ascii="Times New Roman" w:hAnsi="Times New Roman" w:eastAsia="MS Mincho" w:cs="Times New Roman"/>
          <w:sz w:val="28"/>
          <w:szCs w:val="28"/>
        </w:rPr>
        <w:t>10.</w:t>
      </w:r>
      <w:r>
        <w:tab/>
      </w:r>
      <w:r>
        <w:rPr>
          <w:rFonts w:ascii="Times New Roman" w:hAnsi="Times New Roman" w:eastAsia="MS Mincho" w:cs="Times New Roman"/>
          <w:sz w:val="28"/>
          <w:szCs w:val="28"/>
        </w:rPr>
        <w:t>Hoefler T., Belli R. Scientific Benchmarking of Parallel Computing Systems: Twelve Ways to Tell the Masses when Reporting Performance Results // SC '15. — 2015. — Art. 73. — P. 1–12. — DOI: 10.1145/2807591.2807644</w:t>
      </w:r>
    </w:p>
    <w:sectPr>
      <w:footerReference w:type="default" r:id="rId7"/>
      <w:pgSz w:w="11906" w:h="16838"/>
      <w:pgMar w:top="1134" w:right="1418" w:bottom="1701" w:left="1418" w:header="720" w:footer="1077" w:gutter="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AAB33" w14:textId="77777777">
      <w:r>
        <w:separator/>
      </w:r>
    </w:p>
  </w:endnote>
  <w:endnote w:type="continuationSeparator" w:id="0">
    <w:p w14:paraId="2C7E0DF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 Sans">
    <w:charset w:val="CC"/>
    <w:family w:val="swiss"/>
    <w:pitch w:val="variable"/>
    <w:sig w:usb0="E7002EFF" w:usb1="D200FDFF" w:usb2="0A24602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7EC67381" w14:textId="77777777">
    <w:pPr>
      <w:pStyle w:val="Footer"/>
      <w:jc w:val="center"/>
    </w:pPr>
    <w:r>
      <w:fldChar w:fldCharType="begin"/>
    </w:r>
    <w:r>
      <w:instrText xml:space="preserve">PAGE   \* MERGEFORMAT</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FC0D3" w14:textId="77777777">
      <w:r>
        <w:separator/>
      </w:r>
    </w:p>
  </w:footnote>
  <w:footnote w:type="continuationSeparator" w:id="0">
    <w:p w14:paraId="5A1A2F99"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0C08F9A"/>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5"/>
    <w:lvl w:ilvl="0">
      <w:start w:val="1"/>
      <w:numFmt w:val="decimal"/>
      <w:lvlText w:val="%1."/>
      <w:lvlJc w:val="left"/>
      <w:pPr>
        <w:tabs>
          <w:tab w:val="num" w:pos="357"/>
        </w:tabs>
        <w:ind w:left="357" w:hanging="357"/>
      </w:pPr>
    </w:lvl>
  </w:abstractNum>
  <w:abstractNum w:abstractNumId="2" w15:restartNumberingAfterBreak="0">
    <w:nsid w:val="00000003"/>
    <w:multiLevelType w:val="singleLevel"/>
    <w:tmpl w:val="00000003"/>
    <w:name w:val="WW8Num197"/>
    <w:lvl w:ilvl="0">
      <w:start w:val="1"/>
      <w:numFmt w:val="decimal"/>
      <w:pStyle w:val="a"/>
      <w:lvlText w:val="%1."/>
      <w:lvlJc w:val="left"/>
      <w:pPr>
        <w:tabs>
          <w:tab w:val="num" w:pos="360"/>
        </w:tabs>
        <w:ind w:left="283" w:hanging="283"/>
      </w:pPr>
      <w:rPr>
        <w:rFonts w:ascii="Times New Roman" w:hAnsi="Times New Roman"/>
        <w:sz w:val="20"/>
      </w:rPr>
    </w:lvl>
  </w:abstractNum>
  <w:abstractNum w:abstractNumId="3" w15:restartNumberingAfterBreak="0">
    <w:nsid w:val="15701364"/>
    <w:multiLevelType w:val="hybridMultilevel"/>
    <w:tmpl w:val="D840B5EA"/>
    <w:lvl w:ilvl="0" w:tplc="8BB415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4EA2A4B"/>
    <w:multiLevelType w:val="hybridMultilevel"/>
    <w:tmpl w:val="E2485FE6"/>
    <w:lvl w:ilvl="0" w:tplc="6AB884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3B3E15"/>
    <w:multiLevelType w:val="hybridMultilevel"/>
    <w:tmpl w:val="313AFE62"/>
    <w:lvl w:ilvl="0" w:tplc="36EC4F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B25AA1"/>
    <w:multiLevelType w:val="hybridMultilevel"/>
    <w:tmpl w:val="3F4A7012"/>
    <w:lvl w:ilvl="0" w:tplc="B97076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9226D6"/>
    <w:multiLevelType w:val="hybridMultilevel"/>
    <w:tmpl w:val="3616409A"/>
    <w:lvl w:ilvl="0" w:tplc="CF1621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72299F"/>
    <w:multiLevelType w:val="hybridMultilevel"/>
    <w:tmpl w:val="C2F23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C5A5464"/>
    <w:multiLevelType w:val="hybridMultilevel"/>
    <w:tmpl w:val="A8A4268C"/>
    <w:lvl w:ilvl="0" w:tplc="BED462B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57440594">
    <w:abstractNumId w:val="0"/>
  </w:num>
  <w:num w:numId="2" w16cid:durableId="640816721">
    <w:abstractNumId w:val="1"/>
  </w:num>
  <w:num w:numId="3" w16cid:durableId="245502621">
    <w:abstractNumId w:val="2"/>
  </w:num>
  <w:num w:numId="4" w16cid:durableId="101190994">
    <w:abstractNumId w:val="9"/>
  </w:num>
  <w:num w:numId="5" w16cid:durableId="1462574585">
    <w:abstractNumId w:val="8"/>
  </w:num>
  <w:num w:numId="6" w16cid:durableId="995382138">
    <w:abstractNumId w:val="5"/>
  </w:num>
  <w:num w:numId="7" w16cid:durableId="392240920">
    <w:abstractNumId w:val="7"/>
  </w:num>
  <w:num w:numId="8" w16cid:durableId="2013100685">
    <w:abstractNumId w:val="4"/>
  </w:num>
  <w:num w:numId="9" w16cid:durableId="618223670">
    <w:abstractNumId w:val="3"/>
  </w:num>
  <w:num w:numId="10" w16cid:durableId="18268958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25C"/>
    <w:rsid w:val="00004BBB"/>
    <w:rsid w:val="00006EAE"/>
    <w:rsid w:val="00013F04"/>
    <w:rsid w:val="0002366D"/>
    <w:rsid w:val="00043D75"/>
    <w:rsid w:val="000601D6"/>
    <w:rsid w:val="00062D18"/>
    <w:rsid w:val="00083A10"/>
    <w:rsid w:val="000A5E02"/>
    <w:rsid w:val="000B0876"/>
    <w:rsid w:val="000B5EB4"/>
    <w:rsid w:val="00164CC9"/>
    <w:rsid w:val="001964DB"/>
    <w:rsid w:val="001A0022"/>
    <w:rsid w:val="001B3486"/>
    <w:rsid w:val="001E10B2"/>
    <w:rsid w:val="00216BAE"/>
    <w:rsid w:val="002433BB"/>
    <w:rsid w:val="00254057"/>
    <w:rsid w:val="0025514E"/>
    <w:rsid w:val="00274762"/>
    <w:rsid w:val="002C7219"/>
    <w:rsid w:val="002C7C93"/>
    <w:rsid w:val="002D04CB"/>
    <w:rsid w:val="00302EF4"/>
    <w:rsid w:val="00303DB4"/>
    <w:rsid w:val="003643A4"/>
    <w:rsid w:val="00371B65"/>
    <w:rsid w:val="00392B49"/>
    <w:rsid w:val="00397CE7"/>
    <w:rsid w:val="003B79D2"/>
    <w:rsid w:val="003D085C"/>
    <w:rsid w:val="003D4F37"/>
    <w:rsid w:val="00424279"/>
    <w:rsid w:val="00470ED1"/>
    <w:rsid w:val="004778C0"/>
    <w:rsid w:val="004A425C"/>
    <w:rsid w:val="004B4E42"/>
    <w:rsid w:val="004B5766"/>
    <w:rsid w:val="004C4993"/>
    <w:rsid w:val="004E0862"/>
    <w:rsid w:val="0052765F"/>
    <w:rsid w:val="00560B84"/>
    <w:rsid w:val="00561897"/>
    <w:rsid w:val="005628F0"/>
    <w:rsid w:val="00572200"/>
    <w:rsid w:val="005A6FA9"/>
    <w:rsid w:val="005F0C99"/>
    <w:rsid w:val="00617041"/>
    <w:rsid w:val="006A00DA"/>
    <w:rsid w:val="006A1488"/>
    <w:rsid w:val="006A47D8"/>
    <w:rsid w:val="006B6A7D"/>
    <w:rsid w:val="00710288"/>
    <w:rsid w:val="0071575D"/>
    <w:rsid w:val="007235BA"/>
    <w:rsid w:val="00733B10"/>
    <w:rsid w:val="00771863"/>
    <w:rsid w:val="007C4F8A"/>
    <w:rsid w:val="007F40EA"/>
    <w:rsid w:val="007F4A8F"/>
    <w:rsid w:val="00807307"/>
    <w:rsid w:val="00894EA7"/>
    <w:rsid w:val="00904029"/>
    <w:rsid w:val="009044CD"/>
    <w:rsid w:val="0090727F"/>
    <w:rsid w:val="00910783"/>
    <w:rsid w:val="009647B6"/>
    <w:rsid w:val="009748A4"/>
    <w:rsid w:val="009B64EB"/>
    <w:rsid w:val="009C4287"/>
    <w:rsid w:val="009C4798"/>
    <w:rsid w:val="009E36E4"/>
    <w:rsid w:val="00A13710"/>
    <w:rsid w:val="00A424E7"/>
    <w:rsid w:val="00A47058"/>
    <w:rsid w:val="00A51FCD"/>
    <w:rsid w:val="00A633BF"/>
    <w:rsid w:val="00A741AC"/>
    <w:rsid w:val="00A75489"/>
    <w:rsid w:val="00AA4C49"/>
    <w:rsid w:val="00AA7F30"/>
    <w:rsid w:val="00AC2473"/>
    <w:rsid w:val="00B326BE"/>
    <w:rsid w:val="00B97DED"/>
    <w:rsid w:val="00BB45FB"/>
    <w:rsid w:val="00BD1D64"/>
    <w:rsid w:val="00BF6D1F"/>
    <w:rsid w:val="00BF6FE6"/>
    <w:rsid w:val="00C125C0"/>
    <w:rsid w:val="00C21AAE"/>
    <w:rsid w:val="00CC4A58"/>
    <w:rsid w:val="00CD047A"/>
    <w:rsid w:val="00CF759E"/>
    <w:rsid w:val="00D35DE8"/>
    <w:rsid w:val="00D44297"/>
    <w:rsid w:val="00D84E08"/>
    <w:rsid w:val="00DA094D"/>
    <w:rsid w:val="00DA5785"/>
    <w:rsid w:val="00DB5893"/>
    <w:rsid w:val="00DC2228"/>
    <w:rsid w:val="00DC69AC"/>
    <w:rsid w:val="00DC79BF"/>
    <w:rsid w:val="00E42F73"/>
    <w:rsid w:val="00EA0871"/>
    <w:rsid w:val="00EA3720"/>
    <w:rsid w:val="00ED3075"/>
    <w:rsid w:val="00F026E9"/>
    <w:rsid w:val="00F206B4"/>
    <w:rsid w:val="00F3524D"/>
    <w:rsid w:val="00F56127"/>
    <w:rsid w:val="00FE174B"/>
    <w:rsid w:val="00FE2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5920E084"/>
  <w15:chartTrackingRefBased/>
  <w15:docId w15:val="{FDEF475F-4BA7-4932-B202-5BA82106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FCD"/>
    <w:pPr>
      <w:suppressAutoHyphens/>
      <w:ind w:firstLine="680"/>
      <w:jc w:val="both"/>
    </w:pPr>
    <w:rPr>
      <w:sz w:val="28"/>
      <w:lang w:eastAsia="ar-SA"/>
    </w:rPr>
  </w:style>
  <w:style w:type="paragraph" w:styleId="Heading1">
    <w:name w:val="heading 1"/>
    <w:basedOn w:val="Normal"/>
    <w:next w:val="Normal"/>
    <w:link w:val="Heading1Char"/>
    <w:qFormat/>
    <w:rsid w:val="00A75489"/>
    <w:pPr>
      <w:keepNext/>
      <w:keepLines/>
      <w:pageBreakBefore/>
      <w:numPr>
        <w:numId w:val="1"/>
      </w:numPr>
      <w:spacing w:before="960" w:after="360"/>
      <w:ind w:left="0" w:firstLine="0"/>
      <w:jc w:val="center"/>
      <w:outlineLvl w:val="0"/>
    </w:pPr>
    <w:rPr>
      <w:b/>
      <w:kern w:val="36"/>
      <w:sz w:val="40"/>
    </w:rPr>
  </w:style>
  <w:style w:type="paragraph" w:styleId="Heading2">
    <w:name w:val="heading 2"/>
    <w:basedOn w:val="Normal"/>
    <w:next w:val="BodyText"/>
    <w:pPr>
      <w:keepNext/>
      <w:numPr>
        <w:ilvl w:val="1"/>
        <w:numId w:val="1"/>
      </w:numPr>
      <w:overflowPunct w:val="0"/>
      <w:autoSpaceDE w:val="0"/>
      <w:spacing w:before="240" w:after="160"/>
      <w:textAlignment w:val="baseline"/>
      <w:outlineLvl w:val="1"/>
    </w:pPr>
    <w:rPr>
      <w:b/>
      <w:sz w:val="32"/>
      <w:lang w:val="en-US"/>
    </w:rPr>
  </w:style>
  <w:style w:type="paragraph" w:styleId="Heading3">
    <w:name w:val="heading 3"/>
    <w:basedOn w:val="Normal"/>
    <w:next w:val="BodyText"/>
    <w:pPr>
      <w:keepNext/>
      <w:keepLines/>
      <w:numPr>
        <w:ilvl w:val="2"/>
        <w:numId w:val="1"/>
      </w:numPr>
      <w:overflowPunct w:val="0"/>
      <w:autoSpaceDE w:val="0"/>
      <w:spacing w:before="200" w:after="120"/>
      <w:textAlignment w:val="baseline"/>
      <w:outlineLvl w:val="2"/>
    </w:pPr>
    <w:rPr>
      <w:b/>
    </w:rPr>
  </w:style>
  <w:style w:type="paragraph" w:styleId="Heading4">
    <w:name w:val="heading 4"/>
    <w:basedOn w:val="Normal"/>
    <w:next w:val="BodyText"/>
    <w:pPr>
      <w:keepNext/>
      <w:keepLines/>
      <w:numPr>
        <w:ilvl w:val="3"/>
        <w:numId w:val="1"/>
      </w:numPr>
      <w:overflowPunct w:val="0"/>
      <w:autoSpaceDE w:val="0"/>
      <w:spacing w:before="160" w:after="80"/>
      <w:textAlignment w:val="baseline"/>
      <w:outlineLvl w:val="3"/>
    </w:pPr>
    <w:rPr>
      <w:b/>
      <w:sz w:val="24"/>
    </w:rPr>
  </w:style>
  <w:style w:type="paragraph" w:styleId="Heading5">
    <w:name w:val="heading 5"/>
    <w:basedOn w:val="Normal"/>
    <w:next w:val="Normal"/>
    <w:pPr>
      <w:numPr>
        <w:ilvl w:val="4"/>
        <w:numId w:val="1"/>
      </w:numPr>
      <w:overflowPunct w:val="0"/>
      <w:autoSpaceDE w:val="0"/>
      <w:spacing w:after="80"/>
      <w:textAlignment w:val="baseline"/>
      <w:outlineLvl w:val="4"/>
    </w:pPr>
    <w:rPr>
      <w:b/>
      <w:sz w:val="22"/>
    </w:rPr>
  </w:style>
  <w:style w:type="paragraph" w:styleId="Heading6">
    <w:name w:val="heading 6"/>
    <w:basedOn w:val="Normal"/>
    <w:next w:val="Normal"/>
    <w:pPr>
      <w:keepNext/>
      <w:numPr>
        <w:ilvl w:val="5"/>
        <w:numId w:val="1"/>
      </w:numPr>
      <w:ind w:left="0" w:firstLine="0"/>
      <w:jc w:val="center"/>
      <w:outlineLvl w:val="5"/>
    </w:pPr>
  </w:style>
  <w:style w:type="paragraph" w:styleId="Heading7">
    <w:name w:val="heading 7"/>
    <w:basedOn w:val="Normal"/>
    <w:next w:val="Normal"/>
    <w:pPr>
      <w:keepNext/>
      <w:numPr>
        <w:ilvl w:val="6"/>
        <w:numId w:val="1"/>
      </w:numPr>
      <w:outlineLvl w:val="6"/>
    </w:pPr>
    <w:rPr>
      <w:rFonts w:eastAsia="MS Mincho"/>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7z0">
    <w:name w:val="WW8Num7z0"/>
    <w:rPr>
      <w:rFonts w:ascii="Times New Roman" w:hAnsi="Times New Roman" w:cs="Times New Roman"/>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Times New Roman"/>
    </w:rPr>
  </w:style>
  <w:style w:type="character" w:customStyle="1" w:styleId="WW8Num7z3">
    <w:name w:val="WW8Num7z3"/>
    <w:rPr>
      <w:rFonts w:ascii="Symbol" w:hAnsi="Symbol" w:cs="Times New Roman"/>
    </w:rPr>
  </w:style>
  <w:style w:type="character" w:customStyle="1" w:styleId="WW8Num8z0">
    <w:name w:val="WW8Num8z0"/>
    <w:rPr>
      <w:rFonts w:ascii="Symbol" w:hAnsi="Symbol"/>
    </w:rPr>
  </w:style>
  <w:style w:type="character" w:customStyle="1" w:styleId="WW8Num9z0">
    <w:name w:val="WW8Num9z0"/>
    <w:rPr>
      <w:rFonts w:ascii="Wingdings" w:hAnsi="Wingdings" w:cs="Times New Roman"/>
    </w:rPr>
  </w:style>
  <w:style w:type="character" w:customStyle="1" w:styleId="WW8Num11z0">
    <w:name w:val="WW8Num11z0"/>
    <w:rPr>
      <w:rFonts w:ascii="Symbol" w:hAnsi="Symbol"/>
    </w:rPr>
  </w:style>
  <w:style w:type="character" w:customStyle="1" w:styleId="WW8Num17z0">
    <w:name w:val="WW8Num17z0"/>
    <w:rPr>
      <w:rFonts w:ascii="Symbol" w:hAnsi="Symbol" w:cs="Times New Roman"/>
    </w:rPr>
  </w:style>
  <w:style w:type="character" w:customStyle="1" w:styleId="WW8Num18z0">
    <w:name w:val="WW8Num18z0"/>
    <w:rPr>
      <w:rFonts w:ascii="Times New Roman" w:hAnsi="Times New Roman"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Times New Roman"/>
    </w:rPr>
  </w:style>
  <w:style w:type="character" w:customStyle="1" w:styleId="WW8Num18z3">
    <w:name w:val="WW8Num18z3"/>
    <w:rPr>
      <w:rFonts w:ascii="Symbol" w:hAnsi="Symbol" w:cs="Times New Roman"/>
    </w:rPr>
  </w:style>
  <w:style w:type="character" w:customStyle="1" w:styleId="WW8Num20z0">
    <w:name w:val="WW8Num20z0"/>
    <w:rPr>
      <w:rFonts w:ascii="Symbol" w:hAnsi="Symbol"/>
    </w:rPr>
  </w:style>
  <w:style w:type="character" w:customStyle="1" w:styleId="WW8Num26z0">
    <w:name w:val="WW8Num26z0"/>
    <w:rPr>
      <w:rFonts w:ascii="Symbol" w:hAnsi="Symbol"/>
    </w:rPr>
  </w:style>
  <w:style w:type="character" w:customStyle="1" w:styleId="WW8Num26z1">
    <w:name w:val="WW8Num26z1"/>
    <w:rPr>
      <w:rFonts w:ascii="Times New Roman" w:eastAsia="MS Mincho" w:hAnsi="Times New Roman" w:cs="Times New Roman"/>
    </w:rPr>
  </w:style>
  <w:style w:type="character" w:customStyle="1" w:styleId="WW8Num26z2">
    <w:name w:val="WW8Num26z2"/>
    <w:rPr>
      <w:rFonts w:ascii="Wingdings" w:hAnsi="Wingdings"/>
    </w:rPr>
  </w:style>
  <w:style w:type="character" w:customStyle="1" w:styleId="WW8Num26z4">
    <w:name w:val="WW8Num26z4"/>
    <w:rPr>
      <w:rFonts w:ascii="Courier New" w:hAnsi="Courier New"/>
    </w:rPr>
  </w:style>
  <w:style w:type="character" w:customStyle="1" w:styleId="WW8Num28z0">
    <w:name w:val="WW8Num28z0"/>
    <w:rPr>
      <w:rFonts w:ascii="Symbol" w:hAnsi="Symbol"/>
    </w:rPr>
  </w:style>
  <w:style w:type="character" w:customStyle="1" w:styleId="WW8Num29z0">
    <w:name w:val="WW8Num29z0"/>
    <w:rPr>
      <w:rFonts w:ascii="Symbol" w:hAnsi="Symbol" w:cs="Times New Roman"/>
    </w:rPr>
  </w:style>
  <w:style w:type="character" w:customStyle="1" w:styleId="WW8Num30z0">
    <w:name w:val="WW8Num30z0"/>
    <w:rPr>
      <w:rFonts w:ascii="Wingdings" w:hAnsi="Wingdings" w:cs="Times New Roman"/>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6z0">
    <w:name w:val="WW8Num36z0"/>
    <w:rPr>
      <w:rFonts w:ascii="Symbol" w:hAnsi="Symbol" w:cs="Times New Roman"/>
    </w:rPr>
  </w:style>
  <w:style w:type="character" w:customStyle="1" w:styleId="WW8Num44z0">
    <w:name w:val="WW8Num44z0"/>
    <w:rPr>
      <w:rFonts w:ascii="Symbol" w:hAnsi="Symbol"/>
    </w:rPr>
  </w:style>
  <w:style w:type="character" w:customStyle="1" w:styleId="WW8Num52z0">
    <w:name w:val="WW8Num52z0"/>
    <w:rPr>
      <w:rFonts w:ascii="Wingdings" w:hAnsi="Wingdings" w:cs="Times New Roman"/>
    </w:rPr>
  </w:style>
  <w:style w:type="character" w:customStyle="1" w:styleId="WW8Num55z0">
    <w:name w:val="WW8Num55z0"/>
    <w:rPr>
      <w:rFonts w:ascii="Symbol" w:hAnsi="Symbol"/>
    </w:rPr>
  </w:style>
  <w:style w:type="character" w:customStyle="1" w:styleId="WW8Num59z0">
    <w:name w:val="WW8Num59z0"/>
    <w:rPr>
      <w:rFonts w:ascii="Symbol" w:hAnsi="Symbol"/>
    </w:rPr>
  </w:style>
  <w:style w:type="character" w:customStyle="1" w:styleId="WW8Num59z1">
    <w:name w:val="WW8Num59z1"/>
    <w:rPr>
      <w:rFonts w:ascii="Courier New" w:hAnsi="Courier New"/>
    </w:rPr>
  </w:style>
  <w:style w:type="character" w:customStyle="1" w:styleId="WW8Num59z2">
    <w:name w:val="WW8Num59z2"/>
    <w:rPr>
      <w:rFonts w:ascii="Wingdings" w:hAnsi="Wingdings"/>
    </w:rPr>
  </w:style>
  <w:style w:type="character" w:customStyle="1" w:styleId="WW8Num63z0">
    <w:name w:val="WW8Num63z0"/>
    <w:rPr>
      <w:rFonts w:ascii="Symbol" w:hAnsi="Symbol" w:cs="Times New Roman"/>
    </w:rPr>
  </w:style>
  <w:style w:type="character" w:customStyle="1" w:styleId="WW8Num67z0">
    <w:name w:val="WW8Num67z0"/>
    <w:rPr>
      <w:rFonts w:ascii="Symbol" w:hAnsi="Symbol"/>
    </w:rPr>
  </w:style>
  <w:style w:type="character" w:customStyle="1" w:styleId="WW8Num67z1">
    <w:name w:val="WW8Num67z1"/>
    <w:rPr>
      <w:rFonts w:ascii="Times New Roman" w:eastAsia="MS Mincho" w:hAnsi="Times New Roman" w:cs="Times New Roman"/>
    </w:rPr>
  </w:style>
  <w:style w:type="character" w:customStyle="1" w:styleId="WW8Num67z2">
    <w:name w:val="WW8Num67z2"/>
    <w:rPr>
      <w:rFonts w:ascii="Wingdings" w:hAnsi="Wingdings"/>
    </w:rPr>
  </w:style>
  <w:style w:type="character" w:customStyle="1" w:styleId="WW8Num67z4">
    <w:name w:val="WW8Num67z4"/>
    <w:rPr>
      <w:rFonts w:ascii="Courier New" w:hAnsi="Courier New"/>
    </w:rPr>
  </w:style>
  <w:style w:type="character" w:customStyle="1" w:styleId="WW8Num68z0">
    <w:name w:val="WW8Num68z0"/>
    <w:rPr>
      <w:rFonts w:ascii="Symbol" w:hAnsi="Symbol" w:cs="Times New Roman"/>
    </w:rPr>
  </w:style>
  <w:style w:type="character" w:customStyle="1" w:styleId="WW8Num73z0">
    <w:name w:val="WW8Num73z0"/>
    <w:rPr>
      <w:rFonts w:ascii="Symbol" w:hAnsi="Symbol"/>
    </w:rPr>
  </w:style>
  <w:style w:type="character" w:customStyle="1" w:styleId="WW8Num73z1">
    <w:name w:val="WW8Num73z1"/>
    <w:rPr>
      <w:rFonts w:ascii="Courier New" w:hAnsi="Courier New"/>
    </w:rPr>
  </w:style>
  <w:style w:type="character" w:customStyle="1" w:styleId="WW8Num73z2">
    <w:name w:val="WW8Num73z2"/>
    <w:rPr>
      <w:rFonts w:ascii="Wingdings" w:hAnsi="Wingdings"/>
    </w:rPr>
  </w:style>
  <w:style w:type="character" w:customStyle="1" w:styleId="WW8Num74z0">
    <w:name w:val="WW8Num74z0"/>
    <w:rPr>
      <w:rFonts w:ascii="Symbol" w:hAnsi="Symbol"/>
    </w:rPr>
  </w:style>
  <w:style w:type="character" w:customStyle="1" w:styleId="WW8Num74z1">
    <w:name w:val="WW8Num74z1"/>
    <w:rPr>
      <w:rFonts w:ascii="Courier New" w:hAnsi="Courier New"/>
    </w:rPr>
  </w:style>
  <w:style w:type="character" w:customStyle="1" w:styleId="WW8Num74z2">
    <w:name w:val="WW8Num74z2"/>
    <w:rPr>
      <w:rFonts w:ascii="Wingdings" w:hAnsi="Wingdings"/>
    </w:rPr>
  </w:style>
  <w:style w:type="character" w:customStyle="1" w:styleId="WW8Num76z0">
    <w:name w:val="WW8Num76z0"/>
    <w:rPr>
      <w:rFonts w:ascii="Symbol" w:hAnsi="Symbol"/>
    </w:rPr>
  </w:style>
  <w:style w:type="character" w:customStyle="1" w:styleId="WW8Num76z1">
    <w:name w:val="WW8Num76z1"/>
    <w:rPr>
      <w:rFonts w:ascii="Courier New" w:hAnsi="Courier New"/>
    </w:rPr>
  </w:style>
  <w:style w:type="character" w:customStyle="1" w:styleId="WW8Num76z2">
    <w:name w:val="WW8Num76z2"/>
    <w:rPr>
      <w:rFonts w:ascii="Wingdings" w:hAnsi="Wingdings"/>
    </w:rPr>
  </w:style>
  <w:style w:type="character" w:customStyle="1" w:styleId="WW8Num77z0">
    <w:name w:val="WW8Num77z0"/>
    <w:rPr>
      <w:rFonts w:ascii="Symbol" w:hAnsi="Symbol" w:cs="Times New Roman"/>
    </w:rPr>
  </w:style>
  <w:style w:type="character" w:customStyle="1" w:styleId="WW8Num77z1">
    <w:name w:val="WW8Num77z1"/>
    <w:rPr>
      <w:rFonts w:ascii="Courier New" w:hAnsi="Courier New" w:cs="Courier New"/>
    </w:rPr>
  </w:style>
  <w:style w:type="character" w:customStyle="1" w:styleId="WW8Num77z2">
    <w:name w:val="WW8Num77z2"/>
    <w:rPr>
      <w:rFonts w:ascii="Wingdings" w:hAnsi="Wingdings" w:cs="Times New Roman"/>
    </w:rPr>
  </w:style>
  <w:style w:type="character" w:customStyle="1" w:styleId="WW8Num83z0">
    <w:name w:val="WW8Num83z0"/>
    <w:rPr>
      <w:rFonts w:ascii="Wingdings" w:hAnsi="Wingdings" w:cs="Times New Roman"/>
    </w:rPr>
  </w:style>
  <w:style w:type="character" w:customStyle="1" w:styleId="WW8Num85z0">
    <w:name w:val="WW8Num85z0"/>
    <w:rPr>
      <w:rFonts w:ascii="Symbol" w:hAnsi="Symbol" w:cs="Times New Roman"/>
    </w:rPr>
  </w:style>
  <w:style w:type="character" w:customStyle="1" w:styleId="WW8Num87z0">
    <w:name w:val="WW8Num87z0"/>
    <w:rPr>
      <w:rFonts w:ascii="Wingdings" w:hAnsi="Wingdings"/>
    </w:rPr>
  </w:style>
  <w:style w:type="character" w:customStyle="1" w:styleId="WW8Num87z1">
    <w:name w:val="WW8Num87z1"/>
    <w:rPr>
      <w:rFonts w:ascii="Courier New" w:hAnsi="Courier New"/>
    </w:rPr>
  </w:style>
  <w:style w:type="character" w:customStyle="1" w:styleId="WW8Num87z3">
    <w:name w:val="WW8Num87z3"/>
    <w:rPr>
      <w:rFonts w:ascii="Symbol" w:hAnsi="Symbol"/>
    </w:rPr>
  </w:style>
  <w:style w:type="character" w:customStyle="1" w:styleId="WW8Num88z0">
    <w:name w:val="WW8Num88z0"/>
    <w:rPr>
      <w:rFonts w:ascii="Symbol" w:hAnsi="Symbol" w:cs="Times New Roman"/>
    </w:rPr>
  </w:style>
  <w:style w:type="character" w:customStyle="1" w:styleId="WW8Num89z0">
    <w:name w:val="WW8Num89z0"/>
    <w:rPr>
      <w:rFonts w:ascii="Symbol" w:hAnsi="Symbol"/>
    </w:rPr>
  </w:style>
  <w:style w:type="character" w:customStyle="1" w:styleId="WW8Num89z1">
    <w:name w:val="WW8Num89z1"/>
    <w:rPr>
      <w:rFonts w:ascii="Courier New" w:hAnsi="Courier New"/>
    </w:rPr>
  </w:style>
  <w:style w:type="character" w:customStyle="1" w:styleId="WW8Num89z2">
    <w:name w:val="WW8Num89z2"/>
    <w:rPr>
      <w:rFonts w:ascii="Wingdings" w:hAnsi="Wingdings"/>
    </w:rPr>
  </w:style>
  <w:style w:type="character" w:customStyle="1" w:styleId="WW8Num90z0">
    <w:name w:val="WW8Num90z0"/>
    <w:rPr>
      <w:rFonts w:ascii="Symbol" w:hAnsi="Symbol"/>
    </w:rPr>
  </w:style>
  <w:style w:type="character" w:customStyle="1" w:styleId="WW8Num90z1">
    <w:name w:val="WW8Num90z1"/>
    <w:rPr>
      <w:rFonts w:ascii="Courier New" w:hAnsi="Courier New"/>
    </w:rPr>
  </w:style>
  <w:style w:type="character" w:customStyle="1" w:styleId="WW8Num90z2">
    <w:name w:val="WW8Num90z2"/>
    <w:rPr>
      <w:rFonts w:ascii="Wingdings" w:hAnsi="Wingdings"/>
    </w:rPr>
  </w:style>
  <w:style w:type="character" w:customStyle="1" w:styleId="WW8Num93z0">
    <w:name w:val="WW8Num93z0"/>
    <w:rPr>
      <w:rFonts w:ascii="Symbol" w:hAnsi="Symbol"/>
    </w:rPr>
  </w:style>
  <w:style w:type="character" w:customStyle="1" w:styleId="WW8Num95z0">
    <w:name w:val="WW8Num95z0"/>
    <w:rPr>
      <w:rFonts w:ascii="Symbol" w:hAnsi="Symbol" w:cs="Times New Roman"/>
    </w:rPr>
  </w:style>
  <w:style w:type="character" w:customStyle="1" w:styleId="WW8Num96z0">
    <w:name w:val="WW8Num96z0"/>
    <w:rPr>
      <w:rFonts w:ascii="Symbol" w:hAnsi="Symbol"/>
    </w:rPr>
  </w:style>
  <w:style w:type="character" w:customStyle="1" w:styleId="WW8Num96z1">
    <w:name w:val="WW8Num96z1"/>
    <w:rPr>
      <w:rFonts w:ascii="Courier New" w:hAnsi="Courier New"/>
    </w:rPr>
  </w:style>
  <w:style w:type="character" w:customStyle="1" w:styleId="WW8Num96z2">
    <w:name w:val="WW8Num96z2"/>
    <w:rPr>
      <w:rFonts w:ascii="Wingdings" w:hAnsi="Wingdings"/>
    </w:rPr>
  </w:style>
  <w:style w:type="character" w:customStyle="1" w:styleId="WW8Num99z0">
    <w:name w:val="WW8Num99z0"/>
    <w:rPr>
      <w:rFonts w:ascii="Symbol" w:hAnsi="Symbol" w:cs="Times New Roman"/>
    </w:rPr>
  </w:style>
  <w:style w:type="character" w:customStyle="1" w:styleId="WW8Num102z0">
    <w:name w:val="WW8Num102z0"/>
    <w:rPr>
      <w:rFonts w:ascii="Symbol" w:hAnsi="Symbol"/>
    </w:rPr>
  </w:style>
  <w:style w:type="character" w:customStyle="1" w:styleId="WW8Num103z0">
    <w:name w:val="WW8Num103z0"/>
    <w:rPr>
      <w:rFonts w:ascii="Symbol" w:hAnsi="Symbol"/>
    </w:rPr>
  </w:style>
  <w:style w:type="character" w:customStyle="1" w:styleId="WW8Num107z0">
    <w:name w:val="WW8Num107z0"/>
    <w:rPr>
      <w:rFonts w:ascii="Symbol" w:hAnsi="Symbol"/>
    </w:rPr>
  </w:style>
  <w:style w:type="character" w:customStyle="1" w:styleId="WW8Num107z1">
    <w:name w:val="WW8Num107z1"/>
    <w:rPr>
      <w:rFonts w:ascii="Courier New" w:hAnsi="Courier New"/>
    </w:rPr>
  </w:style>
  <w:style w:type="character" w:customStyle="1" w:styleId="WW8Num107z2">
    <w:name w:val="WW8Num107z2"/>
    <w:rPr>
      <w:rFonts w:ascii="Wingdings" w:hAnsi="Wingdings"/>
    </w:rPr>
  </w:style>
  <w:style w:type="character" w:customStyle="1" w:styleId="WW8Num112z0">
    <w:name w:val="WW8Num112z0"/>
    <w:rPr>
      <w:rFonts w:ascii="Symbol" w:hAnsi="Symbol"/>
    </w:rPr>
  </w:style>
  <w:style w:type="character" w:customStyle="1" w:styleId="WW8Num114z0">
    <w:name w:val="WW8Num114z0"/>
    <w:rPr>
      <w:rFonts w:ascii="Symbol" w:hAnsi="Symbol"/>
    </w:rPr>
  </w:style>
  <w:style w:type="character" w:customStyle="1" w:styleId="WW8Num114z1">
    <w:name w:val="WW8Num114z1"/>
    <w:rPr>
      <w:rFonts w:ascii="Times New Roman" w:eastAsia="MS Mincho" w:hAnsi="Times New Roman" w:cs="Times New Roman"/>
    </w:rPr>
  </w:style>
  <w:style w:type="character" w:customStyle="1" w:styleId="WW8Num114z2">
    <w:name w:val="WW8Num114z2"/>
    <w:rPr>
      <w:rFonts w:ascii="Wingdings" w:hAnsi="Wingdings"/>
    </w:rPr>
  </w:style>
  <w:style w:type="character" w:customStyle="1" w:styleId="WW8Num114z4">
    <w:name w:val="WW8Num114z4"/>
    <w:rPr>
      <w:rFonts w:ascii="Courier New" w:hAnsi="Courier New"/>
    </w:rPr>
  </w:style>
  <w:style w:type="character" w:customStyle="1" w:styleId="WW8Num115z0">
    <w:name w:val="WW8Num115z0"/>
    <w:rPr>
      <w:rFonts w:ascii="Symbol" w:hAnsi="Symbol" w:cs="Times New Roman"/>
    </w:rPr>
  </w:style>
  <w:style w:type="character" w:customStyle="1" w:styleId="WW8Num117z0">
    <w:name w:val="WW8Num117z0"/>
    <w:rPr>
      <w:rFonts w:ascii="Symbol" w:hAnsi="Symbol"/>
    </w:rPr>
  </w:style>
  <w:style w:type="character" w:customStyle="1" w:styleId="WW8Num117z1">
    <w:name w:val="WW8Num117z1"/>
    <w:rPr>
      <w:rFonts w:ascii="Times New Roman" w:eastAsia="MS Mincho" w:hAnsi="Times New Roman" w:cs="Times New Roman"/>
    </w:rPr>
  </w:style>
  <w:style w:type="character" w:customStyle="1" w:styleId="WW8Num117z2">
    <w:name w:val="WW8Num117z2"/>
    <w:rPr>
      <w:rFonts w:ascii="Wingdings" w:hAnsi="Wingdings"/>
    </w:rPr>
  </w:style>
  <w:style w:type="character" w:customStyle="1" w:styleId="WW8Num117z4">
    <w:name w:val="WW8Num117z4"/>
    <w:rPr>
      <w:rFonts w:ascii="Courier New" w:hAnsi="Courier New"/>
    </w:rPr>
  </w:style>
  <w:style w:type="character" w:customStyle="1" w:styleId="WW8Num119z0">
    <w:name w:val="WW8Num119z0"/>
    <w:rPr>
      <w:rFonts w:ascii="Symbol" w:hAnsi="Symbol"/>
    </w:rPr>
  </w:style>
  <w:style w:type="character" w:customStyle="1" w:styleId="WW8Num119z1">
    <w:name w:val="WW8Num119z1"/>
    <w:rPr>
      <w:rFonts w:ascii="Times New Roman" w:eastAsia="MS Mincho" w:hAnsi="Times New Roman" w:cs="Times New Roman"/>
    </w:rPr>
  </w:style>
  <w:style w:type="character" w:customStyle="1" w:styleId="WW8Num119z2">
    <w:name w:val="WW8Num119z2"/>
    <w:rPr>
      <w:rFonts w:ascii="Wingdings" w:hAnsi="Wingdings"/>
    </w:rPr>
  </w:style>
  <w:style w:type="character" w:customStyle="1" w:styleId="WW8Num119z4">
    <w:name w:val="WW8Num119z4"/>
    <w:rPr>
      <w:rFonts w:ascii="Courier New" w:hAnsi="Courier New"/>
    </w:rPr>
  </w:style>
  <w:style w:type="character" w:customStyle="1" w:styleId="WW8Num124z0">
    <w:name w:val="WW8Num124z0"/>
    <w:rPr>
      <w:rFonts w:ascii="Symbol" w:hAnsi="Symbol" w:cs="Times New Roman"/>
    </w:rPr>
  </w:style>
  <w:style w:type="character" w:customStyle="1" w:styleId="WW8Num125z1">
    <w:name w:val="WW8Num125z1"/>
    <w:rPr>
      <w:rFonts w:ascii="Courier New" w:hAnsi="Courier New" w:cs="Courier New"/>
    </w:rPr>
  </w:style>
  <w:style w:type="character" w:customStyle="1" w:styleId="WW8Num125z2">
    <w:name w:val="WW8Num125z2"/>
    <w:rPr>
      <w:rFonts w:ascii="Wingdings" w:hAnsi="Wingdings" w:cs="Times New Roman"/>
    </w:rPr>
  </w:style>
  <w:style w:type="character" w:customStyle="1" w:styleId="WW8Num125z3">
    <w:name w:val="WW8Num125z3"/>
    <w:rPr>
      <w:rFonts w:ascii="Symbol" w:hAnsi="Symbol" w:cs="Times New Roman"/>
    </w:rPr>
  </w:style>
  <w:style w:type="character" w:customStyle="1" w:styleId="WW8Num126z0">
    <w:name w:val="WW8Num126z0"/>
    <w:rPr>
      <w:rFonts w:ascii="Symbol" w:hAnsi="Symbol"/>
    </w:rPr>
  </w:style>
  <w:style w:type="character" w:customStyle="1" w:styleId="WW8Num126z1">
    <w:name w:val="WW8Num126z1"/>
    <w:rPr>
      <w:rFonts w:ascii="Times New Roman" w:eastAsia="MS Mincho" w:hAnsi="Times New Roman" w:cs="Times New Roman"/>
    </w:rPr>
  </w:style>
  <w:style w:type="character" w:customStyle="1" w:styleId="WW8Num126z2">
    <w:name w:val="WW8Num126z2"/>
    <w:rPr>
      <w:rFonts w:ascii="Wingdings" w:hAnsi="Wingdings"/>
    </w:rPr>
  </w:style>
  <w:style w:type="character" w:customStyle="1" w:styleId="WW8Num126z4">
    <w:name w:val="WW8Num126z4"/>
    <w:rPr>
      <w:rFonts w:ascii="Courier New" w:hAnsi="Courier New"/>
    </w:rPr>
  </w:style>
  <w:style w:type="character" w:customStyle="1" w:styleId="WW8Num129z0">
    <w:name w:val="WW8Num129z0"/>
    <w:rPr>
      <w:rFonts w:ascii="Symbol" w:hAnsi="Symbol" w:cs="Times New Roman"/>
    </w:rPr>
  </w:style>
  <w:style w:type="character" w:customStyle="1" w:styleId="WW8Num133z0">
    <w:name w:val="WW8Num133z0"/>
    <w:rPr>
      <w:rFonts w:ascii="Symbol" w:hAnsi="Symbol"/>
    </w:rPr>
  </w:style>
  <w:style w:type="character" w:customStyle="1" w:styleId="WW8Num134z0">
    <w:name w:val="WW8Num134z0"/>
    <w:rPr>
      <w:rFonts w:ascii="Symbol" w:hAnsi="Symbol"/>
    </w:rPr>
  </w:style>
  <w:style w:type="character" w:customStyle="1" w:styleId="WW8Num134z1">
    <w:name w:val="WW8Num134z1"/>
    <w:rPr>
      <w:rFonts w:ascii="Courier New" w:hAnsi="Courier New"/>
    </w:rPr>
  </w:style>
  <w:style w:type="character" w:customStyle="1" w:styleId="WW8Num134z2">
    <w:name w:val="WW8Num134z2"/>
    <w:rPr>
      <w:rFonts w:ascii="Wingdings" w:hAnsi="Wingdings"/>
    </w:rPr>
  </w:style>
  <w:style w:type="character" w:customStyle="1" w:styleId="WW8Num135z0">
    <w:name w:val="WW8Num135z0"/>
    <w:rPr>
      <w:rFonts w:ascii="Symbol" w:hAnsi="Symbol" w:cs="Times New Roman"/>
    </w:rPr>
  </w:style>
  <w:style w:type="character" w:customStyle="1" w:styleId="WW8Num138z0">
    <w:name w:val="WW8Num138z0"/>
    <w:rPr>
      <w:rFonts w:ascii="Symbol" w:hAnsi="Symbol"/>
    </w:rPr>
  </w:style>
  <w:style w:type="character" w:customStyle="1" w:styleId="WW8Num138z1">
    <w:name w:val="WW8Num138z1"/>
    <w:rPr>
      <w:rFonts w:ascii="Courier New" w:hAnsi="Courier New"/>
    </w:rPr>
  </w:style>
  <w:style w:type="character" w:customStyle="1" w:styleId="WW8Num138z2">
    <w:name w:val="WW8Num138z2"/>
    <w:rPr>
      <w:rFonts w:ascii="Wingdings" w:hAnsi="Wingdings"/>
    </w:rPr>
  </w:style>
  <w:style w:type="character" w:customStyle="1" w:styleId="WW8Num141z0">
    <w:name w:val="WW8Num141z0"/>
    <w:rPr>
      <w:rFonts w:ascii="Symbol" w:hAnsi="Symbol"/>
    </w:rPr>
  </w:style>
  <w:style w:type="character" w:customStyle="1" w:styleId="WW8Num142z0">
    <w:name w:val="WW8Num142z0"/>
    <w:rPr>
      <w:rFonts w:ascii="Symbol" w:hAnsi="Symbol" w:cs="Times New Roman"/>
    </w:rPr>
  </w:style>
  <w:style w:type="character" w:customStyle="1" w:styleId="WW8Num143z0">
    <w:name w:val="WW8Num143z0"/>
    <w:rPr>
      <w:rFonts w:ascii="Symbol" w:hAnsi="Symbol"/>
    </w:rPr>
  </w:style>
  <w:style w:type="character" w:customStyle="1" w:styleId="WW8Num144z0">
    <w:name w:val="WW8Num144z0"/>
    <w:rPr>
      <w:rFonts w:ascii="Symbol" w:hAnsi="Symbol"/>
    </w:rPr>
  </w:style>
  <w:style w:type="character" w:customStyle="1" w:styleId="WW8Num154z0">
    <w:name w:val="WW8Num154z0"/>
    <w:rPr>
      <w:rFonts w:ascii="Symbol" w:hAnsi="Symbol"/>
    </w:rPr>
  </w:style>
  <w:style w:type="character" w:customStyle="1" w:styleId="WW8Num166z0">
    <w:name w:val="WW8Num166z0"/>
    <w:rPr>
      <w:rFonts w:ascii="Symbol" w:hAnsi="Symbol"/>
    </w:rPr>
  </w:style>
  <w:style w:type="character" w:customStyle="1" w:styleId="WW8Num167z0">
    <w:name w:val="WW8Num167z0"/>
    <w:rPr>
      <w:rFonts w:ascii="Symbol" w:hAnsi="Symbol"/>
    </w:rPr>
  </w:style>
  <w:style w:type="character" w:customStyle="1" w:styleId="WW8Num172z0">
    <w:name w:val="WW8Num172z0"/>
    <w:rPr>
      <w:rFonts w:ascii="Symbol" w:hAnsi="Symbol"/>
    </w:rPr>
  </w:style>
  <w:style w:type="character" w:customStyle="1" w:styleId="WW8Num172z1">
    <w:name w:val="WW8Num172z1"/>
    <w:rPr>
      <w:rFonts w:ascii="Courier New" w:hAnsi="Courier New"/>
    </w:rPr>
  </w:style>
  <w:style w:type="character" w:customStyle="1" w:styleId="WW8Num172z2">
    <w:name w:val="WW8Num172z2"/>
    <w:rPr>
      <w:rFonts w:ascii="Wingdings" w:hAnsi="Wingdings"/>
    </w:rPr>
  </w:style>
  <w:style w:type="character" w:customStyle="1" w:styleId="WW8Num174z0">
    <w:name w:val="WW8Num174z0"/>
    <w:rPr>
      <w:rFonts w:ascii="Symbol" w:hAnsi="Symbol" w:cs="Times New Roman"/>
    </w:rPr>
  </w:style>
  <w:style w:type="character" w:customStyle="1" w:styleId="WW8Num175z0">
    <w:name w:val="WW8Num175z0"/>
    <w:rPr>
      <w:rFonts w:ascii="Symbol" w:hAnsi="Symbol"/>
    </w:rPr>
  </w:style>
  <w:style w:type="character" w:customStyle="1" w:styleId="WW8Num175z1">
    <w:name w:val="WW8Num175z1"/>
    <w:rPr>
      <w:rFonts w:ascii="Courier New" w:hAnsi="Courier New" w:cs="Courier New"/>
    </w:rPr>
  </w:style>
  <w:style w:type="character" w:customStyle="1" w:styleId="WW8Num175z2">
    <w:name w:val="WW8Num175z2"/>
    <w:rPr>
      <w:rFonts w:ascii="Wingdings" w:hAnsi="Wingdings"/>
    </w:rPr>
  </w:style>
  <w:style w:type="character" w:customStyle="1" w:styleId="WW8Num180z0">
    <w:name w:val="WW8Num180z0"/>
    <w:rPr>
      <w:rFonts w:ascii="Wingdings" w:hAnsi="Wingdings"/>
      <w:sz w:val="20"/>
    </w:rPr>
  </w:style>
  <w:style w:type="character" w:customStyle="1" w:styleId="WW8Num180z1">
    <w:name w:val="WW8Num180z1"/>
    <w:rPr>
      <w:rFonts w:ascii="Courier New" w:hAnsi="Courier New"/>
    </w:rPr>
  </w:style>
  <w:style w:type="character" w:customStyle="1" w:styleId="WW8Num180z2">
    <w:name w:val="WW8Num180z2"/>
    <w:rPr>
      <w:rFonts w:ascii="Wingdings" w:hAnsi="Wingdings"/>
    </w:rPr>
  </w:style>
  <w:style w:type="character" w:customStyle="1" w:styleId="WW8Num180z3">
    <w:name w:val="WW8Num180z3"/>
    <w:rPr>
      <w:rFonts w:ascii="Symbol" w:hAnsi="Symbol"/>
    </w:rPr>
  </w:style>
  <w:style w:type="character" w:customStyle="1" w:styleId="WW8Num184z0">
    <w:name w:val="WW8Num184z0"/>
    <w:rPr>
      <w:rFonts w:ascii="Symbol" w:hAnsi="Symbol" w:cs="Times New Roman"/>
    </w:rPr>
  </w:style>
  <w:style w:type="character" w:customStyle="1" w:styleId="WW8Num194z0">
    <w:name w:val="WW8Num194z0"/>
    <w:rPr>
      <w:rFonts w:ascii="Symbol" w:hAnsi="Symbol"/>
    </w:rPr>
  </w:style>
  <w:style w:type="character" w:customStyle="1" w:styleId="WW8Num197z0">
    <w:name w:val="WW8Num197z0"/>
    <w:rPr>
      <w:rFonts w:ascii="Times New Roman" w:hAnsi="Times New Roman"/>
      <w:sz w:val="20"/>
    </w:rPr>
  </w:style>
  <w:style w:type="character" w:customStyle="1" w:styleId="WW8Num204z0">
    <w:name w:val="WW8Num204z0"/>
    <w:rPr>
      <w:rFonts w:ascii="Symbol" w:hAnsi="Symbol"/>
    </w:rPr>
  </w:style>
  <w:style w:type="character" w:customStyle="1" w:styleId="WW8Num206z0">
    <w:name w:val="WW8Num206z0"/>
    <w:rPr>
      <w:rFonts w:ascii="Symbol" w:hAnsi="Symbol"/>
    </w:rPr>
  </w:style>
  <w:style w:type="character" w:customStyle="1" w:styleId="WW8Num206z1">
    <w:name w:val="WW8Num206z1"/>
    <w:rPr>
      <w:rFonts w:ascii="Courier New" w:hAnsi="Courier New"/>
    </w:rPr>
  </w:style>
  <w:style w:type="character" w:customStyle="1" w:styleId="WW8Num206z2">
    <w:name w:val="WW8Num206z2"/>
    <w:rPr>
      <w:rFonts w:ascii="Wingdings" w:hAnsi="Wingdings"/>
    </w:rPr>
  </w:style>
  <w:style w:type="character" w:customStyle="1" w:styleId="WW8NumSt79z0">
    <w:name w:val="WW8NumSt79z0"/>
    <w:rPr>
      <w:rFonts w:ascii="Symbol" w:hAnsi="Symbol"/>
    </w:rPr>
  </w:style>
  <w:style w:type="character" w:customStyle="1" w:styleId="WW8NumSt200z0">
    <w:name w:val="WW8NumSt200z0"/>
    <w:rPr>
      <w:rFonts w:ascii="Symbol" w:hAnsi="Symbol" w:cs="Times New Roman"/>
    </w:rPr>
  </w:style>
  <w:style w:type="character" w:customStyle="1" w:styleId="1">
    <w:name w:val="Основной шрифт абзаца1"/>
  </w:style>
  <w:style w:type="character" w:customStyle="1" w:styleId="a0">
    <w:name w:val="Ссылка"/>
    <w:rPr>
      <w:i/>
    </w:rPr>
  </w:style>
  <w:style w:type="character" w:styleId="Hyperlink">
    <w:name w:val="Hyperlink"/>
    <w:rPr>
      <w:color w:val="0000FF"/>
      <w:u w:val="single"/>
    </w:rPr>
  </w:style>
  <w:style w:type="character" w:customStyle="1" w:styleId="a1">
    <w:name w:val="Символ сноски"/>
    <w:rPr>
      <w:vertAlign w:val="superscript"/>
    </w:rPr>
  </w:style>
  <w:style w:type="character" w:styleId="PageNumber">
    <w:name w:val="page number"/>
    <w:basedOn w:val="1"/>
  </w:style>
  <w:style w:type="character" w:customStyle="1" w:styleId="a2">
    <w:name w:val="Маркеры списка"/>
    <w:rPr>
      <w:rFonts w:ascii="OpenSymbol" w:eastAsia="OpenSymbol" w:hAnsi="OpenSymbol" w:cs="OpenSymbol"/>
    </w:rPr>
  </w:style>
  <w:style w:type="paragraph" w:customStyle="1" w:styleId="a3">
    <w:name w:val="Заголовок"/>
    <w:basedOn w:val="Normal"/>
    <w:next w:val="BodyText"/>
    <w:pPr>
      <w:keepNext/>
      <w:spacing w:before="240" w:after="120"/>
    </w:pPr>
    <w:rPr>
      <w:rFonts w:ascii="Arial" w:eastAsia="MS Mincho" w:hAnsi="Arial" w:cs="Tahoma"/>
      <w:szCs w:val="28"/>
    </w:rPr>
  </w:style>
  <w:style w:type="paragraph" w:styleId="BodyText">
    <w:name w:val="Body Text"/>
    <w:basedOn w:val="Normal"/>
  </w:style>
  <w:style w:type="paragraph" w:styleId="Title">
    <w:name w:val="Title"/>
    <w:basedOn w:val="Normal"/>
    <w:next w:val="BodyText"/>
    <w:pPr>
      <w:keepNext/>
      <w:spacing w:before="240" w:after="120"/>
    </w:pPr>
    <w:rPr>
      <w:rFonts w:ascii="Arial" w:eastAsia="DejaVu Sans" w:hAnsi="Arial" w:cs="DejaVu Sans"/>
      <w:szCs w:val="28"/>
    </w:rPr>
  </w:style>
  <w:style w:type="paragraph" w:styleId="Subtitle">
    <w:name w:val="Subtitle"/>
    <w:basedOn w:val="Title"/>
    <w:next w:val="BodyText"/>
    <w:pPr>
      <w:jc w:val="center"/>
    </w:pPr>
    <w:rPr>
      <w:i/>
      <w:iCs/>
    </w:rPr>
  </w:style>
  <w:style w:type="paragraph" w:styleId="List">
    <w:name w:val="List"/>
    <w:basedOn w:val="BodyText"/>
    <w:rPr>
      <w:rFonts w:ascii="Arial" w:hAnsi="Arial"/>
    </w:rPr>
  </w:style>
  <w:style w:type="paragraph" w:customStyle="1" w:styleId="10">
    <w:name w:val="Название1"/>
    <w:basedOn w:val="Normal"/>
    <w:pPr>
      <w:suppressLineNumbers/>
      <w:spacing w:before="120" w:after="120"/>
    </w:pPr>
    <w:rPr>
      <w:rFonts w:ascii="Arial" w:hAnsi="Arial"/>
      <w:i/>
      <w:iCs/>
      <w:sz w:val="20"/>
      <w:szCs w:val="24"/>
    </w:rPr>
  </w:style>
  <w:style w:type="paragraph" w:customStyle="1" w:styleId="11">
    <w:name w:val="Указатель1"/>
    <w:basedOn w:val="Normal"/>
    <w:pPr>
      <w:suppressLineNumbers/>
    </w:pPr>
    <w:rPr>
      <w:rFonts w:ascii="Arial" w:hAnsi="Arial"/>
    </w:rPr>
  </w:style>
  <w:style w:type="paragraph" w:customStyle="1" w:styleId="a4">
    <w:name w:val="Автор"/>
    <w:basedOn w:val="Normal"/>
    <w:qFormat/>
    <w:rsid w:val="002D04CB"/>
    <w:pPr>
      <w:spacing w:after="240"/>
      <w:ind w:firstLine="0"/>
      <w:jc w:val="center"/>
    </w:pPr>
    <w:rPr>
      <w:b/>
    </w:rPr>
  </w:style>
  <w:style w:type="paragraph" w:styleId="BodyTextIndent">
    <w:name w:val="Body Text Indent"/>
    <w:basedOn w:val="Normal"/>
    <w:pPr>
      <w:ind w:firstLine="450"/>
    </w:pPr>
  </w:style>
  <w:style w:type="paragraph" w:customStyle="1" w:styleId="a">
    <w:name w:val="список"/>
    <w:basedOn w:val="Normal"/>
    <w:pPr>
      <w:numPr>
        <w:numId w:val="3"/>
      </w:numPr>
      <w:spacing w:after="80"/>
    </w:pPr>
  </w:style>
  <w:style w:type="paragraph" w:customStyle="1" w:styleId="12">
    <w:name w:val="Название объекта1"/>
    <w:basedOn w:val="Normal"/>
    <w:next w:val="Normal"/>
    <w:pPr>
      <w:spacing w:before="120" w:after="120"/>
      <w:jc w:val="center"/>
    </w:pPr>
    <w:rPr>
      <w:b/>
      <w:sz w:val="24"/>
      <w:lang w:val="en-US"/>
    </w:rPr>
  </w:style>
  <w:style w:type="paragraph" w:customStyle="1" w:styleId="13">
    <w:name w:val="Текст1"/>
    <w:basedOn w:val="Normal"/>
    <w:rPr>
      <w:rFonts w:ascii="Courier New" w:hAnsi="Courier New"/>
    </w:rPr>
  </w:style>
  <w:style w:type="paragraph" w:styleId="FootnoteText">
    <w:name w:val="footnote text"/>
    <w:basedOn w:val="Normal"/>
  </w:style>
  <w:style w:type="paragraph" w:styleId="Footer">
    <w:name w:val="footer"/>
    <w:basedOn w:val="Normal"/>
    <w:link w:val="FooterChar"/>
    <w:uiPriority w:val="99"/>
    <w:pPr>
      <w:tabs>
        <w:tab w:val="center" w:pos="4153"/>
        <w:tab w:val="right" w:pos="8306"/>
      </w:tabs>
    </w:pPr>
  </w:style>
  <w:style w:type="paragraph" w:customStyle="1" w:styleId="21">
    <w:name w:val="Основной текст с отступом 21"/>
    <w:basedOn w:val="Normal"/>
  </w:style>
  <w:style w:type="paragraph" w:customStyle="1" w:styleId="210">
    <w:name w:val="Основной текст 21"/>
    <w:basedOn w:val="Normal"/>
    <w:pPr>
      <w:ind w:firstLine="0"/>
      <w:jc w:val="center"/>
    </w:pPr>
  </w:style>
  <w:style w:type="paragraph" w:styleId="TOC1">
    <w:name w:val="toc 1"/>
    <w:basedOn w:val="Normal"/>
    <w:next w:val="Normal"/>
    <w:pPr>
      <w:tabs>
        <w:tab w:val="left" w:leader="dot" w:pos="9639"/>
      </w:tabs>
      <w:ind w:right="851" w:firstLine="0"/>
    </w:pPr>
  </w:style>
  <w:style w:type="paragraph" w:styleId="TOC2">
    <w:name w:val="toc 2"/>
    <w:basedOn w:val="Normal"/>
    <w:next w:val="Normal"/>
    <w:pPr>
      <w:tabs>
        <w:tab w:val="left" w:pos="28350"/>
      </w:tabs>
      <w:spacing w:after="120"/>
      <w:ind w:left="198" w:right="851" w:firstLine="0"/>
    </w:pPr>
    <w:rPr>
      <w:i/>
      <w:szCs w:val="18"/>
    </w:rPr>
  </w:style>
  <w:style w:type="paragraph" w:styleId="TOC3">
    <w:name w:val="toc 3"/>
    <w:basedOn w:val="Normal"/>
    <w:next w:val="Normal"/>
    <w:pPr>
      <w:ind w:left="400" w:firstLine="720"/>
    </w:pPr>
  </w:style>
  <w:style w:type="paragraph" w:styleId="TOC4">
    <w:name w:val="toc 4"/>
    <w:basedOn w:val="Normal"/>
    <w:next w:val="Normal"/>
    <w:pPr>
      <w:ind w:left="600" w:firstLine="720"/>
    </w:pPr>
  </w:style>
  <w:style w:type="paragraph" w:styleId="TOC5">
    <w:name w:val="toc 5"/>
    <w:basedOn w:val="Normal"/>
    <w:next w:val="Normal"/>
    <w:pPr>
      <w:ind w:left="800" w:firstLine="720"/>
    </w:pPr>
  </w:style>
  <w:style w:type="paragraph" w:styleId="TOC6">
    <w:name w:val="toc 6"/>
    <w:basedOn w:val="Normal"/>
    <w:next w:val="Normal"/>
    <w:pPr>
      <w:ind w:left="1000" w:firstLine="720"/>
    </w:pPr>
  </w:style>
  <w:style w:type="paragraph" w:styleId="TOC7">
    <w:name w:val="toc 7"/>
    <w:basedOn w:val="Normal"/>
    <w:next w:val="Normal"/>
    <w:pPr>
      <w:ind w:left="1200" w:firstLine="720"/>
    </w:pPr>
  </w:style>
  <w:style w:type="paragraph" w:styleId="TOC8">
    <w:name w:val="toc 8"/>
    <w:basedOn w:val="Normal"/>
    <w:next w:val="Normal"/>
    <w:pPr>
      <w:ind w:left="1400" w:firstLine="720"/>
    </w:pPr>
  </w:style>
  <w:style w:type="paragraph" w:styleId="TOC9">
    <w:name w:val="toc 9"/>
    <w:basedOn w:val="Normal"/>
    <w:next w:val="Normal"/>
    <w:pPr>
      <w:ind w:left="1600" w:firstLine="720"/>
    </w:pPr>
  </w:style>
  <w:style w:type="paragraph" w:customStyle="1" w:styleId="a5">
    <w:name w:val="Литература"/>
    <w:basedOn w:val="Normal"/>
    <w:qFormat/>
    <w:rsid w:val="00470ED1"/>
    <w:pPr>
      <w:tabs>
        <w:tab w:val="right" w:pos="397"/>
        <w:tab w:val="left" w:pos="510"/>
      </w:tabs>
      <w:ind w:left="510" w:hanging="510"/>
    </w:pPr>
    <w:rPr>
      <w:rFonts w:eastAsia="MS Mincho"/>
    </w:rPr>
  </w:style>
  <w:style w:type="paragraph" w:styleId="Header">
    <w:name w:val="header"/>
    <w:basedOn w:val="Normal"/>
    <w:pPr>
      <w:tabs>
        <w:tab w:val="center" w:pos="4677"/>
        <w:tab w:val="right" w:pos="9355"/>
      </w:tabs>
    </w:pPr>
  </w:style>
  <w:style w:type="paragraph" w:customStyle="1" w:styleId="a6">
    <w:name w:val="Откуда"/>
    <w:basedOn w:val="Normal"/>
    <w:qFormat/>
    <w:rsid w:val="00083A10"/>
    <w:pPr>
      <w:ind w:firstLine="0"/>
      <w:jc w:val="center"/>
    </w:pPr>
    <w:rPr>
      <w:i/>
    </w:rPr>
  </w:style>
  <w:style w:type="paragraph" w:customStyle="1" w:styleId="a7">
    <w:name w:val="Рисунок"/>
    <w:basedOn w:val="Normal"/>
    <w:link w:val="a8"/>
    <w:qFormat/>
    <w:rsid w:val="006A47D8"/>
    <w:pPr>
      <w:keepNext/>
      <w:spacing w:before="360" w:after="120"/>
      <w:ind w:firstLine="0"/>
      <w:jc w:val="center"/>
    </w:pPr>
    <w:rPr>
      <w:rFonts w:eastAsia="MS Mincho"/>
    </w:rPr>
  </w:style>
  <w:style w:type="paragraph" w:customStyle="1" w:styleId="a9">
    <w:name w:val="Подрисуночная"/>
    <w:basedOn w:val="Normal"/>
    <w:link w:val="aa"/>
    <w:qFormat/>
    <w:rsid w:val="006A47D8"/>
    <w:pPr>
      <w:keepLines/>
      <w:spacing w:after="300"/>
      <w:ind w:firstLine="0"/>
      <w:jc w:val="center"/>
    </w:pPr>
    <w:rPr>
      <w:rFonts w:eastAsia="MS Mincho"/>
    </w:rPr>
  </w:style>
  <w:style w:type="character" w:customStyle="1" w:styleId="a8">
    <w:name w:val="Рисунок Знак"/>
    <w:link w:val="a7"/>
    <w:rsid w:val="006A47D8"/>
    <w:rPr>
      <w:rFonts w:eastAsia="MS Mincho"/>
      <w:sz w:val="24"/>
      <w:lang w:eastAsia="ar-SA"/>
    </w:rPr>
  </w:style>
  <w:style w:type="paragraph" w:customStyle="1" w:styleId="ab">
    <w:name w:val="Аннотация"/>
    <w:basedOn w:val="Normal"/>
    <w:link w:val="ac"/>
    <w:qFormat/>
    <w:rsid w:val="00A13710"/>
    <w:pPr>
      <w:spacing w:before="360"/>
      <w:ind w:left="680" w:right="680" w:firstLine="340"/>
    </w:pPr>
    <w:rPr>
      <w:rFonts w:eastAsia="MS Mincho"/>
      <w:sz w:val="24"/>
      <w:szCs w:val="24"/>
    </w:rPr>
  </w:style>
  <w:style w:type="character" w:customStyle="1" w:styleId="aa">
    <w:name w:val="Подрисуночная Знак"/>
    <w:link w:val="a9"/>
    <w:rsid w:val="006A47D8"/>
    <w:rPr>
      <w:rFonts w:eastAsia="MS Mincho"/>
      <w:sz w:val="24"/>
      <w:lang w:eastAsia="ar-SA"/>
    </w:rPr>
  </w:style>
  <w:style w:type="paragraph" w:customStyle="1" w:styleId="ad">
    <w:name w:val="Ключевые"/>
    <w:basedOn w:val="Normal"/>
    <w:link w:val="ae"/>
    <w:qFormat/>
    <w:rsid w:val="00A13710"/>
    <w:pPr>
      <w:spacing w:before="120" w:after="360"/>
      <w:ind w:left="680" w:right="680" w:firstLine="340"/>
    </w:pPr>
    <w:rPr>
      <w:rFonts w:eastAsia="MS Mincho"/>
      <w:sz w:val="24"/>
      <w:szCs w:val="24"/>
    </w:rPr>
  </w:style>
  <w:style w:type="character" w:customStyle="1" w:styleId="ac">
    <w:name w:val="Аннотация Знак"/>
    <w:link w:val="ab"/>
    <w:rsid w:val="00A13710"/>
    <w:rPr>
      <w:rFonts w:eastAsia="MS Mincho"/>
      <w:sz w:val="24"/>
      <w:szCs w:val="24"/>
      <w:lang w:eastAsia="ar-SA"/>
    </w:rPr>
  </w:style>
  <w:style w:type="paragraph" w:customStyle="1" w:styleId="af">
    <w:name w:val="Раздел"/>
    <w:basedOn w:val="Normal"/>
    <w:next w:val="Normal"/>
    <w:link w:val="af0"/>
    <w:qFormat/>
    <w:rsid w:val="00FE174B"/>
    <w:pPr>
      <w:keepNext/>
      <w:keepLines/>
      <w:spacing w:before="360" w:after="60"/>
      <w:ind w:left="1020" w:hanging="340"/>
      <w:jc w:val="left"/>
    </w:pPr>
    <w:rPr>
      <w:b/>
    </w:rPr>
  </w:style>
  <w:style w:type="character" w:customStyle="1" w:styleId="ae">
    <w:name w:val="Ключевые Знак"/>
    <w:link w:val="ad"/>
    <w:rsid w:val="00A13710"/>
    <w:rPr>
      <w:rFonts w:eastAsia="MS Mincho"/>
      <w:sz w:val="24"/>
      <w:szCs w:val="24"/>
      <w:lang w:eastAsia="ar-SA"/>
    </w:rPr>
  </w:style>
  <w:style w:type="character" w:customStyle="1" w:styleId="FooterChar">
    <w:name w:val="Footer Char"/>
    <w:link w:val="Footer"/>
    <w:uiPriority w:val="99"/>
    <w:rsid w:val="005628F0"/>
    <w:rPr>
      <w:sz w:val="28"/>
      <w:lang w:eastAsia="ar-SA"/>
    </w:rPr>
  </w:style>
  <w:style w:type="character" w:customStyle="1" w:styleId="af0">
    <w:name w:val="Раздел Знак"/>
    <w:link w:val="af"/>
    <w:rsid w:val="00FE174B"/>
    <w:rPr>
      <w:b/>
      <w:sz w:val="28"/>
      <w:lang w:eastAsia="ar-SA"/>
    </w:rPr>
  </w:style>
  <w:style w:type="character" w:styleId="FollowedHyperlink">
    <w:name w:val="FollowedHyperlink"/>
    <w:uiPriority w:val="99"/>
    <w:semiHidden/>
    <w:unhideWhenUsed/>
    <w:rsid w:val="00E42F73"/>
    <w:rPr>
      <w:color w:val="954F72"/>
      <w:u w:val="single"/>
    </w:rPr>
  </w:style>
  <w:style w:type="paragraph" w:customStyle="1" w:styleId="-">
    <w:name w:val="Згл-агнл"/>
    <w:basedOn w:val="Heading1"/>
    <w:link w:val="-0"/>
    <w:qFormat/>
    <w:rsid w:val="00274762"/>
    <w:pPr>
      <w:pageBreakBefore w:val="0"/>
      <w:spacing w:before="480"/>
      <w:outlineLvl w:val="9"/>
    </w:pPr>
    <w:rPr>
      <w:rFonts w:eastAsia="MS Mincho"/>
      <w:lang w:val="en-US"/>
    </w:rPr>
  </w:style>
  <w:style w:type="character" w:customStyle="1" w:styleId="Heading1Char">
    <w:name w:val="Heading 1 Char"/>
    <w:link w:val="Heading1"/>
    <w:rsid w:val="00274762"/>
    <w:rPr>
      <w:b/>
      <w:kern w:val="36"/>
      <w:sz w:val="40"/>
      <w:lang w:eastAsia="ar-SA"/>
    </w:rPr>
  </w:style>
  <w:style w:type="character" w:customStyle="1" w:styleId="-0">
    <w:name w:val="Згл-агнл Знак"/>
    <w:link w:val="-"/>
    <w:rsid w:val="00274762"/>
    <w:rPr>
      <w:rFonts w:eastAsia="MS Mincho"/>
      <w:b/>
      <w:kern w:val="36"/>
      <w:sz w:val="4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409</TotalTime>
  <Pages>3</Pages>
  <Words>987</Words>
  <Characters>5631</Characters>
  <Application>Microsoft Office Word</Application>
  <DocSecurity>0</DocSecurity>
  <Lines>46</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6605</CharactersWithSpaces>
  <SharedDoc>false</SharedDoc>
  <HLinks>
    <vt:vector size="18" baseType="variant">
      <vt:variant>
        <vt:i4>7077996</vt:i4>
      </vt:variant>
      <vt:variant>
        <vt:i4>6</vt:i4>
      </vt:variant>
      <vt:variant>
        <vt:i4>0</vt:i4>
      </vt:variant>
      <vt:variant>
        <vt:i4>5</vt:i4>
      </vt:variant>
      <vt:variant>
        <vt:lpwstr>http://agora.guru.ru/abrau2020</vt:lpwstr>
      </vt:variant>
      <vt:variant>
        <vt:lpwstr/>
      </vt:variant>
      <vt:variant>
        <vt:i4>7077996</vt:i4>
      </vt:variant>
      <vt:variant>
        <vt:i4>3</vt:i4>
      </vt:variant>
      <vt:variant>
        <vt:i4>0</vt:i4>
      </vt:variant>
      <vt:variant>
        <vt:i4>5</vt:i4>
      </vt:variant>
      <vt:variant>
        <vt:lpwstr>http://agora.guru.ru/abrau2020</vt:lpwstr>
      </vt:variant>
      <vt:variant>
        <vt:lpwstr/>
      </vt:variant>
      <vt:variant>
        <vt:i4>7798880</vt:i4>
      </vt:variant>
      <vt:variant>
        <vt:i4>0</vt:i4>
      </vt:variant>
      <vt:variant>
        <vt:i4>0</vt:i4>
      </vt:variant>
      <vt:variant>
        <vt:i4>5</vt:i4>
      </vt:variant>
      <vt:variant>
        <vt:lpwstr>https://doi.org/10.20948/abrau-2019-61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Kirill Kibizov</cp:lastModifiedBy>
  <cp:revision>5</cp:revision>
  <cp:lastPrinted>1899-12-31T21:00:00Z</cp:lastPrinted>
  <dcterms:created xsi:type="dcterms:W3CDTF">2025-03-02T19:01:00Z</dcterms:created>
  <dcterms:modified xsi:type="dcterms:W3CDTF">2026-09-27T18:24:42.226Z</dcterms:modified>
</cp:coreProperties>
</file>