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обмен напрямую между устройствами или через оперативную память хоста. Режим тестирования задаёт сценарий обмена — изолированную передачу между одной парой устройств или одновременный обмен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77777777" w:rsidR="00A86C87"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25BC4E6D" w14:textId="77777777" w:rsidR="00A86C87" w:rsidRDefault="00000000">
      <w:pPr>
        <w:pStyle w:val="-"/>
      </w:pPr>
      <w:r>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lastRenderedPageBreak/>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communication is performed directly between devices or through host memory. The testing mode defines the exchange scenario — an isolated transfer between a single pair of devices or a simultaneous exchange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5603E00D" w14:textId="77777777" w:rsidR="00A86C87" w:rsidRPr="00193ECF" w:rsidRDefault="00000000">
      <w:pPr>
        <w:pStyle w:val="ad"/>
        <w:rPr>
          <w:lang w:val="en-US"/>
        </w:rPr>
      </w:pPr>
      <w:r w:rsidRPr="00193ECF">
        <w:rPr>
          <w:lang w:val="en-US"/>
        </w:rPr>
        <w:t>Keywords: computing cluster, graphics processing unit (GPU), transfer latency, load testing, communication environment, resource binding, CUDA, MPI, UCX</w:t>
      </w:r>
    </w:p>
    <w:p w14:paraId="6DB72D15" w14:textId="77777777" w:rsidR="00A86C87" w:rsidRDefault="00000000">
      <w:pPr>
        <w:pStyle w:val="af"/>
      </w:pPr>
      <w:r>
        <w:t>1.</w:t>
      </w:r>
      <w:r>
        <w:tab/>
        <w:t>Введение</w:t>
      </w:r>
    </w:p>
    <w:p w14:paraId="3A708C14" w14:textId="77777777" w:rsidR="00193ECF" w:rsidRDefault="00000000">
      <w:r>
        <w:t>В вычислительных кластерах для ускорения вычислений применяются графические процессоры (GPU — Graphics Processing Unit), способные эффективно выполнять большое число однотипных операций параллельно. При использовании нескольких GPU вычислительная нагрузка распределяется между устройствами, и производительность зависит не только от скорости вычислений на каждом из них, но и от скорости передачи данных между ними: медленный обмен способен стать узким местом.</w:t>
      </w:r>
    </w:p>
    <w:p w14:paraId="6B0A7EDE" w14:textId="77777777" w:rsidR="00193ECF" w:rsidRDefault="00193ECF">
      <w:r w:rsidRPr="00193ECF">
        <w:t>Передача данных между GPU может осуществляться напрямую или через промежуточное копирование в оперативную память хоста. Маршрут и способ передачи данных зависят от расположения устройств, настроек транспортного слоя и схемы привязки вычислительных ядер, GPU и сетевого адаптера к процессу. Эти факторы могут существенно влиять на задержку обмена, поэтому их необходимо учитывать и фиксировать при проведении экспериментов. В работе [1] показано, что задержки передачи данных между вычислительными узлами кластера различаются, что позволяет выделять группы пар узлов со сходными характеристиками обмена. В настоящей работе исследуются задержки передачи данных между парами GPU как внутри одного вычислительного узла, так и между узлами кластера.</w:t>
      </w:r>
    </w:p>
    <w:p w14:paraId="49E9BF3F" w14:textId="43C7DA8A" w:rsidR="00A86C87" w:rsidRDefault="00000000">
      <w:r>
        <w:t xml:space="preserve">Работа продолжает подход, предложенный в [2], и расширяет набор тестов проекта </w:t>
      </w:r>
      <w:proofErr w:type="spellStart"/>
      <w:r>
        <w:t>Clustbench</w:t>
      </w:r>
      <w:proofErr w:type="spellEnd"/>
      <w:r>
        <w:t xml:space="preserve"> [3]: </w:t>
      </w:r>
      <w:r w:rsidR="00193ECF">
        <w:t xml:space="preserve">становится возможен выбор </w:t>
      </w:r>
      <w:r>
        <w:t xml:space="preserve">среда передачи, </w:t>
      </w:r>
      <w:r>
        <w:lastRenderedPageBreak/>
        <w:t>а схема «один MPI-процесс на узел» заменена схемой «один MPI-процесс на один GPU».</w:t>
      </w:r>
    </w:p>
    <w:p w14:paraId="275AABB4" w14:textId="77777777" w:rsidR="00A86C87" w:rsidRDefault="00000000">
      <w:pPr>
        <w:pStyle w:val="af"/>
      </w:pPr>
      <w:r>
        <w:t>2.</w:t>
      </w:r>
      <w:r>
        <w:tab/>
        <w:t>Модель коммуникационной среды и постановка задачи</w:t>
      </w:r>
    </w:p>
    <w:p w14:paraId="5C79EDBC" w14:textId="77777777" w:rsidR="00A86C87" w:rsidRDefault="00000000">
      <w:r>
        <w:t>Коммуникационная среда представляется в виде графа G = (V, E), вершины которого соответствуют аппаратным компонентам, а рёбра — физическим соединениям (PCIe, NVLink, Ethernet, InfiniBand). На уровне узла компонентами являются центральные процессоры CPU с областью оперативной памяти, GPU с видеопамятью, сетевые адаптеры, PCIe-коммутаторы и коммутаторы NVSwitch. На уровне межузловой сети — коммутаторы Ethernet и InfiniBand.</w:t>
      </w:r>
    </w:p>
    <w:p w14:paraId="4CA21ADD" w14:textId="77777777" w:rsidR="00A86C87" w:rsidRDefault="00000000">
      <w:r>
        <w:t>Сообщением будем называть синтетически сформированный набор данных заданного размера, передаваемый от источника к приёмнику через коммуникационную среду. Маршрутом будем называть последовательность вершин и рёбер графа G, по которой осуществляется передача сообщения. Множество допустимых маршрутов определяется топологией коммуникационной среды, а фактический маршрут — исполняемым кодом и коммуникационным стеком.</w:t>
      </w:r>
    </w:p>
    <w:p w14:paraId="01ED7AC3" w14:textId="77777777" w:rsidR="00A86C87" w:rsidRDefault="00000000">
      <w:r>
        <w:t>Под прямым обменом понимается передача данных между GPU без промежуточного копирования в оперативную память. В системах с GPU NVIDIA внутриузловой прямой обмен осуществляется с использованием технологии GPUDirect Peer-to-Peer [4], а межузловой — GPUDirect RDMA [5], позволяющей сетевому адаптеру обращаться непосредственно к памяти GPU. При отсутствии поддержки прямого обмена передача осуществляется с промежуточным копированием данных в оперативную память.</w:t>
      </w:r>
    </w:p>
    <w:p w14:paraId="0E8B4297" w14:textId="77777777" w:rsidR="00A86C87" w:rsidRDefault="00000000">
      <w:r>
        <w:t>Предметом изучения является сквозная задержка передачи сообщения между упорядоченной парой устройств — интервал времени от начала передачи сообщения источником до завершения его приёма получателем. Поскольку на практике этот интервал не всегда удаётся измерить напрямую, далее под измеренной задержкой понимается его оценка, полученная выбранным способом фиксации временного интервала.</w:t>
      </w:r>
    </w:p>
    <w:p w14:paraId="0F8653BB" w14:textId="77777777" w:rsidR="00A86C87" w:rsidRDefault="00000000">
      <w:pPr>
        <w:pStyle w:val="af"/>
      </w:pPr>
      <w:r>
        <w:t>3.</w:t>
      </w:r>
      <w:r>
        <w:tab/>
        <w:t>Способ измерения и программная реализация</w:t>
      </w:r>
    </w:p>
    <w:p w14:paraId="2F46F23E" w14:textId="77777777" w:rsidR="00A86C87" w:rsidRDefault="00000000">
      <w:r>
        <w:t xml:space="preserve">Задержка соответствует интервалу времени от начала передачи у отправителя до конца приёма у получателя, но отметки фиксируются разными процессами на разных узлах. В работе используется измерение на стороне получателя: фиксируется интервал от готовности принять данные до завершения приёма — возврата из MPI_Recv() при блокирующем приёме или из MPI_Wait() при неблокирующем приёме через MPI_Irecv(). Завершение приёма имеет однозначный смысл: к этому моменту данные записаны в буфер. Однако измеренный интервал может включать ожидание начала передачи, поэтому приводимые значения следует интерпретировать </w:t>
      </w:r>
      <w:r>
        <w:lastRenderedPageBreak/>
        <w:t>как оценку сверху для сквозной задержки. Таймером служит MPI_Wtime(): при измерении у получателя глобальная согласованность таймеров не требуется.</w:t>
      </w:r>
    </w:p>
    <w:p w14:paraId="4FC80F09" w14:textId="77777777" w:rsidR="00A86C87" w:rsidRDefault="00000000">
      <w:r>
        <w:t>Модуль реализован на C++ с использованием CUDA Runtime API и MPI. Применяется Open MPI [6] с поддержкой CUDA-aware режима и транспортным слоем UCX [7]. Распределение GPU между задачами осуществляется планировщиком Slurm: каждому процессу соответствует один GPU.</w:t>
      </w:r>
    </w:p>
    <w:p w14:paraId="48F5B64B" w14:textId="77777777" w:rsidR="00A86C87" w:rsidRDefault="00000000">
      <w:r>
        <w:t>Среда передачи задаётся параметром запуска, определяющим настройки UCX. В среде auto разрешены CUDA-транспорты и использование GPUDirect RDMA, что позволяет передавать данные напрямую между GPU. При недоступности прямого обмена UCX может использовать промежуточное копирование через оперативную память хоста. В среде host передача через оперативную память задаётся явно. Каждый MPI-процесс выделяет буферы отправки и приёма в памяти своего GPU. В среде auto указатели на эти буферы передаются непосредственно в вызовы MPI, а в среде host используется промежуточный буфер в оперативной памяти хоста.</w:t>
      </w:r>
    </w:p>
    <w:p w14:paraId="0FEBE744" w14:textId="510CD05D" w:rsidR="00A86C87" w:rsidRDefault="00000000" w:rsidP="00364B19">
      <w:r>
        <w:t xml:space="preserve">В режиме тестирования one_to_one процесс-мастер последовательно перебирает упорядоченные пары GPU, обеспечивая обмен только между одной парой в каждый момент времени. Передача выполняется с использованием блокирующих операций MPI_Send и MPI_Recv. Время измеряется на стороне получателя от начала вызова </w:t>
      </w:r>
      <w:proofErr w:type="spellStart"/>
      <w:r>
        <w:t>MPI_Recv</w:t>
      </w:r>
      <w:proofErr w:type="spellEnd"/>
      <w:r>
        <w:t xml:space="preserve"> до его завершения.</w:t>
      </w:r>
      <w:r w:rsidR="00193ECF">
        <w:t xml:space="preserve"> </w:t>
      </w:r>
      <w:r>
        <w:t xml:space="preserve">В режиме тестирования </w:t>
      </w:r>
      <w:proofErr w:type="spellStart"/>
      <w:r>
        <w:t>all_to_all</w:t>
      </w:r>
      <w:proofErr w:type="spellEnd"/>
      <w:r>
        <w:t xml:space="preserve"> все процессы обмениваются одновременно. Процесс выставляет неблокирующие приёмы для всех источников, затем выполняет отправки. Начало измерения на процессе-получателе общее для всех источников, а конец фиксируется отдельно для каждой передачи. Результаты экспортируются в формат NetCDF, для визуализации строятся теплокарты задержек и графики зависимости от размера сообщения.</w:t>
      </w:r>
    </w:p>
    <w:p w14:paraId="22CBD759" w14:textId="39435F0B" w:rsidR="00A86C87" w:rsidRDefault="00000000" w:rsidP="00364B19">
      <w:r>
        <w:t>Процессу нужны три вещи: GPU, сетевой адаптер и процессорные ядра. Опорным здесь оказывается GPU: он назначается по номеру процесса внутри узла, а два других звена подбираются к нему — адаптер по расстоянию в дереве PCIe, ядра по принадлежности к тому же узлу NUMA. Между собой адаптер и ядра не связаны, поскольку при прямом обмене данные идут мимо центрального процессора.</w:t>
      </w:r>
      <w:r w:rsidR="00364B19">
        <w:t xml:space="preserve"> </w:t>
      </w:r>
      <w:r>
        <w:t xml:space="preserve">Сложность в том, что номер процесса внутри узла переносимо получают средствами MPI, то есть уже после MPI_Init, тогда как сетевой адаптер транспортный слой выбирает как раз при инициализации. Чтобы подобрать адаптер к GPU, номер нужно знать раньше. Поэтому он читается из переменных окружения запускающей системы, доступных с момента старта процесса: GPU и адаптер определяются до MPI_Init. Явное указание адаптера необходимо потому, что по умолчанию транспортный слой оценивает его близость к процессу, а </w:t>
      </w:r>
      <w:r>
        <w:lastRenderedPageBreak/>
        <w:t>не к GPU. Ядра выделяет планировщик [10] на том же узле NUMA, которому принадлежит GPU.</w:t>
      </w:r>
    </w:p>
    <w:p w14:paraId="0111476E" w14:textId="2A0EA085" w:rsidR="00A86C87" w:rsidRDefault="00364B19">
      <w:pPr>
        <w:pStyle w:val="af"/>
      </w:pPr>
      <w:r>
        <w:t>4</w:t>
      </w:r>
      <w:r w:rsidR="00000000">
        <w:t>.</w:t>
      </w:r>
      <w:r w:rsidR="00000000">
        <w:tab/>
        <w:t>Экспериментальная среда и методика измерений</w:t>
      </w:r>
    </w:p>
    <w:p w14:paraId="0EEDEF20" w14:textId="77777777" w:rsidR="00A86C87" w:rsidRDefault="00000000">
      <w:r>
        <w:t>Измерения выполнены на двух конфигурациях, различающихся способом объединения GPU. Первая — узлы с двумя GPU NVIDIA A100-PCIE-40GB, соединёнными мостом NVLink из двенадцати линий, с двумя процессорами Intel Xeon Gold 6444Y и единственным адаптером InfiniBand с пропускной способностью 100 Гбит/с; оба GPU и адаптер принадлежат одному узлу NUMA, подключение GPU — PCIe Gen4 x16. Вторая — узлы с GPU NVIDIA A100-SXM4-40GB, объединёнными коммутаторами NVSwitch: каждая пара GPU располагает двенадцатью линиями NVLink, что соответствует пиковой пропускной способности 300 ГБ/с в одном направлении. Использовались Open MPI 5.0.10, UCX 1.15.0 и CUDA Toolkit 12.8.</w:t>
      </w:r>
    </w:p>
    <w:p w14:paraId="58FB5FE3" w14:textId="77777777" w:rsidR="00A86C87" w:rsidRDefault="00000000">
      <w:r>
        <w:t>Серия измерений выполняется в два этапа: разогрев без фиксации времени и измерительный этап [8]. Структура серии измерений задержки при нагрузочном тестировании коммуникационной среды исследовалась в [9]. Для оценки типичного времени используется медиана как устойчивая к выбросам; по стандартному отклонению отдельных замеров оценивается погрешность медианы, что позволяет отличать содержательные различия между парами устройств от случайного разброса.</w:t>
      </w:r>
    </w:p>
    <w:p w14:paraId="3E9A74D3" w14:textId="77777777" w:rsidR="00A86C87" w:rsidRDefault="00000000">
      <w:r>
        <w:t>Эксперимент имеет ограничения: точный маршрут зависит от топологии и настроек сети, и без административного доступа его трудно отследить. Фоновая активность других задач может вносить шум в измерения.</w:t>
      </w:r>
    </w:p>
    <w:p w14:paraId="46808D48" w14:textId="3992DE91" w:rsidR="00A86C87" w:rsidRDefault="00364B19">
      <w:pPr>
        <w:pStyle w:val="af"/>
      </w:pPr>
      <w:r>
        <w:t>5</w:t>
      </w:r>
      <w:r w:rsidR="00000000">
        <w:t>.</w:t>
      </w:r>
      <w:r w:rsidR="00000000">
        <w:tab/>
        <w:t>Результаты</w:t>
      </w:r>
    </w:p>
    <w:p w14:paraId="4CB8D9B3" w14:textId="77777777" w:rsidR="00A86C87" w:rsidRDefault="00000000">
      <w:r>
        <w:t>Наиболее показательны измерения в режиме one_to_one при размере сообщения 16 МБ, когда постоянные накладные расходы на инициацию обмена пренебрежимо малы и задержка определяется пропускной способностью маршрута (рис. 1). На узле с коммутаторами NVSwitch передача между GPU одного узла занимает 74,5 мкс, что соответствует эффективной полосе 220 ГБ/с, или 73 % от пиковой пропускной способности NVLink. Передача того же сообщения через оперативную память занимает 1259 мкс: прямой обмен быстрее в 16,9 раза. Разброс значений по всем парам устройств не превышает 0,6 %, что согласуется с полносвязной топологией NVSwitch, при которой любая пара GPU располагает одинаковой полосой.</w:t>
      </w:r>
    </w:p>
    <w:p w14:paraId="6A8479FF" w14:textId="77777777" w:rsidR="00A86C87" w:rsidRDefault="00000000">
      <w:pPr>
        <w:pStyle w:val="a7"/>
      </w:pPr>
      <w:r>
        <w:rPr>
          <w:noProof/>
        </w:rPr>
        <w:lastRenderedPageBreak/>
        <w:drawing>
          <wp:inline distT="0" distB="0" distL="0" distR="0" wp14:anchorId="2AF74AD2" wp14:editId="6BFE2630">
            <wp:extent cx="5040000" cy="27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andwidth.png"/>
                    <pic:cNvPicPr/>
                  </pic:nvPicPr>
                  <pic:blipFill>
                    <a:blip r:embed="rId7"/>
                    <a:stretch>
                      <a:fillRect/>
                    </a:stretch>
                  </pic:blipFill>
                  <pic:spPr>
                    <a:xfrm>
                      <a:off x="0" y="0"/>
                      <a:ext cx="5040000" cy="2772000"/>
                    </a:xfrm>
                    <a:prstGeom prst="rect">
                      <a:avLst/>
                    </a:prstGeom>
                  </pic:spPr>
                </pic:pic>
              </a:graphicData>
            </a:graphic>
          </wp:inline>
        </w:drawing>
      </w:r>
    </w:p>
    <w:p w14:paraId="774920E5" w14:textId="77777777" w:rsidR="00A86C87" w:rsidRDefault="00000000">
      <w:pPr>
        <w:pStyle w:val="a9"/>
      </w:pPr>
      <w:r>
        <w:t>Рис. 1.  Эффективная полоса передачи сообщения размером 16 МБ в средах auto и host (логарифмическая шкала)</w:t>
      </w:r>
    </w:p>
    <w:p w14:paraId="4B7FFBA9" w14:textId="2FBD0FBB" w:rsidR="00A86C87" w:rsidRPr="00D1737A" w:rsidRDefault="00000000">
      <w:r>
        <w:t xml:space="preserve">На узлах с GPU в исполнении PCIe внутриузловая передача даёт 19,4 ГБ/с против 13,0 ГБ/с через оперативную память, а межузловая — 9,2 ГБ/с против 6,3 ГБ/с. Межузловое значение составляет 74 % от предела канала InfiniBand (12,5 ГБ/с), что характерно для передачи с прямым доступом сетевого адаптера к памяти GPU. Внутриузловое же значение укладывается в пропускную способность шины PCIe, которой подключены эти GPU (Gen4 x16, до 31,5 ГБ/с в одном направлении), и при этом на порядок ниже возможностей моста NVLink, соединяющего устройства, хотя средства диагностики сообщают о его работоспособности. Это позволяет предполагать, что на данной конфигурации обмен выполняется по шине </w:t>
      </w:r>
      <w:proofErr w:type="spellStart"/>
      <w:r>
        <w:t>PCIe</w:t>
      </w:r>
      <w:proofErr w:type="spellEnd"/>
      <w:r w:rsidR="00D1737A" w:rsidRPr="00D1737A">
        <w:t>.</w:t>
      </w:r>
    </w:p>
    <w:p w14:paraId="07E64FA6" w14:textId="4AF4A3DA" w:rsidR="00A86C87" w:rsidRPr="00D1737A" w:rsidRDefault="00000000">
      <w:pPr>
        <w:rPr>
          <w:lang w:val="en-US"/>
        </w:rPr>
      </w:pPr>
      <w:r>
        <w:t xml:space="preserve">В режиме </w:t>
      </w:r>
      <w:proofErr w:type="spellStart"/>
      <w:r>
        <w:t>all_to_all</w:t>
      </w:r>
      <w:proofErr w:type="spellEnd"/>
      <w:r>
        <w:t xml:space="preserve"> задержки возрастают во всех средах, что отражает конкуренцию одновременных передач за общие ресурсы.</w:t>
      </w:r>
    </w:p>
    <w:p w14:paraId="43078045" w14:textId="3D852EDC" w:rsidR="00A86C87" w:rsidRDefault="00000000" w:rsidP="00364B19">
      <w:r>
        <w:t>Полученные результаты показывают, что среда передачи и режим тестирования существенно влияют на задержку, а разброс значений между парами GPU отражает неоднородность коммуникационной среды кластера. Реализованный модуль позволяет выявлять такие неоднородности и количественно сравнивать маршруты передачи в сопоставимых условиях.</w:t>
      </w:r>
    </w:p>
    <w:p w14:paraId="11D0B029" w14:textId="77777777" w:rsidR="00A86C87" w:rsidRDefault="00000000">
      <w:pPr>
        <w:pStyle w:val="af"/>
      </w:pPr>
      <w:r>
        <w:t>Литература</w:t>
      </w:r>
    </w:p>
    <w:p w14:paraId="0E02C740" w14:textId="77777777" w:rsidR="00A86C87" w:rsidRDefault="00000000">
      <w:pPr>
        <w:pStyle w:val="a5"/>
      </w:pPr>
      <w:r>
        <w:tab/>
        <w:t>1.</w:t>
      </w:r>
      <w:r>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 Ростов-на-Дону, 2017.</w:t>
      </w:r>
    </w:p>
    <w:p w14:paraId="1BA29820" w14:textId="77777777" w:rsidR="00A86C87" w:rsidRDefault="00000000">
      <w:pPr>
        <w:pStyle w:val="a5"/>
      </w:pPr>
      <w:r>
        <w:lastRenderedPageBreak/>
        <w:tab/>
        <w:t>2.</w:t>
      </w:r>
      <w:r>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URL: https://cyberleninka.ru/article/n/metod-izmereniya-zaderzhek-pri-peredache-dannyh-mezhdu-graficheskimi-protsessorami-nahodyaschimisya-na-raznyh-uzlah (дата обращения: 20.09.2026).</w:t>
      </w:r>
    </w:p>
    <w:p w14:paraId="47B2CE1B" w14:textId="77777777" w:rsidR="00A86C87" w:rsidRPr="00193ECF" w:rsidRDefault="00000000">
      <w:pPr>
        <w:pStyle w:val="a5"/>
        <w:rPr>
          <w:lang w:val="en-US"/>
        </w:rPr>
      </w:pPr>
      <w:r>
        <w:tab/>
      </w:r>
      <w:r w:rsidRPr="00193ECF">
        <w:rPr>
          <w:lang w:val="en-US"/>
        </w:rPr>
        <w:t>3.</w:t>
      </w:r>
      <w:r w:rsidRPr="00193ECF">
        <w:rPr>
          <w:lang w:val="en-US"/>
        </w:rPr>
        <w:tab/>
      </w:r>
      <w:proofErr w:type="spellStart"/>
      <w:r w:rsidRPr="00193ECF">
        <w:rPr>
          <w:lang w:val="en-US"/>
        </w:rPr>
        <w:t>Clustbench</w:t>
      </w:r>
      <w:proofErr w:type="spellEnd"/>
      <w:r w:rsidRPr="00193ECF">
        <w:rPr>
          <w:lang w:val="en-US"/>
        </w:rPr>
        <w:t xml:space="preserve"> / network-tests2. — URL: https://github.com/clustbench/network-tests2 (</w:t>
      </w:r>
      <w:r>
        <w:t>дата</w:t>
      </w:r>
      <w:r w:rsidRPr="00193ECF">
        <w:rPr>
          <w:lang w:val="en-US"/>
        </w:rPr>
        <w:t xml:space="preserve"> </w:t>
      </w:r>
      <w:r>
        <w:t>обращения</w:t>
      </w:r>
      <w:r w:rsidRPr="00193ECF">
        <w:rPr>
          <w:lang w:val="en-US"/>
        </w:rPr>
        <w:t>: 20.09.2026).</w:t>
      </w:r>
    </w:p>
    <w:p w14:paraId="3199AA6A" w14:textId="77777777" w:rsidR="00A86C87" w:rsidRPr="00193ECF" w:rsidRDefault="00000000">
      <w:pPr>
        <w:pStyle w:val="a5"/>
        <w:rPr>
          <w:lang w:val="en-US"/>
        </w:rPr>
      </w:pPr>
      <w:r w:rsidRPr="00193ECF">
        <w:rPr>
          <w:lang w:val="en-US"/>
        </w:rPr>
        <w:tab/>
        <w:t>4.</w:t>
      </w:r>
      <w:r w:rsidRPr="00193ECF">
        <w:rPr>
          <w:lang w:val="en-US"/>
        </w:rPr>
        <w:tab/>
        <w:t>NVIDIA. CUDA C++ Programming Guide: Peer Device Memory Access. — URL: https://docs.nvidia.com/cuda/cuda-c-programming-guide/ (</w:t>
      </w:r>
      <w:r>
        <w:t>дата</w:t>
      </w:r>
      <w:r w:rsidRPr="00193ECF">
        <w:rPr>
          <w:lang w:val="en-US"/>
        </w:rPr>
        <w:t xml:space="preserve"> </w:t>
      </w:r>
      <w:r>
        <w:t>обращения</w:t>
      </w:r>
      <w:r w:rsidRPr="00193ECF">
        <w:rPr>
          <w:lang w:val="en-US"/>
        </w:rPr>
        <w:t>: 20.09.2026).</w:t>
      </w:r>
    </w:p>
    <w:p w14:paraId="6F2B7EB8" w14:textId="77777777" w:rsidR="00A86C87" w:rsidRPr="00193ECF" w:rsidRDefault="00000000">
      <w:pPr>
        <w:pStyle w:val="a5"/>
        <w:rPr>
          <w:lang w:val="en-US"/>
        </w:rPr>
      </w:pPr>
      <w:r w:rsidRPr="00193ECF">
        <w:rPr>
          <w:lang w:val="en-US"/>
        </w:rPr>
        <w:tab/>
        <w:t>5.</w:t>
      </w:r>
      <w:r w:rsidRPr="00193ECF">
        <w:rPr>
          <w:lang w:val="en-US"/>
        </w:rPr>
        <w:tab/>
        <w:t xml:space="preserve">NVIDIA. </w:t>
      </w:r>
      <w:proofErr w:type="spellStart"/>
      <w:r w:rsidRPr="00193ECF">
        <w:rPr>
          <w:lang w:val="en-US"/>
        </w:rPr>
        <w:t>GPUDirect</w:t>
      </w:r>
      <w:proofErr w:type="spellEnd"/>
      <w:r w:rsidRPr="00193ECF">
        <w:rPr>
          <w:lang w:val="en-US"/>
        </w:rPr>
        <w:t xml:space="preserve"> RDMA. — URL: https://docs.nvidia.com/cuda/gpudirect-rdma/ (</w:t>
      </w:r>
      <w:r>
        <w:t>дата</w:t>
      </w:r>
      <w:r w:rsidRPr="00193ECF">
        <w:rPr>
          <w:lang w:val="en-US"/>
        </w:rPr>
        <w:t xml:space="preserve"> </w:t>
      </w:r>
      <w:r>
        <w:t>обращения</w:t>
      </w:r>
      <w:r w:rsidRPr="00193ECF">
        <w:rPr>
          <w:lang w:val="en-US"/>
        </w:rPr>
        <w:t>: 20.09.2026).</w:t>
      </w:r>
    </w:p>
    <w:p w14:paraId="72A94D5B" w14:textId="77777777" w:rsidR="00A86C87" w:rsidRPr="00193ECF" w:rsidRDefault="00000000">
      <w:pPr>
        <w:pStyle w:val="a5"/>
        <w:rPr>
          <w:lang w:val="en-US"/>
        </w:rPr>
      </w:pPr>
      <w:r w:rsidRPr="00193ECF">
        <w:rPr>
          <w:lang w:val="en-US"/>
        </w:rPr>
        <w:tab/>
        <w:t>6.</w:t>
      </w:r>
      <w:r w:rsidRPr="00193ECF">
        <w:rPr>
          <w:lang w:val="en-US"/>
        </w:rPr>
        <w:tab/>
        <w:t>Open MPI: CUDA-Aware Support. — URL: https://www.open-mpi.org/faq/?category=runcuda (</w:t>
      </w:r>
      <w:r>
        <w:t>дата</w:t>
      </w:r>
      <w:r w:rsidRPr="00193ECF">
        <w:rPr>
          <w:lang w:val="en-US"/>
        </w:rPr>
        <w:t xml:space="preserve"> </w:t>
      </w:r>
      <w:r>
        <w:t>обращения</w:t>
      </w:r>
      <w:r w:rsidRPr="00193ECF">
        <w:rPr>
          <w:lang w:val="en-US"/>
        </w:rPr>
        <w:t>: 20.09.2026).</w:t>
      </w:r>
    </w:p>
    <w:p w14:paraId="64098747" w14:textId="77777777" w:rsidR="00A86C87" w:rsidRPr="00193ECF" w:rsidRDefault="00000000">
      <w:pPr>
        <w:pStyle w:val="a5"/>
        <w:rPr>
          <w:lang w:val="en-US"/>
        </w:rPr>
      </w:pPr>
      <w:r w:rsidRPr="00193ECF">
        <w:rPr>
          <w:lang w:val="en-US"/>
        </w:rPr>
        <w:tab/>
        <w:t>7.</w:t>
      </w:r>
      <w:r w:rsidRPr="00193ECF">
        <w:rPr>
          <w:lang w:val="en-US"/>
        </w:rPr>
        <w:tab/>
        <w:t>Unified Communication X. — URL: https://openucx.org/ (</w:t>
      </w:r>
      <w:r>
        <w:t>дата</w:t>
      </w:r>
      <w:r w:rsidRPr="00193ECF">
        <w:rPr>
          <w:lang w:val="en-US"/>
        </w:rPr>
        <w:t xml:space="preserve"> </w:t>
      </w:r>
      <w:r>
        <w:t>обращения</w:t>
      </w:r>
      <w:r w:rsidRPr="00193ECF">
        <w:rPr>
          <w:lang w:val="en-US"/>
        </w:rPr>
        <w:t>: 20.09.2026).</w:t>
      </w:r>
    </w:p>
    <w:p w14:paraId="5C97AC4C" w14:textId="77777777" w:rsidR="00A86C87" w:rsidRPr="00193ECF" w:rsidRDefault="00000000">
      <w:pPr>
        <w:pStyle w:val="a5"/>
        <w:rPr>
          <w:lang w:val="en-US"/>
        </w:rPr>
      </w:pPr>
      <w:r w:rsidRPr="00193ECF">
        <w:rPr>
          <w:lang w:val="en-US"/>
        </w:rPr>
        <w:tab/>
        <w:t>8.</w:t>
      </w:r>
      <w:r w:rsidRPr="00193ECF">
        <w:rPr>
          <w:lang w:val="en-US"/>
        </w:rPr>
        <w:tab/>
      </w:r>
      <w:proofErr w:type="spellStart"/>
      <w:r w:rsidRPr="00193ECF">
        <w:rPr>
          <w:lang w:val="en-US"/>
        </w:rPr>
        <w:t>Hoefler</w:t>
      </w:r>
      <w:proofErr w:type="spellEnd"/>
      <w:r w:rsidRPr="00193ECF">
        <w:rPr>
          <w:lang w:val="en-US"/>
        </w:rPr>
        <w:t xml:space="preserve"> T., Belli R. Scientific Benchmarking of Parallel Computing Systems // SC '15. — 2015. — DOI: 10.1145/2807591.2807644</w:t>
      </w:r>
    </w:p>
    <w:p w14:paraId="41B9C2F7" w14:textId="77777777" w:rsidR="00A86C87" w:rsidRDefault="00000000">
      <w:pPr>
        <w:pStyle w:val="a5"/>
      </w:pPr>
      <w:r w:rsidRPr="00193ECF">
        <w:rPr>
          <w:lang w:val="en-US"/>
        </w:rPr>
        <w:tab/>
      </w:r>
      <w:r>
        <w:t>9.</w:t>
      </w:r>
      <w:r>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Труды RuSCDays-2023. — 2023. — С. 42.</w:t>
      </w:r>
    </w:p>
    <w:p w14:paraId="0E795207" w14:textId="77777777" w:rsidR="00A86C87" w:rsidRPr="00193ECF" w:rsidRDefault="00000000">
      <w:pPr>
        <w:pStyle w:val="a5"/>
        <w:rPr>
          <w:lang w:val="en-US"/>
        </w:rPr>
      </w:pPr>
      <w:r>
        <w:tab/>
      </w:r>
      <w:r w:rsidRPr="00193ECF">
        <w:rPr>
          <w:lang w:val="en-US"/>
        </w:rPr>
        <w:t>10.</w:t>
      </w:r>
      <w:r w:rsidRPr="00193ECF">
        <w:rPr>
          <w:lang w:val="en-US"/>
        </w:rPr>
        <w:tab/>
      </w:r>
      <w:proofErr w:type="spellStart"/>
      <w:r w:rsidRPr="00193ECF">
        <w:rPr>
          <w:lang w:val="en-US"/>
        </w:rPr>
        <w:t>Slurm</w:t>
      </w:r>
      <w:proofErr w:type="spellEnd"/>
      <w:r w:rsidRPr="00193ECF">
        <w:rPr>
          <w:lang w:val="en-US"/>
        </w:rPr>
        <w:t xml:space="preserve"> Workload Manager: Generic Resource (GRES) Scheduling. — URL: https://slurm.schedmd.com/gres.html (</w:t>
      </w:r>
      <w:r>
        <w:t>дата</w:t>
      </w:r>
      <w:r w:rsidRPr="00193ECF">
        <w:rPr>
          <w:lang w:val="en-US"/>
        </w:rPr>
        <w:t xml:space="preserve"> </w:t>
      </w:r>
      <w:r>
        <w:t>обращения</w:t>
      </w:r>
      <w:r w:rsidRPr="00193ECF">
        <w:rPr>
          <w:lang w:val="en-US"/>
        </w:rPr>
        <w:t>: 20.09.2026).</w:t>
      </w:r>
    </w:p>
    <w:p w14:paraId="5F4C9748" w14:textId="77777777" w:rsidR="00A86C87" w:rsidRPr="00193ECF" w:rsidRDefault="00000000">
      <w:pPr>
        <w:pStyle w:val="af"/>
        <w:rPr>
          <w:lang w:val="en-US"/>
        </w:rPr>
      </w:pPr>
      <w:r w:rsidRPr="00193ECF">
        <w:rPr>
          <w:lang w:val="en-US"/>
        </w:rPr>
        <w:t>References</w:t>
      </w:r>
    </w:p>
    <w:p w14:paraId="18547C9A" w14:textId="77777777" w:rsidR="00A86C87" w:rsidRPr="00193ECF" w:rsidRDefault="00000000">
      <w:pPr>
        <w:pStyle w:val="a5"/>
        <w:rPr>
          <w:lang w:val="en-US"/>
        </w:rPr>
      </w:pPr>
      <w:r w:rsidRPr="00193ECF">
        <w:rPr>
          <w:lang w:val="en-US"/>
        </w:rPr>
        <w:tab/>
        <w:t>1.</w:t>
      </w:r>
      <w:r w:rsidRPr="00193ECF">
        <w:rPr>
          <w:lang w:val="en-US"/>
        </w:rPr>
        <w:tab/>
      </w:r>
      <w:proofErr w:type="spellStart"/>
      <w:r w:rsidRPr="00193ECF">
        <w:rPr>
          <w:lang w:val="en-US"/>
        </w:rPr>
        <w:t>Salnikov</w:t>
      </w:r>
      <w:proofErr w:type="spellEnd"/>
      <w:r w:rsidRPr="00193ECF">
        <w:rPr>
          <w:lang w:val="en-US"/>
        </w:rPr>
        <w:t xml:space="preserve"> A.N., </w:t>
      </w:r>
      <w:proofErr w:type="spellStart"/>
      <w:r w:rsidRPr="00193ECF">
        <w:rPr>
          <w:lang w:val="en-US"/>
        </w:rPr>
        <w:t>Begaev</w:t>
      </w:r>
      <w:proofErr w:type="spellEnd"/>
      <w:r w:rsidRPr="00193ECF">
        <w:rPr>
          <w:lang w:val="en-US"/>
        </w:rPr>
        <w:t xml:space="preserve"> A.A., </w:t>
      </w:r>
      <w:proofErr w:type="spellStart"/>
      <w:r w:rsidRPr="00193ECF">
        <w:rPr>
          <w:lang w:val="en-US"/>
        </w:rPr>
        <w:t>Maisuradze</w:t>
      </w:r>
      <w:proofErr w:type="spellEnd"/>
      <w:r w:rsidRPr="00193ECF">
        <w:rPr>
          <w:lang w:val="en-US"/>
        </w:rPr>
        <w:t xml:space="preserve"> A.I. </w:t>
      </w:r>
      <w:proofErr w:type="spellStart"/>
      <w:r w:rsidRPr="00193ECF">
        <w:rPr>
          <w:lang w:val="en-US"/>
        </w:rPr>
        <w:t>Klasterizatsiia</w:t>
      </w:r>
      <w:proofErr w:type="spellEnd"/>
      <w:r w:rsidRPr="00193ECF">
        <w:rPr>
          <w:lang w:val="en-US"/>
        </w:rPr>
        <w:t xml:space="preserve"> </w:t>
      </w:r>
      <w:proofErr w:type="spellStart"/>
      <w:r w:rsidRPr="00193ECF">
        <w:rPr>
          <w:lang w:val="en-US"/>
        </w:rPr>
        <w:t>zaderzhek</w:t>
      </w:r>
      <w:proofErr w:type="spellEnd"/>
      <w:r w:rsidRPr="00193ECF">
        <w:rPr>
          <w:lang w:val="en-US"/>
        </w:rPr>
        <w:t xml:space="preserve"> </w:t>
      </w:r>
      <w:proofErr w:type="spellStart"/>
      <w:r w:rsidRPr="00193ECF">
        <w:rPr>
          <w:lang w:val="en-US"/>
        </w:rPr>
        <w:t>mezhdu</w:t>
      </w:r>
      <w:proofErr w:type="spellEnd"/>
      <w:r w:rsidRPr="00193ECF">
        <w:rPr>
          <w:lang w:val="en-US"/>
        </w:rPr>
        <w:t xml:space="preserve"> </w:t>
      </w:r>
      <w:proofErr w:type="spellStart"/>
      <w:r w:rsidRPr="00193ECF">
        <w:rPr>
          <w:lang w:val="en-US"/>
        </w:rPr>
        <w:t>uzlami</w:t>
      </w:r>
      <w:proofErr w:type="spellEnd"/>
      <w:r w:rsidRPr="00193ECF">
        <w:rPr>
          <w:lang w:val="en-US"/>
        </w:rPr>
        <w:t xml:space="preserve"> </w:t>
      </w:r>
      <w:proofErr w:type="spellStart"/>
      <w:r w:rsidRPr="00193ECF">
        <w:rPr>
          <w:lang w:val="en-US"/>
        </w:rPr>
        <w:t>superkompiutera</w:t>
      </w:r>
      <w:proofErr w:type="spellEnd"/>
      <w:r w:rsidRPr="00193ECF">
        <w:rPr>
          <w:lang w:val="en-US"/>
        </w:rPr>
        <w:t xml:space="preserve"> </w:t>
      </w:r>
      <w:proofErr w:type="spellStart"/>
      <w:r w:rsidRPr="00193ECF">
        <w:rPr>
          <w:lang w:val="en-US"/>
        </w:rPr>
        <w:t>i</w:t>
      </w:r>
      <w:proofErr w:type="spellEnd"/>
      <w:r w:rsidRPr="00193ECF">
        <w:rPr>
          <w:lang w:val="en-US"/>
        </w:rPr>
        <w:t xml:space="preserve"> </w:t>
      </w:r>
      <w:proofErr w:type="spellStart"/>
      <w:r w:rsidRPr="00193ECF">
        <w:rPr>
          <w:lang w:val="en-US"/>
        </w:rPr>
        <w:t>vizualizatsiia</w:t>
      </w:r>
      <w:proofErr w:type="spellEnd"/>
      <w:r w:rsidRPr="00193ECF">
        <w:rPr>
          <w:lang w:val="en-US"/>
        </w:rPr>
        <w:t xml:space="preserve"> </w:t>
      </w:r>
      <w:proofErr w:type="spellStart"/>
      <w:r w:rsidRPr="00193ECF">
        <w:rPr>
          <w:lang w:val="en-US"/>
        </w:rPr>
        <w:t>poluchennykh</w:t>
      </w:r>
      <w:proofErr w:type="spellEnd"/>
      <w:r w:rsidRPr="00193ECF">
        <w:rPr>
          <w:lang w:val="en-US"/>
        </w:rPr>
        <w:t xml:space="preserve"> </w:t>
      </w:r>
      <w:proofErr w:type="spellStart"/>
      <w:r w:rsidRPr="00193ECF">
        <w:rPr>
          <w:lang w:val="en-US"/>
        </w:rPr>
        <w:t>rezultatov</w:t>
      </w:r>
      <w:proofErr w:type="spellEnd"/>
      <w:r w:rsidRPr="00193ECF">
        <w:rPr>
          <w:lang w:val="en-US"/>
        </w:rPr>
        <w:t xml:space="preserve"> // </w:t>
      </w:r>
      <w:proofErr w:type="spellStart"/>
      <w:r w:rsidRPr="00193ECF">
        <w:rPr>
          <w:lang w:val="en-US"/>
        </w:rPr>
        <w:t>Sovremennye</w:t>
      </w:r>
      <w:proofErr w:type="spellEnd"/>
      <w:r w:rsidRPr="00193ECF">
        <w:rPr>
          <w:lang w:val="en-US"/>
        </w:rPr>
        <w:t xml:space="preserve"> </w:t>
      </w:r>
      <w:proofErr w:type="spellStart"/>
      <w:r w:rsidRPr="00193ECF">
        <w:rPr>
          <w:lang w:val="en-US"/>
        </w:rPr>
        <w:t>problemy</w:t>
      </w:r>
      <w:proofErr w:type="spellEnd"/>
      <w:r w:rsidRPr="00193ECF">
        <w:rPr>
          <w:lang w:val="en-US"/>
        </w:rPr>
        <w:t xml:space="preserve"> </w:t>
      </w:r>
      <w:proofErr w:type="spellStart"/>
      <w:r w:rsidRPr="00193ECF">
        <w:rPr>
          <w:lang w:val="en-US"/>
        </w:rPr>
        <w:t>matematicheskogo</w:t>
      </w:r>
      <w:proofErr w:type="spellEnd"/>
      <w:r w:rsidRPr="00193ECF">
        <w:rPr>
          <w:lang w:val="en-US"/>
        </w:rPr>
        <w:t xml:space="preserve"> </w:t>
      </w:r>
      <w:proofErr w:type="spellStart"/>
      <w:r w:rsidRPr="00193ECF">
        <w:rPr>
          <w:lang w:val="en-US"/>
        </w:rPr>
        <w:t>modelirovaniia</w:t>
      </w:r>
      <w:proofErr w:type="spellEnd"/>
      <w:r w:rsidRPr="00193ECF">
        <w:rPr>
          <w:lang w:val="en-US"/>
        </w:rPr>
        <w:t xml:space="preserve">, </w:t>
      </w:r>
      <w:proofErr w:type="spellStart"/>
      <w:r w:rsidRPr="00193ECF">
        <w:rPr>
          <w:lang w:val="en-US"/>
        </w:rPr>
        <w:t>obrabotki</w:t>
      </w:r>
      <w:proofErr w:type="spellEnd"/>
      <w:r w:rsidRPr="00193ECF">
        <w:rPr>
          <w:lang w:val="en-US"/>
        </w:rPr>
        <w:t xml:space="preserve"> </w:t>
      </w:r>
      <w:proofErr w:type="spellStart"/>
      <w:r w:rsidRPr="00193ECF">
        <w:rPr>
          <w:lang w:val="en-US"/>
        </w:rPr>
        <w:t>izobrazhenii</w:t>
      </w:r>
      <w:proofErr w:type="spellEnd"/>
      <w:r w:rsidRPr="00193ECF">
        <w:rPr>
          <w:lang w:val="en-US"/>
        </w:rPr>
        <w:t xml:space="preserve"> </w:t>
      </w:r>
      <w:proofErr w:type="spellStart"/>
      <w:r w:rsidRPr="00193ECF">
        <w:rPr>
          <w:lang w:val="en-US"/>
        </w:rPr>
        <w:t>i</w:t>
      </w:r>
      <w:proofErr w:type="spellEnd"/>
      <w:r w:rsidRPr="00193ECF">
        <w:rPr>
          <w:lang w:val="en-US"/>
        </w:rPr>
        <w:t xml:space="preserve"> </w:t>
      </w:r>
      <w:proofErr w:type="spellStart"/>
      <w:r w:rsidRPr="00193ECF">
        <w:rPr>
          <w:lang w:val="en-US"/>
        </w:rPr>
        <w:t>parallelnykh</w:t>
      </w:r>
      <w:proofErr w:type="spellEnd"/>
      <w:r w:rsidRPr="00193ECF">
        <w:rPr>
          <w:lang w:val="en-US"/>
        </w:rPr>
        <w:t xml:space="preserve"> </w:t>
      </w:r>
      <w:proofErr w:type="spellStart"/>
      <w:r w:rsidRPr="00193ECF">
        <w:rPr>
          <w:lang w:val="en-US"/>
        </w:rPr>
        <w:t>vychislenii</w:t>
      </w:r>
      <w:proofErr w:type="spellEnd"/>
      <w:r w:rsidRPr="00193ECF">
        <w:rPr>
          <w:lang w:val="en-US"/>
        </w:rPr>
        <w:t xml:space="preserve"> 2017: </w:t>
      </w:r>
      <w:proofErr w:type="spellStart"/>
      <w:r w:rsidRPr="00193ECF">
        <w:rPr>
          <w:lang w:val="en-US"/>
        </w:rPr>
        <w:t>trudy</w:t>
      </w:r>
      <w:proofErr w:type="spellEnd"/>
      <w:r w:rsidRPr="00193ECF">
        <w:rPr>
          <w:lang w:val="en-US"/>
        </w:rPr>
        <w:t xml:space="preserve"> </w:t>
      </w:r>
      <w:proofErr w:type="spellStart"/>
      <w:r w:rsidRPr="00193ECF">
        <w:rPr>
          <w:lang w:val="en-US"/>
        </w:rPr>
        <w:t>Mezhdunarodnoi</w:t>
      </w:r>
      <w:proofErr w:type="spellEnd"/>
      <w:r w:rsidRPr="00193ECF">
        <w:rPr>
          <w:lang w:val="en-US"/>
        </w:rPr>
        <w:t xml:space="preserve"> </w:t>
      </w:r>
      <w:proofErr w:type="spellStart"/>
      <w:r w:rsidRPr="00193ECF">
        <w:rPr>
          <w:lang w:val="en-US"/>
        </w:rPr>
        <w:t>nauchnoi</w:t>
      </w:r>
      <w:proofErr w:type="spellEnd"/>
      <w:r w:rsidRPr="00193ECF">
        <w:rPr>
          <w:lang w:val="en-US"/>
        </w:rPr>
        <w:t xml:space="preserve"> </w:t>
      </w:r>
      <w:proofErr w:type="spellStart"/>
      <w:r w:rsidRPr="00193ECF">
        <w:rPr>
          <w:lang w:val="en-US"/>
        </w:rPr>
        <w:t>konferentsii</w:t>
      </w:r>
      <w:proofErr w:type="spellEnd"/>
      <w:r w:rsidRPr="00193ECF">
        <w:rPr>
          <w:lang w:val="en-US"/>
        </w:rPr>
        <w:t>. — Rostov-</w:t>
      </w:r>
      <w:proofErr w:type="spellStart"/>
      <w:r w:rsidRPr="00193ECF">
        <w:rPr>
          <w:lang w:val="en-US"/>
        </w:rPr>
        <w:t>na</w:t>
      </w:r>
      <w:proofErr w:type="spellEnd"/>
      <w:r w:rsidRPr="00193ECF">
        <w:rPr>
          <w:lang w:val="en-US"/>
        </w:rPr>
        <w:t>-</w:t>
      </w:r>
      <w:proofErr w:type="spellStart"/>
      <w:r w:rsidRPr="00193ECF">
        <w:rPr>
          <w:lang w:val="en-US"/>
        </w:rPr>
        <w:t>Donu</w:t>
      </w:r>
      <w:proofErr w:type="spellEnd"/>
      <w:r w:rsidRPr="00193ECF">
        <w:rPr>
          <w:lang w:val="en-US"/>
        </w:rPr>
        <w:t>, 2017.</w:t>
      </w:r>
    </w:p>
    <w:p w14:paraId="7C3CD272" w14:textId="77777777" w:rsidR="00A86C87" w:rsidRPr="00193ECF" w:rsidRDefault="00000000">
      <w:pPr>
        <w:pStyle w:val="a5"/>
        <w:rPr>
          <w:lang w:val="en-US"/>
        </w:rPr>
      </w:pPr>
      <w:r w:rsidRPr="00193ECF">
        <w:rPr>
          <w:lang w:val="en-US"/>
        </w:rPr>
        <w:tab/>
        <w:t>2.</w:t>
      </w:r>
      <w:r w:rsidRPr="00193ECF">
        <w:rPr>
          <w:lang w:val="en-US"/>
        </w:rPr>
        <w:tab/>
      </w:r>
      <w:proofErr w:type="spellStart"/>
      <w:r w:rsidRPr="00193ECF">
        <w:rPr>
          <w:lang w:val="en-US"/>
        </w:rPr>
        <w:t>Begaev</w:t>
      </w:r>
      <w:proofErr w:type="spellEnd"/>
      <w:r w:rsidRPr="00193ECF">
        <w:rPr>
          <w:lang w:val="en-US"/>
        </w:rPr>
        <w:t xml:space="preserve"> A.A., </w:t>
      </w:r>
      <w:proofErr w:type="spellStart"/>
      <w:r w:rsidRPr="00193ECF">
        <w:rPr>
          <w:lang w:val="en-US"/>
        </w:rPr>
        <w:t>Salnikov</w:t>
      </w:r>
      <w:proofErr w:type="spellEnd"/>
      <w:r w:rsidRPr="00193ECF">
        <w:rPr>
          <w:lang w:val="en-US"/>
        </w:rPr>
        <w:t xml:space="preserve"> A.N. </w:t>
      </w:r>
      <w:proofErr w:type="spellStart"/>
      <w:r w:rsidRPr="00193ECF">
        <w:rPr>
          <w:lang w:val="en-US"/>
        </w:rPr>
        <w:t>Metod</w:t>
      </w:r>
      <w:proofErr w:type="spellEnd"/>
      <w:r w:rsidRPr="00193ECF">
        <w:rPr>
          <w:lang w:val="en-US"/>
        </w:rPr>
        <w:t xml:space="preserve"> </w:t>
      </w:r>
      <w:proofErr w:type="spellStart"/>
      <w:r w:rsidRPr="00193ECF">
        <w:rPr>
          <w:lang w:val="en-US"/>
        </w:rPr>
        <w:t>izmereniia</w:t>
      </w:r>
      <w:proofErr w:type="spellEnd"/>
      <w:r w:rsidRPr="00193ECF">
        <w:rPr>
          <w:lang w:val="en-US"/>
        </w:rPr>
        <w:t xml:space="preserve"> </w:t>
      </w:r>
      <w:proofErr w:type="spellStart"/>
      <w:r w:rsidRPr="00193ECF">
        <w:rPr>
          <w:lang w:val="en-US"/>
        </w:rPr>
        <w:t>zaderzhek</w:t>
      </w:r>
      <w:proofErr w:type="spellEnd"/>
      <w:r w:rsidRPr="00193ECF">
        <w:rPr>
          <w:lang w:val="en-US"/>
        </w:rPr>
        <w:t xml:space="preserve"> </w:t>
      </w:r>
      <w:proofErr w:type="spellStart"/>
      <w:r w:rsidRPr="00193ECF">
        <w:rPr>
          <w:lang w:val="en-US"/>
        </w:rPr>
        <w:t>pri</w:t>
      </w:r>
      <w:proofErr w:type="spellEnd"/>
      <w:r w:rsidRPr="00193ECF">
        <w:rPr>
          <w:lang w:val="en-US"/>
        </w:rPr>
        <w:t xml:space="preserve"> </w:t>
      </w:r>
      <w:proofErr w:type="spellStart"/>
      <w:r w:rsidRPr="00193ECF">
        <w:rPr>
          <w:lang w:val="en-US"/>
        </w:rPr>
        <w:t>peredache</w:t>
      </w:r>
      <w:proofErr w:type="spellEnd"/>
      <w:r w:rsidRPr="00193ECF">
        <w:rPr>
          <w:lang w:val="en-US"/>
        </w:rPr>
        <w:t xml:space="preserve"> </w:t>
      </w:r>
      <w:proofErr w:type="spellStart"/>
      <w:r w:rsidRPr="00193ECF">
        <w:rPr>
          <w:lang w:val="en-US"/>
        </w:rPr>
        <w:t>dannykh</w:t>
      </w:r>
      <w:proofErr w:type="spellEnd"/>
      <w:r w:rsidRPr="00193ECF">
        <w:rPr>
          <w:lang w:val="en-US"/>
        </w:rPr>
        <w:t xml:space="preserve"> </w:t>
      </w:r>
      <w:proofErr w:type="spellStart"/>
      <w:r w:rsidRPr="00193ECF">
        <w:rPr>
          <w:lang w:val="en-US"/>
        </w:rPr>
        <w:t>mezhdu</w:t>
      </w:r>
      <w:proofErr w:type="spellEnd"/>
      <w:r w:rsidRPr="00193ECF">
        <w:rPr>
          <w:lang w:val="en-US"/>
        </w:rPr>
        <w:t xml:space="preserve"> </w:t>
      </w:r>
      <w:proofErr w:type="spellStart"/>
      <w:r w:rsidRPr="00193ECF">
        <w:rPr>
          <w:lang w:val="en-US"/>
        </w:rPr>
        <w:t>graficheskimi</w:t>
      </w:r>
      <w:proofErr w:type="spellEnd"/>
      <w:r w:rsidRPr="00193ECF">
        <w:rPr>
          <w:lang w:val="en-US"/>
        </w:rPr>
        <w:t xml:space="preserve"> </w:t>
      </w:r>
      <w:proofErr w:type="spellStart"/>
      <w:r w:rsidRPr="00193ECF">
        <w:rPr>
          <w:lang w:val="en-US"/>
        </w:rPr>
        <w:t>protsessorami</w:t>
      </w:r>
      <w:proofErr w:type="spellEnd"/>
      <w:r w:rsidRPr="00193ECF">
        <w:rPr>
          <w:lang w:val="en-US"/>
        </w:rPr>
        <w:t xml:space="preserve">, </w:t>
      </w:r>
      <w:proofErr w:type="spellStart"/>
      <w:r w:rsidRPr="00193ECF">
        <w:rPr>
          <w:lang w:val="en-US"/>
        </w:rPr>
        <w:t>nakhodiashchimisia</w:t>
      </w:r>
      <w:proofErr w:type="spellEnd"/>
      <w:r w:rsidRPr="00193ECF">
        <w:rPr>
          <w:lang w:val="en-US"/>
        </w:rPr>
        <w:t xml:space="preserve"> </w:t>
      </w:r>
      <w:proofErr w:type="spellStart"/>
      <w:r w:rsidRPr="00193ECF">
        <w:rPr>
          <w:lang w:val="en-US"/>
        </w:rPr>
        <w:t>na</w:t>
      </w:r>
      <w:proofErr w:type="spellEnd"/>
      <w:r w:rsidRPr="00193ECF">
        <w:rPr>
          <w:lang w:val="en-US"/>
        </w:rPr>
        <w:t xml:space="preserve"> </w:t>
      </w:r>
      <w:proofErr w:type="spellStart"/>
      <w:r w:rsidRPr="00193ECF">
        <w:rPr>
          <w:lang w:val="en-US"/>
        </w:rPr>
        <w:t>raznykh</w:t>
      </w:r>
      <w:proofErr w:type="spellEnd"/>
      <w:r w:rsidRPr="00193ECF">
        <w:rPr>
          <w:lang w:val="en-US"/>
        </w:rPr>
        <w:t xml:space="preserve"> </w:t>
      </w:r>
      <w:proofErr w:type="spellStart"/>
      <w:r w:rsidRPr="00193ECF">
        <w:rPr>
          <w:lang w:val="en-US"/>
        </w:rPr>
        <w:t>uzlakh</w:t>
      </w:r>
      <w:proofErr w:type="spellEnd"/>
      <w:r w:rsidRPr="00193ECF">
        <w:rPr>
          <w:lang w:val="en-US"/>
        </w:rPr>
        <w:t xml:space="preserve"> </w:t>
      </w:r>
      <w:proofErr w:type="spellStart"/>
      <w:r w:rsidRPr="00193ECF">
        <w:rPr>
          <w:lang w:val="en-US"/>
        </w:rPr>
        <w:t>vychislitelnogo</w:t>
      </w:r>
      <w:proofErr w:type="spellEnd"/>
      <w:r w:rsidRPr="00193ECF">
        <w:rPr>
          <w:lang w:val="en-US"/>
        </w:rPr>
        <w:t xml:space="preserve"> </w:t>
      </w:r>
      <w:proofErr w:type="spellStart"/>
      <w:r w:rsidRPr="00193ECF">
        <w:rPr>
          <w:lang w:val="en-US"/>
        </w:rPr>
        <w:t>klastera</w:t>
      </w:r>
      <w:proofErr w:type="spellEnd"/>
      <w:r w:rsidRPr="00193ECF">
        <w:rPr>
          <w:lang w:val="en-US"/>
        </w:rPr>
        <w:t>. — URL: https://cyberleninka.ru/article/n/metod-izmereniya-zaderzhek-pri-peredache-dannyh-mezhdu-graficheskimi-protsessorami-nahodyaschimisya-na-raznyh-uzlah (accessed: 20.09.2026).</w:t>
      </w:r>
    </w:p>
    <w:p w14:paraId="44624996" w14:textId="77777777" w:rsidR="00A86C87" w:rsidRPr="00193ECF" w:rsidRDefault="00000000">
      <w:pPr>
        <w:pStyle w:val="a5"/>
        <w:rPr>
          <w:lang w:val="en-US"/>
        </w:rPr>
      </w:pPr>
      <w:r w:rsidRPr="00193ECF">
        <w:rPr>
          <w:lang w:val="en-US"/>
        </w:rPr>
        <w:tab/>
        <w:t>3.</w:t>
      </w:r>
      <w:r w:rsidRPr="00193ECF">
        <w:rPr>
          <w:lang w:val="en-US"/>
        </w:rPr>
        <w:tab/>
      </w:r>
      <w:proofErr w:type="spellStart"/>
      <w:r w:rsidRPr="00193ECF">
        <w:rPr>
          <w:lang w:val="en-US"/>
        </w:rPr>
        <w:t>Clustbench</w:t>
      </w:r>
      <w:proofErr w:type="spellEnd"/>
      <w:r w:rsidRPr="00193ECF">
        <w:rPr>
          <w:lang w:val="en-US"/>
        </w:rPr>
        <w:t xml:space="preserve"> / network-tests2. — URL: https://github.com/clustbench/network-tests2 (accessed: 20.09.2026).</w:t>
      </w:r>
    </w:p>
    <w:p w14:paraId="09ADE82C" w14:textId="77777777" w:rsidR="00A86C87" w:rsidRPr="00193ECF" w:rsidRDefault="00000000">
      <w:pPr>
        <w:pStyle w:val="a5"/>
        <w:rPr>
          <w:lang w:val="en-US"/>
        </w:rPr>
      </w:pPr>
      <w:r w:rsidRPr="00193ECF">
        <w:rPr>
          <w:lang w:val="en-US"/>
        </w:rPr>
        <w:lastRenderedPageBreak/>
        <w:tab/>
        <w:t>4.</w:t>
      </w:r>
      <w:r w:rsidRPr="00193ECF">
        <w:rPr>
          <w:lang w:val="en-US"/>
        </w:rPr>
        <w:tab/>
        <w:t>NVIDIA. CUDA C++ Programming Guide: Peer Device Memory Access. — URL: https://docs.nvidia.com/cuda/cuda-c-programming-guide/ (accessed: 20.09.2026).</w:t>
      </w:r>
    </w:p>
    <w:p w14:paraId="6FB089F1" w14:textId="77777777" w:rsidR="00A86C87" w:rsidRPr="00193ECF" w:rsidRDefault="00000000">
      <w:pPr>
        <w:pStyle w:val="a5"/>
        <w:rPr>
          <w:lang w:val="en-US"/>
        </w:rPr>
      </w:pPr>
      <w:r w:rsidRPr="00193ECF">
        <w:rPr>
          <w:lang w:val="en-US"/>
        </w:rPr>
        <w:tab/>
        <w:t>5.</w:t>
      </w:r>
      <w:r w:rsidRPr="00193ECF">
        <w:rPr>
          <w:lang w:val="en-US"/>
        </w:rPr>
        <w:tab/>
        <w:t xml:space="preserve">NVIDIA. </w:t>
      </w:r>
      <w:proofErr w:type="spellStart"/>
      <w:r w:rsidRPr="00193ECF">
        <w:rPr>
          <w:lang w:val="en-US"/>
        </w:rPr>
        <w:t>GPUDirect</w:t>
      </w:r>
      <w:proofErr w:type="spellEnd"/>
      <w:r w:rsidRPr="00193ECF">
        <w:rPr>
          <w:lang w:val="en-US"/>
        </w:rPr>
        <w:t xml:space="preserve"> RDMA. — URL: https://docs.nvidia.com/cuda/gpudirect-rdma/ (accessed: 20.09.2026).</w:t>
      </w:r>
    </w:p>
    <w:p w14:paraId="62A8D7F6" w14:textId="77777777" w:rsidR="00A86C87" w:rsidRPr="00193ECF" w:rsidRDefault="00000000">
      <w:pPr>
        <w:pStyle w:val="a5"/>
        <w:rPr>
          <w:lang w:val="en-US"/>
        </w:rPr>
      </w:pPr>
      <w:r w:rsidRPr="00193ECF">
        <w:rPr>
          <w:lang w:val="en-US"/>
        </w:rPr>
        <w:tab/>
        <w:t>6.</w:t>
      </w:r>
      <w:r w:rsidRPr="00193ECF">
        <w:rPr>
          <w:lang w:val="en-US"/>
        </w:rPr>
        <w:tab/>
        <w:t>Open MPI: CUDA-Aware Support. — URL: https://www.open-mpi.org/faq/?category=runcuda (accessed: 20.09.2026).</w:t>
      </w:r>
    </w:p>
    <w:p w14:paraId="0271EA7D" w14:textId="77777777" w:rsidR="00A86C87" w:rsidRPr="00193ECF" w:rsidRDefault="00000000">
      <w:pPr>
        <w:pStyle w:val="a5"/>
        <w:rPr>
          <w:lang w:val="en-US"/>
        </w:rPr>
      </w:pPr>
      <w:r w:rsidRPr="00193ECF">
        <w:rPr>
          <w:lang w:val="en-US"/>
        </w:rPr>
        <w:tab/>
        <w:t>7.</w:t>
      </w:r>
      <w:r w:rsidRPr="00193ECF">
        <w:rPr>
          <w:lang w:val="en-US"/>
        </w:rPr>
        <w:tab/>
        <w:t>Unified Communication X. — URL: https://openucx.org/ (accessed: 20.09.2026).</w:t>
      </w:r>
    </w:p>
    <w:p w14:paraId="673D6306" w14:textId="77777777" w:rsidR="00A86C87" w:rsidRPr="00193ECF" w:rsidRDefault="00000000">
      <w:pPr>
        <w:pStyle w:val="a5"/>
        <w:rPr>
          <w:lang w:val="en-US"/>
        </w:rPr>
      </w:pPr>
      <w:r w:rsidRPr="00193ECF">
        <w:rPr>
          <w:lang w:val="en-US"/>
        </w:rPr>
        <w:tab/>
        <w:t>8.</w:t>
      </w:r>
      <w:r w:rsidRPr="00193ECF">
        <w:rPr>
          <w:lang w:val="en-US"/>
        </w:rPr>
        <w:tab/>
      </w:r>
      <w:proofErr w:type="spellStart"/>
      <w:r w:rsidRPr="00193ECF">
        <w:rPr>
          <w:lang w:val="en-US"/>
        </w:rPr>
        <w:t>Hoefler</w:t>
      </w:r>
      <w:proofErr w:type="spellEnd"/>
      <w:r w:rsidRPr="00193ECF">
        <w:rPr>
          <w:lang w:val="en-US"/>
        </w:rPr>
        <w:t xml:space="preserve"> T., Belli R. Scientific Benchmarking of Parallel Computing Systems // SC '15. — 2015. — DOI: 10.1145/2807591.2807644</w:t>
      </w:r>
    </w:p>
    <w:p w14:paraId="390CBE11" w14:textId="77777777" w:rsidR="00A86C87" w:rsidRPr="00193ECF" w:rsidRDefault="00000000">
      <w:pPr>
        <w:pStyle w:val="a5"/>
        <w:rPr>
          <w:lang w:val="en-US"/>
        </w:rPr>
      </w:pPr>
      <w:r w:rsidRPr="00193ECF">
        <w:rPr>
          <w:lang w:val="en-US"/>
        </w:rPr>
        <w:tab/>
        <w:t>9.</w:t>
      </w:r>
      <w:r w:rsidRPr="00193ECF">
        <w:rPr>
          <w:lang w:val="en-US"/>
        </w:rPr>
        <w:tab/>
      </w:r>
      <w:proofErr w:type="spellStart"/>
      <w:r w:rsidRPr="00193ECF">
        <w:rPr>
          <w:lang w:val="en-US"/>
        </w:rPr>
        <w:t>Volchaninov</w:t>
      </w:r>
      <w:proofErr w:type="spellEnd"/>
      <w:r w:rsidRPr="00193ECF">
        <w:rPr>
          <w:lang w:val="en-US"/>
        </w:rPr>
        <w:t xml:space="preserve"> A.P., </w:t>
      </w:r>
      <w:proofErr w:type="spellStart"/>
      <w:r w:rsidRPr="00193ECF">
        <w:rPr>
          <w:lang w:val="en-US"/>
        </w:rPr>
        <w:t>Salnikov</w:t>
      </w:r>
      <w:proofErr w:type="spellEnd"/>
      <w:r w:rsidRPr="00193ECF">
        <w:rPr>
          <w:lang w:val="en-US"/>
        </w:rPr>
        <w:t xml:space="preserve"> A.N. </w:t>
      </w:r>
      <w:proofErr w:type="spellStart"/>
      <w:r w:rsidRPr="00193ECF">
        <w:rPr>
          <w:lang w:val="en-US"/>
        </w:rPr>
        <w:t>Issledovanie</w:t>
      </w:r>
      <w:proofErr w:type="spellEnd"/>
      <w:r w:rsidRPr="00193ECF">
        <w:rPr>
          <w:lang w:val="en-US"/>
        </w:rPr>
        <w:t xml:space="preserve"> </w:t>
      </w:r>
      <w:proofErr w:type="spellStart"/>
      <w:r w:rsidRPr="00193ECF">
        <w:rPr>
          <w:lang w:val="en-US"/>
        </w:rPr>
        <w:t>struktury</w:t>
      </w:r>
      <w:proofErr w:type="spellEnd"/>
      <w:r w:rsidRPr="00193ECF">
        <w:rPr>
          <w:lang w:val="en-US"/>
        </w:rPr>
        <w:t xml:space="preserve"> </w:t>
      </w:r>
      <w:proofErr w:type="spellStart"/>
      <w:r w:rsidRPr="00193ECF">
        <w:rPr>
          <w:lang w:val="en-US"/>
        </w:rPr>
        <w:t>serii</w:t>
      </w:r>
      <w:proofErr w:type="spellEnd"/>
      <w:r w:rsidRPr="00193ECF">
        <w:rPr>
          <w:lang w:val="en-US"/>
        </w:rPr>
        <w:t xml:space="preserve"> </w:t>
      </w:r>
      <w:proofErr w:type="spellStart"/>
      <w:r w:rsidRPr="00193ECF">
        <w:rPr>
          <w:lang w:val="en-US"/>
        </w:rPr>
        <w:t>izmerenii</w:t>
      </w:r>
      <w:proofErr w:type="spellEnd"/>
      <w:r w:rsidRPr="00193ECF">
        <w:rPr>
          <w:lang w:val="en-US"/>
        </w:rPr>
        <w:t xml:space="preserve"> </w:t>
      </w:r>
      <w:proofErr w:type="spellStart"/>
      <w:r w:rsidRPr="00193ECF">
        <w:rPr>
          <w:lang w:val="en-US"/>
        </w:rPr>
        <w:t>zaderzhki</w:t>
      </w:r>
      <w:proofErr w:type="spellEnd"/>
      <w:r w:rsidRPr="00193ECF">
        <w:rPr>
          <w:lang w:val="en-US"/>
        </w:rPr>
        <w:t xml:space="preserve"> </w:t>
      </w:r>
      <w:proofErr w:type="spellStart"/>
      <w:r w:rsidRPr="00193ECF">
        <w:rPr>
          <w:lang w:val="en-US"/>
        </w:rPr>
        <w:t>pri</w:t>
      </w:r>
      <w:proofErr w:type="spellEnd"/>
      <w:r w:rsidRPr="00193ECF">
        <w:rPr>
          <w:lang w:val="en-US"/>
        </w:rPr>
        <w:t xml:space="preserve"> </w:t>
      </w:r>
      <w:proofErr w:type="spellStart"/>
      <w:r w:rsidRPr="00193ECF">
        <w:rPr>
          <w:lang w:val="en-US"/>
        </w:rPr>
        <w:t>nagruzochnom</w:t>
      </w:r>
      <w:proofErr w:type="spellEnd"/>
      <w:r w:rsidRPr="00193ECF">
        <w:rPr>
          <w:lang w:val="en-US"/>
        </w:rPr>
        <w:t xml:space="preserve"> </w:t>
      </w:r>
      <w:proofErr w:type="spellStart"/>
      <w:r w:rsidRPr="00193ECF">
        <w:rPr>
          <w:lang w:val="en-US"/>
        </w:rPr>
        <w:t>testirovanii</w:t>
      </w:r>
      <w:proofErr w:type="spellEnd"/>
      <w:r w:rsidRPr="00193ECF">
        <w:rPr>
          <w:lang w:val="en-US"/>
        </w:rPr>
        <w:t xml:space="preserve"> </w:t>
      </w:r>
      <w:proofErr w:type="spellStart"/>
      <w:r w:rsidRPr="00193ECF">
        <w:rPr>
          <w:lang w:val="en-US"/>
        </w:rPr>
        <w:t>kommutatsionnoi</w:t>
      </w:r>
      <w:proofErr w:type="spellEnd"/>
      <w:r w:rsidRPr="00193ECF">
        <w:rPr>
          <w:lang w:val="en-US"/>
        </w:rPr>
        <w:t xml:space="preserve"> </w:t>
      </w:r>
      <w:proofErr w:type="spellStart"/>
      <w:r w:rsidRPr="00193ECF">
        <w:rPr>
          <w:lang w:val="en-US"/>
        </w:rPr>
        <w:t>sredy</w:t>
      </w:r>
      <w:proofErr w:type="spellEnd"/>
      <w:r w:rsidRPr="00193ECF">
        <w:rPr>
          <w:lang w:val="en-US"/>
        </w:rPr>
        <w:t xml:space="preserve"> </w:t>
      </w:r>
      <w:proofErr w:type="spellStart"/>
      <w:r w:rsidRPr="00193ECF">
        <w:rPr>
          <w:lang w:val="en-US"/>
        </w:rPr>
        <w:t>vychislitelnogo</w:t>
      </w:r>
      <w:proofErr w:type="spellEnd"/>
      <w:r w:rsidRPr="00193ECF">
        <w:rPr>
          <w:lang w:val="en-US"/>
        </w:rPr>
        <w:t xml:space="preserve"> </w:t>
      </w:r>
      <w:proofErr w:type="spellStart"/>
      <w:r w:rsidRPr="00193ECF">
        <w:rPr>
          <w:lang w:val="en-US"/>
        </w:rPr>
        <w:t>klastera</w:t>
      </w:r>
      <w:proofErr w:type="spellEnd"/>
      <w:r w:rsidRPr="00193ECF">
        <w:rPr>
          <w:lang w:val="en-US"/>
        </w:rPr>
        <w:t xml:space="preserve"> // Trudy RuSCDays-2023. — 2023. — P. 42.</w:t>
      </w:r>
    </w:p>
    <w:p w14:paraId="38E45756" w14:textId="77777777" w:rsidR="00A86C87" w:rsidRPr="00193ECF" w:rsidRDefault="00000000">
      <w:pPr>
        <w:pStyle w:val="a5"/>
        <w:rPr>
          <w:lang w:val="en-US"/>
        </w:rPr>
      </w:pPr>
      <w:r w:rsidRPr="00193ECF">
        <w:rPr>
          <w:lang w:val="en-US"/>
        </w:rPr>
        <w:tab/>
        <w:t>10.</w:t>
      </w:r>
      <w:r w:rsidRPr="00193ECF">
        <w:rPr>
          <w:lang w:val="en-US"/>
        </w:rPr>
        <w:tab/>
      </w:r>
      <w:proofErr w:type="spellStart"/>
      <w:r w:rsidRPr="00193ECF">
        <w:rPr>
          <w:lang w:val="en-US"/>
        </w:rPr>
        <w:t>Slurm</w:t>
      </w:r>
      <w:proofErr w:type="spellEnd"/>
      <w:r w:rsidRPr="00193ECF">
        <w:rPr>
          <w:lang w:val="en-US"/>
        </w:rPr>
        <w:t xml:space="preserve"> Workload Manager: Generic Resource (GRES) Scheduling. — URL: https://slurm.schedmd.com/gres.html (accessed: 20.09.2026).</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EC3A8" w14:textId="77777777" w:rsidR="008F779B" w:rsidRDefault="008F779B">
      <w:r>
        <w:separator/>
      </w:r>
    </w:p>
  </w:endnote>
  <w:endnote w:type="continuationSeparator" w:id="0">
    <w:p w14:paraId="7DD1637B" w14:textId="77777777" w:rsidR="008F779B" w:rsidRDefault="008F7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9160B" w14:textId="77777777" w:rsidR="008F779B" w:rsidRDefault="008F779B">
      <w:r>
        <w:separator/>
      </w:r>
    </w:p>
  </w:footnote>
  <w:footnote w:type="continuationSeparator" w:id="0">
    <w:p w14:paraId="733D5F09" w14:textId="77777777" w:rsidR="008F779B" w:rsidRDefault="008F7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164CC9"/>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8</Pages>
  <Words>2470</Words>
  <Characters>14084</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16521</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9</cp:revision>
  <cp:lastPrinted>1899-12-31T21:00:00Z</cp:lastPrinted>
  <dcterms:created xsi:type="dcterms:W3CDTF">2025-03-02T19:01:00Z</dcterms:created>
  <dcterms:modified xsi:type="dcterms:W3CDTF">2026-09-23T09:03:00Z</dcterms:modified>
</cp:coreProperties>
</file>