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на каждом устройстве, но и от скорости обмена данными между ними в коммуникационной среде: медленный обмен может стать узким местом.</w:t>
      </w:r>
    </w:p>
    <w:p w14:paraId="3A708C14" w14:textId="77777777" w:rsidR="00193ECF" w:rsidRDefault="00000000">
      <w:r>
        <w:t>Данные между GPU передаются либо без промежуточных копий, либо с копированием через оперативную память. Маршрут передачи определяется расположением устройств, настройками транспортного слоя и привязкой ресурсов к процессу. От выбранного маршрута зависит задержка, и для разных пар GPU она может заметно различаться.</w:t>
      </w:r>
    </w:p>
    <w:p w14:paraId="3A708C14" w14:textId="77777777" w:rsidR="00193ECF" w:rsidRDefault="00000000">
      <w:r>
        <w:t>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В статье описаны способ измерения и настройки Open MPI, транспортного слоя UCX и планировщика Slurm, от которых зависит маршрут передачи, и на измерениях показано, как выбор маршрута сказывается на задержке.</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которая называется маршрутом. Множество допустимых маршрутов задаётся топологией, а фактический маршрут определяется исполняемым кодом и коммуникационным стеком. Вообще говоря, коммуникационный стек может разбивать сообщение на фрагменты, и разные фрагменты могут передаваться разными маршрутами.</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