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но и от скорости обмена данными в коммуникационной среде: медленный обмен может стать узким местом.</w:t>
      </w:r>
    </w:p>
    <w:p w14:paraId="3A708C14" w14:textId="77777777" w:rsidR="00193ECF" w:rsidRDefault="00000000">
      <w:r>
        <w:t>Данные между GPU передаются либо без промежуточных копий, либо с копированием через оперативную память. Какой из этих вариантов будет использован, зависит от расположения устройств, настроек транспортного слоя и привязки ресурсов к процессу. От этого зависит задержка, и для разных пар GPU она может заметно различаться.</w:t>
      </w:r>
    </w:p>
    <w:p w14:paraId="3A708C14" w14:textId="77777777" w:rsidR="00193ECF" w:rsidRDefault="00000000">
      <w:r>
        <w:t>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В статье описаны способ измерения и настройки Open MPI, транспортного слоя UCX и планировщика Slurm, от которых зависит маршрут передачи, и на измерениях показано, как выбор маршрута сказывается на задержке.</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вершины которого соответствуют аппаратным компонентам — процессорам, GPU, сетевым адаптерам и коммутаторам, — а рёбра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Сообщение проходит по графу через последовательность вершин и рёбер, которая называется маршрутом. Множество допустимых маршрутов задаётся топологией, а фактический маршрут определяется исполняемым кодом и коммуникационным стеком. Вообще говоря, коммуникационный стек может разбивать сообщение на фрагменты, и разные фрагменты могут передаваться разными маршрутами.</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устройств.</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Модуль выставляет нужные параметры до вызова MPI_Init, поскольку UCX читает их при инициализации, и записывает их фактические значения в заголовок каждого файла результатов.</w:t>
      </w:r>
    </w:p>
    <w:p w14:paraId="3A708C14" w14:textId="77777777" w:rsidR="00193ECF" w:rsidRDefault="00000000">
      <w:r>
        <w:rPr>
          <w:b/>
        </w:rPr>
        <w:t xml:space="preserve">Open MPI и UCX. </w:t>
      </w:r>
      <w:r>
        <w:t>Open MPI запускается с компонентом передачи сообщений UCX (OMPI_MCA_pml=ucx) и включённой поддержкой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