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Данные от одного GPU к другому проходят через разные компоненты коммуникационной среды. Внутри узла это NVLink или шина PCIe, между узлами добавляются сетевые адаптеры и межузловая сеть. Кроме того, данные могут передаваться без промежуточных копий или с копированием через оперативную память. Путь передачи определяется расположением устройств, настройками транспортного слоя и привязкой ресурсов к процессу. От него зависит задержка передачи, то есть время, за которое данные доходят от одного GPU до другого. Для разных пар GPU она может заметно различаться.</w:t>
      </w:r>
    </w:p>
    <w:p w14:paraId="3A708C14" w14:textId="77777777" w:rsidR="00193ECF" w:rsidRDefault="00000000">
      <w:r>
        <w:t>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В статье описаны способ измерения и настройки Open MPI, транспортного слоя UCX и планировщика Slurm, от которых зависит путь передачи, и на измерениях показано, как выбор пути сказывается на задержке.</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то есть по некоторому пути. Множество допустимых путей задаётся топологией, а фактический путь определяется исполняемым кодом и коммуникационным стеком. Вообще говоря, коммуникационный стек может разбивать сообщение на фрагменты, и разные фрагменты могут передаваться разными путями.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