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расположением устройств, настройками транспортного слоя и привязкой ресурсов к процессам параллельной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