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Множество возможных путей зависит от топологии и программного окружения, а конкретный путь выбирает транспортный слой. Сообщение при этом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paths.png"/>
                    <pic:cNvPicPr/>
                  </pic:nvPicPr>
                  <pic:blipFill>
                    <a:blip r:embed="rId19"/>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