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pPr>
        <w:pStyle w:val="ae"/>
      </w:pPr>
      <w:r>
        <w:t>К. О. Кибизов</w:t>
      </w:r>
      <w:r>
        <w:rPr>
          <w:vertAlign w:val="superscript"/>
        </w:rPr>
        <w:t>1</w:t>
      </w:r>
      <w:r>
        <w:t xml:space="preserve">, </w:t>
      </w:r>
      <w:r>
        <w:t>А. Н. Сальников</w:t>
      </w:r>
      <w:r>
        <w:rPr>
          <w:vertAlign w:val="superscript"/>
        </w:rPr>
        <w:t>1,2</w:t>
      </w:r>
      <w:r>
        <w:t xml:space="preserve">, </w:t>
      </w:r>
      <w:r>
        <w:t>Г. М. Михайлов</w:t>
      </w:r>
      <w:r>
        <w:rPr>
          <w:vertAlign w:val="superscript"/>
        </w:rPr>
        <w:t>2</w:t>
      </w:r>
    </w:p>
    <w:p>
      <w:pPr>
        <w:pStyle w:val="af5"/>
      </w:pPr>
      <w:r>
        <w:rPr>
          <w:vertAlign w:val="superscript"/>
        </w:rPr>
        <w:t xml:space="preserve">1 </w:t>
      </w:r>
      <w:r>
        <w:t>МГУ имени М. В. Ломоносова, Москва</w:t>
      </w:r>
    </w:p>
    <w:p>
      <w:pPr>
        <w:pStyle w:val="af5"/>
      </w:pPr>
      <w:r>
        <w:rPr>
          <w:vertAlign w:val="superscript"/>
        </w:rPr>
        <w:t xml:space="preserve">2 </w:t>
      </w:r>
      <w:r>
        <w:t>Вычислительный центр им. А. А. Дородницына ФИЦ ИУ РАН, Москва</w:t>
      </w:r>
    </w:p>
    <w:p>
      <w:pPr>
        <w:pStyle w:val="afa"/>
      </w:pPr>
      <w:r>
        <w:t>Аннотация.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наравне со скоростью вычислений определяет общую производительность, поэтому измерение задержек позволяет выявлять узкие места коммуникационной среды. Реализован программный модуль, измеряющий задержки для всех пар GPU кластера в сопоставимых условиях при варьировании трёх параметров: размера сообщения, среды передачи и режима тестирования. Среда передачи определяет, выполняется ли обмен напрямую между устройствами или через оперативную память хоста, и рассматривается как самостоятельный параметр эксперимента; режим тестирования задаёт сценарий обмена — изолированную передачу между одной парой устройств или одновременный обмен между всеми парами. Измерения выполнены на двух конфигурациях, различающихся способом объединения GPU: с мостом NVLink между парой устройств и с коммутаторами NVSwitch. При прямом обмене сообщением размером 16 МБ достигнуто 220 ГБ/с внутри узла с коммутаторами NVSwitch и 9,2 ГБ/с между узлами через InfiniBand, что составляет 73 и 74 процента от соответствующих аппаратных пределов и превосходит передачу через оперативную память в 16,9 и 1,5 раза. Показано также, что результат измерения существенно зависит от настроек транспортного слоя и схемы привязки вычислительных ядер, GPU и сетевого адаптера к процессу, поэтому их фиксация необходима для воспроизводимости результатов.</w:t>
      </w:r>
    </w:p>
    <w:p>
      <w:pPr>
        <w:pStyle w:val="afc"/>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pPr>
        <w:pStyle w:val="-"/>
      </w:pPr>
      <w:r>
        <w:t>Development of methods for measuring latency during data transfer between graphics processing units in a computing cluster</w:t>
      </w:r>
    </w:p>
    <w:p>
      <w:pPr>
        <w:pStyle w:val="ae"/>
      </w:pPr>
      <w:r>
        <w:t>K. O. Kibizov</w:t>
      </w:r>
      <w:r>
        <w:rPr>
          <w:vertAlign w:val="superscript"/>
        </w:rPr>
        <w:t>1</w:t>
      </w:r>
      <w:r>
        <w:t xml:space="preserve">, </w:t>
      </w:r>
      <w:r>
        <w:t>A. N. Salnikov</w:t>
      </w:r>
      <w:r>
        <w:rPr>
          <w:vertAlign w:val="superscript"/>
        </w:rPr>
        <w:t>1,2</w:t>
      </w:r>
      <w:r>
        <w:t xml:space="preserve">, </w:t>
      </w:r>
      <w:r>
        <w:t>G. M. Mikhaylov</w:t>
      </w:r>
      <w:r>
        <w:rPr>
          <w:vertAlign w:val="superscript"/>
        </w:rPr>
        <w:t>2</w:t>
      </w:r>
    </w:p>
    <w:p>
      <w:pPr>
        <w:pStyle w:val="af5"/>
      </w:pPr>
      <w:r>
        <w:rPr>
          <w:vertAlign w:val="superscript"/>
        </w:rPr>
        <w:t xml:space="preserve">1 </w:t>
      </w:r>
      <w:r>
        <w:t>Lomonosov Moscow State University, Moscow</w:t>
      </w:r>
    </w:p>
    <w:p>
      <w:pPr>
        <w:pStyle w:val="af5"/>
      </w:pPr>
      <w:r>
        <w:rPr>
          <w:vertAlign w:val="superscript"/>
        </w:rPr>
        <w:t xml:space="preserve">2 </w:t>
      </w:r>
      <w:r>
        <w:t>Dorodnicyn Computing Centre FRC CSC RAS, Moscow</w:t>
      </w:r>
    </w:p>
    <w:p>
      <w:pPr>
        <w:pStyle w:val="afa"/>
      </w:pPr>
      <w:r>
        <w:t>Abstract. This work addresses the problem of measuring data transfer latency between graphics processing units (GPUs) in a computing cluster. When several GPUs are used, the data exchange speed, together with the computation speed, determines the overall performance, which makes latency measurement a practical way to locate bottlenecks in the communication environment. A software module has been implemented that measures latency for all GPU pairs of a cluster under comparable conditions while varying three parameters: message size, transfer environment and testing mode. The transfer environment determines whether communication is performed directly between devices or through host memory and is treated as an independent experimental parameter; the testing mode defines the exchange scenario — an isolated transfer between a single pair of devices or a simultaneous exchange among all pairs. Measurements were carried out on two configurations differing in how the GPUs are interconnected: an NVLink bridge between a pair of devices and NVSwitch switches. For a 16 MB message, direct exchange reaches 220 GB/s within an NVSwitch-equipped node and 9.2 GB/s between nodes over InfiniBand, which is 73 and 74 percent of the respective hardware limits and exceeds transfer through host memory by factors of 16.9 and 1.5. The measurement result is also shown to depend substantially on the transport layer settings and on the binding of CPU cores, GPU and network adapter to a process, so recording them is necessary for reproducibility.</w:t>
      </w:r>
    </w:p>
    <w:p>
      <w:pPr>
        <w:pStyle w:val="afc"/>
      </w:pPr>
      <w:r>
        <w:t>Keywords: computing cluster, graphics processing unit (GPU), transfer latency, load testing, communication environment, resource binding, CUDA, MPI, UCX</w:t>
      </w:r>
    </w:p>
    <w:p>
      <w:pPr>
        <w:pStyle w:val="afe"/>
      </w:pPr>
      <w:r>
        <w:t>1.</w:t>
        <w:tab/>
        <w:t>Постановка задачи</w:t>
      </w:r>
    </w:p>
    <w:p>
      <w:pPr/>
      <w:r>
        <w:t>При использовании нескольких GPU производительность приложения зависит не только от скорости вычислений, но и от скорости обмена данными между устройствами. Данные могут передаваться напрямую между GPU либо через промежуточное копирование в оперативную память хоста; маршрут существенно влияет на задержку. Коммуникационная среда кластера неоднородна, поэтому задержки между отдельными парами GPU различаются [1]. Работа продолжает подход [2] и расширяет набор тестов проекта Clustbench [3]: среда передачи выделена как самостоятельный параметр эксперимента, а схема «один MPI-процесс на узел» заменена схемой «один MPI-процесс на один GPU».</w:t>
      </w:r>
    </w:p>
    <w:p>
      <w:pPr>
        <w:pStyle w:val="afe"/>
      </w:pPr>
      <w:r>
        <w:t>2.</w:t>
        <w:tab/>
        <w:t>Способ измерения</w:t>
      </w:r>
    </w:p>
    <w:p>
      <w:pPr/>
      <w:r>
        <w:t>Измеряется сквозная задержка передачи сообщения между упорядоченной парой устройств. Измерение выполняется на стороне получателя: фиксируется интервал от готовности принять данные до завершения приёма. Таймером служит MPI_Wtime(), что не требует согласованности таймеров между узлами. Модуль реализован на C++ с использованием CUDA Runtime API и MPI; применяются Open MPI [4] в CUDA-aware режиме и транспортный слой UCX [5]. Поддержаны две среды передачи и два режима нагрузки. Для оценки типичного времени используется медиана как устойчивая к выбросам [7]; по стандартному отклонению отдельных замеров оценивается погрешность медианы [8], что позволяет отличать содержательные различия между парами устройств от случайного разброса.</w:t>
      </w:r>
    </w:p>
    <w:p>
      <w:pPr/>
      <w:r>
        <w:t>Существенным для воспроизводимости оказывается не только сама методика, но и условия её применения. Настройки транспортного слоя — выбор схемы зеро-копирования и порога перехода к протоколу rendezvous — заметно меняют измеряемую величину, вплоть до потери чувствительности результатов к маршруту передачи. Столь же важен порядок назначения ресурсов: физическая цепочка задана топологией, где GPU занимает определённое место в дереве PCIe, рядом с ним расположен сетевой адаптер, и оба принадлежат некоторому узлу NUMA. В работе применяется раннее связывание, при котором номер процесса внутри узла читается из переменных окружения запускающей системы, по нему выбирается GPU, по адресу GPU в дереве PCIe определяется ближайший адаптер InfiniBand, и всё это выполняется до вызова MPI_Init; привязка ядер к GPU обеспечивается средствами планировщика [6].</w:t>
      </w:r>
    </w:p>
    <w:p>
      <w:pPr>
        <w:pStyle w:val="afe"/>
      </w:pPr>
      <w:r>
        <w:t>3.</w:t>
        <w:tab/>
        <w:t>Результаты</w:t>
      </w:r>
    </w:p>
    <w:p>
      <w:pPr/>
      <w:r>
        <w:t>Измерения выполнены на двух конфигурациях, различающихся способом объединения GPU: узлы с двумя GPU NVIDIA A100-PCIE-40GB, соединёнными мостом NVLink, с единственным адаптером InfiniBand 100 Гбит/с, и узлы с GPU NVIDIA A100-SXM4-40GB, объединёнными коммутаторами NVSwitch. Применялись Open MPI 5.0.10, UCX 1.15.0 и CUDA Toolkit 12.8.</w:t>
      </w:r>
    </w:p>
    <w:p>
      <w:pPr/>
      <w:r>
        <w:t>Наиболее показательны измерения при размере сообщения 16 МБ, когда постоянные накладные расходы пренебрежимо малы и задержка определяется пропускной способностью маршрута. На узле с коммутаторами NVSwitch передача между GPU одного узла занимает 74,5 мкс, что соответствует 220 ГБ/с, или 73 % от пиковой пропускной способности NVLink; через оперативную память та же передача занимает 1259 мкс, то есть прямой обмен быстрее в 16,9 раза. Разброс по парам устройств не превышает 0,6 %, что согласуется с полносвязной топологией NVSwitch.</w:t>
      </w:r>
    </w:p>
    <w:p>
      <w:pPr/>
      <w:r>
        <w:t>На узлах с GPU в исполнении PCIe внутриузловая передача даёт 19,4 ГБ/с против 13,0 ГБ/с через оперативную память, межузловая — 9,2 ГБ/с против 6,3 ГБ/с; последнее составляет 74 % от предела канала InfiniBand. Внутриузловое значение укладывается в пропускную способность шины PCIe, которой подключены эти GPU (Gen4 x16), и на порядок ниже возможностей соединяющего их моста NVLink, хотя средства диагностики сообщают о его работоспособности; установление причины требует трассировки выбора транспорта. В режиме одновременного обмена ограничивающим ресурсом выступает единственный адаптер InfiniBand: суммарный межузловой трафик узла в 64 МБ даёт нижнюю оценку длительности обмена 5120 мкс при измеренных 7095 мкс.</w:t>
      </w:r>
    </w:p>
    <w:p>
      <w:pPr/>
      <w:r>
        <w:t>Результаты показывают, что среда передачи и режим тестирования существенно влияют на задержку, а разброс значений между парами GPU отражает неоднородность коммуникационной среды кластера. Публикуемым значениям задержек должна сопутствовать фиксация настроек транспортного слоя и схемы привязки ресурсов, без которой результаты несопоставимы между запусками.</w:t>
      </w:r>
    </w:p>
    <w:p>
      <w:pPr>
        <w:pStyle w:val="afe"/>
      </w:pPr>
      <w:r>
        <w:t>Литература</w:t>
      </w:r>
    </w:p>
    <w:p>
      <w:pPr>
        <w:pStyle w:val="af3"/>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 Ростов-на-Дону, 2017.</w:t>
      </w:r>
    </w:p>
    <w:p>
      <w:pPr>
        <w:pStyle w:val="af3"/>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URL: https://cyberleninka.ru/article/n/metod-izmereniya-zaderzhek-pri-peredache-dannyh-mezhdu-graficheskimi-protsessorami-nahodyaschimisya-na-raznyh-uzlah (дата обращения: 20.09.2026).</w:t>
      </w:r>
    </w:p>
    <w:p>
      <w:pPr>
        <w:pStyle w:val="af3"/>
      </w:pPr>
      <w:r>
        <w:tab/>
        <w:t>3.</w:t>
        <w:tab/>
        <w:t>Clustbench / network-tests2. — URL: https://github.com/clustbench/network-tests2 (дата обращения: 20.09.2026).</w:t>
      </w:r>
    </w:p>
    <w:p>
      <w:pPr>
        <w:pStyle w:val="af3"/>
      </w:pPr>
      <w:r>
        <w:tab/>
        <w:t>4.</w:t>
        <w:tab/>
        <w:t>Open MPI: CUDA-Aware Support. — URL: https://www.open-mpi.org/faq/?category=runcuda (дата обращения: 20.09.2026).</w:t>
      </w:r>
    </w:p>
    <w:p>
      <w:pPr>
        <w:pStyle w:val="af3"/>
      </w:pPr>
      <w:r>
        <w:tab/>
        <w:t>5.</w:t>
        <w:tab/>
        <w:t>Unified Communication X. — URL: https://openucx.org/ (дата обращения: 20.09.2026).</w:t>
      </w:r>
    </w:p>
    <w:p>
      <w:pPr>
        <w:pStyle w:val="af3"/>
      </w:pPr>
      <w:r>
        <w:tab/>
        <w:t>6.</w:t>
        <w:tab/>
        <w:t>Slurm Workload Manager: Generic Resource (GRES) Scheduling. — URL: https://slurm.schedmd.com/gres.html (дата обращения: 20.09.2026).</w:t>
      </w:r>
    </w:p>
    <w:p>
      <w:pPr>
        <w:pStyle w:val="af3"/>
      </w:pPr>
      <w:r>
        <w:tab/>
        <w:t>7.</w:t>
        <w:tab/>
        <w:t>Hoefler T., Belli R. Scientific Benchmarking of Parallel Computing Systems // SC '15. — 2015. — DOI: 10.1145/2807591.2807644</w:t>
      </w:r>
    </w:p>
    <w:p>
      <w:pPr>
        <w:pStyle w:val="af3"/>
      </w:pPr>
      <w:r>
        <w:tab/>
        <w:t>8.</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Труды RuSCDays-2023. — 2023. — С. 42.</w:t>
      </w:r>
    </w:p>
    <w:p>
      <w:pPr>
        <w:pStyle w:val="afe"/>
      </w:pPr>
      <w:r>
        <w:t>References</w:t>
      </w:r>
    </w:p>
    <w:p>
      <w:pPr>
        <w:pStyle w:val="af3"/>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 Rostov-na-Donu, 2017.</w:t>
      </w:r>
    </w:p>
    <w:p>
      <w:pPr>
        <w:pStyle w:val="af3"/>
      </w:pPr>
      <w:r>
        <w:tab/>
        <w:t>2.</w:t>
        <w:tab/>
        <w:t>Begaev A.A., Salnikov A.N. Metod izmereniia zaderzhek pri peredache dannykh mezhdu graficheskimi protsessorami, nakhodiashchimisia na raznykh uzlakh vychislitelnogo klastera. — URL: https://cyberleninka.ru/article/n/metod-izmereniya-zaderzhek-pri-peredache-dannyh-mezhdu-graficheskimi-protsessorami-nahodyaschimisya-na-raznyh-uzlah (accessed: 20.09.2026).</w:t>
      </w:r>
    </w:p>
    <w:p>
      <w:pPr>
        <w:pStyle w:val="af3"/>
      </w:pPr>
      <w:r>
        <w:tab/>
        <w:t>3.</w:t>
        <w:tab/>
        <w:t>Clustbench / network-tests2. — URL: https://github.com/clustbench/network-tests2 (accessed: 20.09.2026).</w:t>
      </w:r>
    </w:p>
    <w:p>
      <w:pPr>
        <w:pStyle w:val="af3"/>
      </w:pPr>
      <w:r>
        <w:tab/>
        <w:t>4.</w:t>
        <w:tab/>
        <w:t>Open MPI: CUDA-Aware Support. — URL: https://www.open-mpi.org/faq/?category=runcuda (accessed: 20.09.2026).</w:t>
      </w:r>
    </w:p>
    <w:p>
      <w:pPr>
        <w:pStyle w:val="af3"/>
      </w:pPr>
      <w:r>
        <w:tab/>
        <w:t>5.</w:t>
        <w:tab/>
        <w:t>Unified Communication X. — URL: https://openucx.org/ (accessed: 20.09.2026).</w:t>
      </w:r>
    </w:p>
    <w:p>
      <w:pPr>
        <w:pStyle w:val="af3"/>
      </w:pPr>
      <w:r>
        <w:tab/>
        <w:t>6.</w:t>
        <w:tab/>
        <w:t>Slurm Workload Manager: Generic Resource (GRES) Scheduling. — URL: https://slurm.schedmd.com/gres.html (accessed: 20.09.2026).</w:t>
      </w:r>
    </w:p>
    <w:p>
      <w:pPr>
        <w:pStyle w:val="af3"/>
      </w:pPr>
      <w:r>
        <w:tab/>
        <w:t>7.</w:t>
        <w:tab/>
        <w:t>Hoefler T., Belli R. Scientific Benchmarking of Parallel Computing Systems // SC '15. — 2015. — DOI: 10.1145/2807591.2807644</w:t>
      </w:r>
    </w:p>
    <w:p>
      <w:pPr>
        <w:pStyle w:val="af3"/>
      </w:pPr>
      <w:r>
        <w:tab/>
        <w:t>8.</w:t>
        <w:tab/>
        <w:t>Volchaninov A.P., Salnikov A.N. Issledovanie struktury serii izmerenii zaderzhki pri nagruzochnom testirovanii kommutatsionnoi sredy vychislitelnogo klastera // Trudy RuSCDays-2023. — 2023. — P. 42.</w:t>
      </w:r>
    </w:p>
    <w:sectPr w:rsidR="00D84E08" w:rsidRPr="005A6FA9" w:rsidSect="00807307">
      <w:footerReference w:type="default" r:id="rId10"/>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094D" w:rsidRDefault="00DA094D">
      <w:r>
        <w:separator/>
      </w:r>
    </w:p>
  </w:endnote>
  <w:endnote w:type="continuationSeparator" w:id="0">
    <w:p w:rsidR="00DA094D" w:rsidRDefault="00DA0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panose1 w:val="020B0603030804020204"/>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27F" w:rsidRDefault="0090727F" w:rsidP="005628F0">
    <w:pPr>
      <w:pStyle w:val="af1"/>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094D" w:rsidRDefault="00DA094D">
      <w:r>
        <w:separator/>
      </w:r>
    </w:p>
  </w:footnote>
  <w:footnote w:type="continuationSeparator" w:id="0">
    <w:p w:rsidR="00DA094D" w:rsidRDefault="00DA09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F0C08F9A"/>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pStyle w:val="4"/>
      <w:suff w:val="nothing"/>
      <w:lvlText w:val=""/>
      <w:lvlJc w:val="left"/>
      <w:pPr>
        <w:tabs>
          <w:tab w:val="num" w:pos="864"/>
        </w:tabs>
        <w:ind w:left="864" w:hanging="864"/>
      </w:pPr>
    </w:lvl>
    <w:lvl w:ilvl="4">
      <w:start w:val="1"/>
      <w:numFmt w:val="none"/>
      <w:pStyle w:val="5"/>
      <w:suff w:val="nothing"/>
      <w:lvlText w:val=""/>
      <w:lvlJc w:val="left"/>
      <w:pPr>
        <w:tabs>
          <w:tab w:val="num" w:pos="1008"/>
        </w:tabs>
        <w:ind w:left="1008" w:hanging="1008"/>
      </w:pPr>
    </w:lvl>
    <w:lvl w:ilvl="5">
      <w:start w:val="1"/>
      <w:numFmt w:val="none"/>
      <w:pStyle w:val="6"/>
      <w:suff w:val="nothing"/>
      <w:lvlText w:val=""/>
      <w:lvlJc w:val="left"/>
      <w:pPr>
        <w:tabs>
          <w:tab w:val="num" w:pos="1152"/>
        </w:tabs>
        <w:ind w:left="1152" w:hanging="1152"/>
      </w:pPr>
    </w:lvl>
    <w:lvl w:ilvl="6">
      <w:start w:val="1"/>
      <w:numFmt w:val="none"/>
      <w:pStyle w:val="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9"/>
  </w:num>
  <w:num w:numId="5">
    <w:abstractNumId w:val="8"/>
  </w:num>
  <w:num w:numId="6">
    <w:abstractNumId w:val="5"/>
  </w:num>
  <w:num w:numId="7">
    <w:abstractNumId w:val="7"/>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51FCD"/>
    <w:pPr>
      <w:suppressAutoHyphens/>
      <w:ind w:firstLine="680"/>
      <w:jc w:val="both"/>
    </w:pPr>
    <w:rPr>
      <w:sz w:val="28"/>
      <w:lang w:eastAsia="ar-SA"/>
    </w:rPr>
  </w:style>
  <w:style w:type="paragraph" w:styleId="1">
    <w:name w:val="heading 1"/>
    <w:basedOn w:val="a0"/>
    <w:next w:val="a0"/>
    <w:link w:val="10"/>
    <w:qFormat/>
    <w:rsid w:val="00A75489"/>
    <w:pPr>
      <w:keepNext/>
      <w:keepLines/>
      <w:pageBreakBefore/>
      <w:numPr>
        <w:numId w:val="1"/>
      </w:numPr>
      <w:spacing w:before="960" w:after="360"/>
      <w:ind w:left="0" w:firstLine="0"/>
      <w:jc w:val="center"/>
      <w:outlineLvl w:val="0"/>
    </w:pPr>
    <w:rPr>
      <w:b/>
      <w:kern w:val="36"/>
      <w:sz w:val="40"/>
    </w:rPr>
  </w:style>
  <w:style w:type="paragraph" w:styleId="2">
    <w:name w:val="heading 2"/>
    <w:basedOn w:val="a0"/>
    <w:next w:val="a1"/>
    <w:pPr>
      <w:keepNext/>
      <w:numPr>
        <w:ilvl w:val="1"/>
        <w:numId w:val="1"/>
      </w:numPr>
      <w:overflowPunct w:val="0"/>
      <w:autoSpaceDE w:val="0"/>
      <w:spacing w:before="240" w:after="160"/>
      <w:textAlignment w:val="baseline"/>
      <w:outlineLvl w:val="1"/>
    </w:pPr>
    <w:rPr>
      <w:b/>
      <w:sz w:val="32"/>
      <w:lang w:val="en-US"/>
    </w:rPr>
  </w:style>
  <w:style w:type="paragraph" w:styleId="3">
    <w:name w:val="heading 3"/>
    <w:basedOn w:val="a0"/>
    <w:next w:val="a1"/>
    <w:pPr>
      <w:keepNext/>
      <w:keepLines/>
      <w:numPr>
        <w:ilvl w:val="2"/>
        <w:numId w:val="1"/>
      </w:numPr>
      <w:overflowPunct w:val="0"/>
      <w:autoSpaceDE w:val="0"/>
      <w:spacing w:before="200" w:after="120"/>
      <w:textAlignment w:val="baseline"/>
      <w:outlineLvl w:val="2"/>
    </w:pPr>
    <w:rPr>
      <w:b/>
    </w:rPr>
  </w:style>
  <w:style w:type="paragraph" w:styleId="4">
    <w:name w:val="heading 4"/>
    <w:basedOn w:val="a0"/>
    <w:next w:val="a1"/>
    <w:pPr>
      <w:keepNext/>
      <w:keepLines/>
      <w:numPr>
        <w:ilvl w:val="3"/>
        <w:numId w:val="1"/>
      </w:numPr>
      <w:overflowPunct w:val="0"/>
      <w:autoSpaceDE w:val="0"/>
      <w:spacing w:before="160" w:after="80"/>
      <w:textAlignment w:val="baseline"/>
      <w:outlineLvl w:val="3"/>
    </w:pPr>
    <w:rPr>
      <w:b/>
      <w:sz w:val="24"/>
    </w:rPr>
  </w:style>
  <w:style w:type="paragraph" w:styleId="5">
    <w:name w:val="heading 5"/>
    <w:basedOn w:val="a0"/>
    <w:next w:val="a0"/>
    <w:pPr>
      <w:numPr>
        <w:ilvl w:val="4"/>
        <w:numId w:val="1"/>
      </w:numPr>
      <w:overflowPunct w:val="0"/>
      <w:autoSpaceDE w:val="0"/>
      <w:spacing w:after="80"/>
      <w:textAlignment w:val="baseline"/>
      <w:outlineLvl w:val="4"/>
    </w:pPr>
    <w:rPr>
      <w:b/>
      <w:sz w:val="22"/>
    </w:rPr>
  </w:style>
  <w:style w:type="paragraph" w:styleId="6">
    <w:name w:val="heading 6"/>
    <w:basedOn w:val="a0"/>
    <w:next w:val="a0"/>
    <w:pPr>
      <w:keepNext/>
      <w:numPr>
        <w:ilvl w:val="5"/>
        <w:numId w:val="1"/>
      </w:numPr>
      <w:ind w:left="0" w:firstLine="0"/>
      <w:jc w:val="center"/>
      <w:outlineLvl w:val="5"/>
    </w:pPr>
  </w:style>
  <w:style w:type="paragraph" w:styleId="7">
    <w:name w:val="heading 7"/>
    <w:basedOn w:val="a0"/>
    <w:next w:val="a0"/>
    <w:pPr>
      <w:keepNext/>
      <w:numPr>
        <w:ilvl w:val="6"/>
        <w:numId w:val="1"/>
      </w:numPr>
      <w:outlineLvl w:val="6"/>
    </w:pPr>
    <w:rPr>
      <w:rFonts w:eastAsia="MS Mincho"/>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1">
    <w:name w:val="Основной шрифт абзаца1"/>
  </w:style>
  <w:style w:type="character" w:customStyle="1" w:styleId="a5">
    <w:name w:val="Ссылка"/>
    <w:rPr>
      <w:i/>
    </w:rPr>
  </w:style>
  <w:style w:type="character" w:styleId="a6">
    <w:name w:val="Hyperlink"/>
    <w:rPr>
      <w:color w:val="0000FF"/>
      <w:u w:val="single"/>
    </w:rPr>
  </w:style>
  <w:style w:type="character" w:customStyle="1" w:styleId="a7">
    <w:name w:val="Символ сноски"/>
    <w:rPr>
      <w:vertAlign w:val="superscript"/>
    </w:rPr>
  </w:style>
  <w:style w:type="character" w:styleId="a8">
    <w:name w:val="page number"/>
    <w:basedOn w:val="11"/>
  </w:style>
  <w:style w:type="character" w:customStyle="1" w:styleId="a9">
    <w:name w:val="Маркеры списка"/>
    <w:rPr>
      <w:rFonts w:ascii="OpenSymbol" w:eastAsia="OpenSymbol" w:hAnsi="OpenSymbol" w:cs="OpenSymbol"/>
    </w:rPr>
  </w:style>
  <w:style w:type="paragraph" w:customStyle="1" w:styleId="aa">
    <w:name w:val="Заголовок"/>
    <w:basedOn w:val="a0"/>
    <w:next w:val="a1"/>
    <w:pPr>
      <w:keepNext/>
      <w:spacing w:before="240" w:after="120"/>
    </w:pPr>
    <w:rPr>
      <w:rFonts w:ascii="Arial" w:eastAsia="MS Mincho" w:hAnsi="Arial" w:cs="Tahoma"/>
      <w:szCs w:val="28"/>
    </w:rPr>
  </w:style>
  <w:style w:type="paragraph" w:styleId="a1">
    <w:name w:val="Body Text"/>
    <w:basedOn w:val="a0"/>
  </w:style>
  <w:style w:type="paragraph" w:styleId="ab">
    <w:name w:val="Title"/>
    <w:basedOn w:val="a0"/>
    <w:next w:val="a1"/>
    <w:pPr>
      <w:keepNext/>
      <w:spacing w:before="240" w:after="120"/>
    </w:pPr>
    <w:rPr>
      <w:rFonts w:ascii="Arial" w:eastAsia="DejaVu Sans" w:hAnsi="Arial" w:cs="DejaVu Sans"/>
      <w:szCs w:val="28"/>
    </w:rPr>
  </w:style>
  <w:style w:type="paragraph" w:styleId="ac">
    <w:name w:val="Subtitle"/>
    <w:basedOn w:val="ab"/>
    <w:next w:val="a1"/>
    <w:pPr>
      <w:jc w:val="center"/>
    </w:pPr>
    <w:rPr>
      <w:i/>
      <w:iCs/>
    </w:rPr>
  </w:style>
  <w:style w:type="paragraph" w:styleId="ad">
    <w:name w:val="List"/>
    <w:basedOn w:val="a1"/>
    <w:rPr>
      <w:rFonts w:ascii="Arial" w:hAnsi="Arial"/>
    </w:rPr>
  </w:style>
  <w:style w:type="paragraph" w:customStyle="1" w:styleId="12">
    <w:name w:val="Название1"/>
    <w:basedOn w:val="a0"/>
    <w:pPr>
      <w:suppressLineNumbers/>
      <w:spacing w:before="120" w:after="120"/>
    </w:pPr>
    <w:rPr>
      <w:rFonts w:ascii="Arial" w:hAnsi="Arial"/>
      <w:i/>
      <w:iCs/>
      <w:sz w:val="20"/>
      <w:szCs w:val="24"/>
    </w:rPr>
  </w:style>
  <w:style w:type="paragraph" w:customStyle="1" w:styleId="13">
    <w:name w:val="Указатель1"/>
    <w:basedOn w:val="a0"/>
    <w:pPr>
      <w:suppressLineNumbers/>
    </w:pPr>
    <w:rPr>
      <w:rFonts w:ascii="Arial" w:hAnsi="Arial"/>
    </w:rPr>
  </w:style>
  <w:style w:type="paragraph" w:customStyle="1" w:styleId="ae">
    <w:name w:val="Автор"/>
    <w:basedOn w:val="a0"/>
    <w:qFormat/>
    <w:rsid w:val="002D04CB"/>
    <w:pPr>
      <w:spacing w:after="240"/>
      <w:ind w:firstLine="0"/>
      <w:jc w:val="center"/>
    </w:pPr>
    <w:rPr>
      <w:b/>
    </w:rPr>
  </w:style>
  <w:style w:type="paragraph" w:styleId="af">
    <w:name w:val="Body Text Indent"/>
    <w:basedOn w:val="a0"/>
    <w:pPr>
      <w:ind w:firstLine="450"/>
    </w:pPr>
  </w:style>
  <w:style w:type="paragraph" w:customStyle="1" w:styleId="a">
    <w:name w:val="список"/>
    <w:basedOn w:val="a0"/>
    <w:pPr>
      <w:numPr>
        <w:numId w:val="3"/>
      </w:numPr>
      <w:spacing w:after="80"/>
    </w:pPr>
  </w:style>
  <w:style w:type="paragraph" w:customStyle="1" w:styleId="14">
    <w:name w:val="Название объекта1"/>
    <w:basedOn w:val="a0"/>
    <w:next w:val="a0"/>
    <w:pPr>
      <w:spacing w:before="120" w:after="120"/>
      <w:jc w:val="center"/>
    </w:pPr>
    <w:rPr>
      <w:b/>
      <w:sz w:val="24"/>
      <w:lang w:val="en-US"/>
    </w:rPr>
  </w:style>
  <w:style w:type="paragraph" w:customStyle="1" w:styleId="15">
    <w:name w:val="Текст1"/>
    <w:basedOn w:val="a0"/>
    <w:rPr>
      <w:rFonts w:ascii="Courier New" w:hAnsi="Courier New"/>
    </w:rPr>
  </w:style>
  <w:style w:type="paragraph" w:styleId="af0">
    <w:name w:val="footnote text"/>
    <w:basedOn w:val="a0"/>
  </w:style>
  <w:style w:type="paragraph" w:styleId="af1">
    <w:name w:val="footer"/>
    <w:basedOn w:val="a0"/>
    <w:link w:val="af2"/>
    <w:uiPriority w:val="99"/>
    <w:pPr>
      <w:tabs>
        <w:tab w:val="center" w:pos="4153"/>
        <w:tab w:val="right" w:pos="8306"/>
      </w:tabs>
    </w:pPr>
  </w:style>
  <w:style w:type="paragraph" w:customStyle="1" w:styleId="21">
    <w:name w:val="Основной текст с отступом 21"/>
    <w:basedOn w:val="a0"/>
  </w:style>
  <w:style w:type="paragraph" w:customStyle="1" w:styleId="210">
    <w:name w:val="Основной текст 21"/>
    <w:basedOn w:val="a0"/>
    <w:pPr>
      <w:ind w:firstLine="0"/>
      <w:jc w:val="center"/>
    </w:pPr>
  </w:style>
  <w:style w:type="paragraph" w:styleId="16">
    <w:name w:val="toc 1"/>
    <w:basedOn w:val="a0"/>
    <w:next w:val="a0"/>
    <w:pPr>
      <w:tabs>
        <w:tab w:val="left" w:leader="dot" w:pos="9639"/>
      </w:tabs>
      <w:ind w:right="851" w:firstLine="0"/>
    </w:pPr>
  </w:style>
  <w:style w:type="paragraph" w:styleId="20">
    <w:name w:val="toc 2"/>
    <w:basedOn w:val="a0"/>
    <w:next w:val="a0"/>
    <w:pPr>
      <w:tabs>
        <w:tab w:val="left" w:pos="28350"/>
      </w:tabs>
      <w:spacing w:after="120"/>
      <w:ind w:left="198" w:right="851" w:firstLine="0"/>
    </w:pPr>
    <w:rPr>
      <w:i/>
      <w:szCs w:val="18"/>
    </w:rPr>
  </w:style>
  <w:style w:type="paragraph" w:styleId="30">
    <w:name w:val="toc 3"/>
    <w:basedOn w:val="a0"/>
    <w:next w:val="a0"/>
    <w:pPr>
      <w:ind w:left="400" w:firstLine="720"/>
    </w:pPr>
  </w:style>
  <w:style w:type="paragraph" w:styleId="40">
    <w:name w:val="toc 4"/>
    <w:basedOn w:val="a0"/>
    <w:next w:val="a0"/>
    <w:pPr>
      <w:ind w:left="600" w:firstLine="720"/>
    </w:pPr>
  </w:style>
  <w:style w:type="paragraph" w:styleId="50">
    <w:name w:val="toc 5"/>
    <w:basedOn w:val="a0"/>
    <w:next w:val="a0"/>
    <w:pPr>
      <w:ind w:left="800" w:firstLine="720"/>
    </w:pPr>
  </w:style>
  <w:style w:type="paragraph" w:styleId="60">
    <w:name w:val="toc 6"/>
    <w:basedOn w:val="a0"/>
    <w:next w:val="a0"/>
    <w:pPr>
      <w:ind w:left="1000" w:firstLine="720"/>
    </w:pPr>
  </w:style>
  <w:style w:type="paragraph" w:styleId="70">
    <w:name w:val="toc 7"/>
    <w:basedOn w:val="a0"/>
    <w:next w:val="a0"/>
    <w:pPr>
      <w:ind w:left="1200" w:firstLine="720"/>
    </w:pPr>
  </w:style>
  <w:style w:type="paragraph" w:styleId="8">
    <w:name w:val="toc 8"/>
    <w:basedOn w:val="a0"/>
    <w:next w:val="a0"/>
    <w:pPr>
      <w:ind w:left="1400" w:firstLine="720"/>
    </w:pPr>
  </w:style>
  <w:style w:type="paragraph" w:styleId="9">
    <w:name w:val="toc 9"/>
    <w:basedOn w:val="a0"/>
    <w:next w:val="a0"/>
    <w:pPr>
      <w:ind w:left="1600" w:firstLine="720"/>
    </w:pPr>
  </w:style>
  <w:style w:type="paragraph" w:customStyle="1" w:styleId="af3">
    <w:name w:val="Литература"/>
    <w:basedOn w:val="a0"/>
    <w:qFormat/>
    <w:rsid w:val="00470ED1"/>
    <w:pPr>
      <w:tabs>
        <w:tab w:val="right" w:pos="397"/>
        <w:tab w:val="left" w:pos="510"/>
      </w:tabs>
      <w:ind w:left="510" w:hanging="510"/>
    </w:pPr>
    <w:rPr>
      <w:rFonts w:eastAsia="MS Mincho"/>
    </w:rPr>
  </w:style>
  <w:style w:type="paragraph" w:styleId="af4">
    <w:name w:val="header"/>
    <w:basedOn w:val="a0"/>
    <w:pPr>
      <w:tabs>
        <w:tab w:val="center" w:pos="4677"/>
        <w:tab w:val="right" w:pos="9355"/>
      </w:tabs>
    </w:pPr>
  </w:style>
  <w:style w:type="paragraph" w:customStyle="1" w:styleId="af5">
    <w:name w:val="Откуда"/>
    <w:basedOn w:val="a0"/>
    <w:qFormat/>
    <w:rsid w:val="00083A10"/>
    <w:pPr>
      <w:ind w:firstLine="0"/>
      <w:jc w:val="center"/>
    </w:pPr>
    <w:rPr>
      <w:i/>
    </w:rPr>
  </w:style>
  <w:style w:type="paragraph" w:customStyle="1" w:styleId="af6">
    <w:name w:val="Рисунок"/>
    <w:basedOn w:val="a0"/>
    <w:link w:val="af7"/>
    <w:qFormat/>
    <w:rsid w:val="006A47D8"/>
    <w:pPr>
      <w:keepNext/>
      <w:spacing w:before="360" w:after="120"/>
      <w:ind w:firstLine="0"/>
      <w:jc w:val="center"/>
    </w:pPr>
    <w:rPr>
      <w:rFonts w:eastAsia="MS Mincho"/>
    </w:rPr>
  </w:style>
  <w:style w:type="paragraph" w:customStyle="1" w:styleId="af8">
    <w:name w:val="Подрисуночная"/>
    <w:basedOn w:val="a0"/>
    <w:link w:val="af9"/>
    <w:qFormat/>
    <w:rsid w:val="006A47D8"/>
    <w:pPr>
      <w:keepLines/>
      <w:spacing w:after="300"/>
      <w:ind w:firstLine="0"/>
      <w:jc w:val="center"/>
    </w:pPr>
    <w:rPr>
      <w:rFonts w:eastAsia="MS Mincho"/>
    </w:rPr>
  </w:style>
  <w:style w:type="character" w:customStyle="1" w:styleId="af7">
    <w:name w:val="Рисунок Знак"/>
    <w:link w:val="af6"/>
    <w:rsid w:val="006A47D8"/>
    <w:rPr>
      <w:rFonts w:eastAsia="MS Mincho"/>
      <w:sz w:val="24"/>
      <w:lang w:eastAsia="ar-SA"/>
    </w:rPr>
  </w:style>
  <w:style w:type="paragraph" w:customStyle="1" w:styleId="afa">
    <w:name w:val="Аннотация"/>
    <w:basedOn w:val="a0"/>
    <w:link w:val="afb"/>
    <w:qFormat/>
    <w:rsid w:val="00A13710"/>
    <w:pPr>
      <w:spacing w:before="360"/>
      <w:ind w:left="680" w:right="680" w:firstLine="340"/>
    </w:pPr>
    <w:rPr>
      <w:rFonts w:eastAsia="MS Mincho"/>
      <w:sz w:val="24"/>
      <w:szCs w:val="24"/>
    </w:rPr>
  </w:style>
  <w:style w:type="character" w:customStyle="1" w:styleId="af9">
    <w:name w:val="Подрисуночная Знак"/>
    <w:link w:val="af8"/>
    <w:rsid w:val="006A47D8"/>
    <w:rPr>
      <w:rFonts w:eastAsia="MS Mincho"/>
      <w:sz w:val="24"/>
      <w:lang w:eastAsia="ar-SA"/>
    </w:rPr>
  </w:style>
  <w:style w:type="paragraph" w:customStyle="1" w:styleId="afc">
    <w:name w:val="Ключевые"/>
    <w:basedOn w:val="a0"/>
    <w:link w:val="afd"/>
    <w:qFormat/>
    <w:rsid w:val="00A13710"/>
    <w:pPr>
      <w:spacing w:before="120" w:after="360"/>
      <w:ind w:left="680" w:right="680" w:firstLine="340"/>
    </w:pPr>
    <w:rPr>
      <w:rFonts w:eastAsia="MS Mincho"/>
      <w:sz w:val="24"/>
      <w:szCs w:val="24"/>
    </w:rPr>
  </w:style>
  <w:style w:type="character" w:customStyle="1" w:styleId="afb">
    <w:name w:val="Аннотация Знак"/>
    <w:link w:val="afa"/>
    <w:rsid w:val="00A13710"/>
    <w:rPr>
      <w:rFonts w:eastAsia="MS Mincho"/>
      <w:sz w:val="24"/>
      <w:szCs w:val="24"/>
      <w:lang w:eastAsia="ar-SA"/>
    </w:rPr>
  </w:style>
  <w:style w:type="paragraph" w:customStyle="1" w:styleId="afe">
    <w:name w:val="Раздел"/>
    <w:basedOn w:val="a0"/>
    <w:next w:val="a0"/>
    <w:link w:val="aff"/>
    <w:qFormat/>
    <w:rsid w:val="00FE174B"/>
    <w:pPr>
      <w:keepNext/>
      <w:keepLines/>
      <w:spacing w:before="360" w:after="60"/>
      <w:ind w:left="1020" w:hanging="340"/>
      <w:jc w:val="left"/>
    </w:pPr>
    <w:rPr>
      <w:b/>
    </w:rPr>
  </w:style>
  <w:style w:type="character" w:customStyle="1" w:styleId="afd">
    <w:name w:val="Ключевые Знак"/>
    <w:link w:val="afc"/>
    <w:rsid w:val="00A13710"/>
    <w:rPr>
      <w:rFonts w:eastAsia="MS Mincho"/>
      <w:sz w:val="24"/>
      <w:szCs w:val="24"/>
      <w:lang w:eastAsia="ar-SA"/>
    </w:rPr>
  </w:style>
  <w:style w:type="character" w:customStyle="1" w:styleId="af2">
    <w:name w:val="Нижний колонтитул Знак"/>
    <w:link w:val="af1"/>
    <w:uiPriority w:val="99"/>
    <w:rsid w:val="005628F0"/>
    <w:rPr>
      <w:sz w:val="28"/>
      <w:lang w:eastAsia="ar-SA"/>
    </w:rPr>
  </w:style>
  <w:style w:type="character" w:customStyle="1" w:styleId="aff">
    <w:name w:val="Раздел Знак"/>
    <w:link w:val="afe"/>
    <w:rsid w:val="00FE174B"/>
    <w:rPr>
      <w:b/>
      <w:sz w:val="28"/>
      <w:lang w:eastAsia="ar-SA"/>
    </w:rPr>
  </w:style>
  <w:style w:type="character" w:styleId="aff0">
    <w:name w:val="FollowedHyperlink"/>
    <w:uiPriority w:val="99"/>
    <w:semiHidden/>
    <w:unhideWhenUsed/>
    <w:rsid w:val="00E42F73"/>
    <w:rPr>
      <w:color w:val="954F72"/>
      <w:u w:val="single"/>
    </w:rPr>
  </w:style>
  <w:style w:type="paragraph" w:customStyle="1" w:styleId="-">
    <w:name w:val="Згл-агнл"/>
    <w:basedOn w:val="1"/>
    <w:link w:val="-0"/>
    <w:qFormat/>
    <w:rsid w:val="00274762"/>
    <w:pPr>
      <w:pageBreakBefore w:val="0"/>
      <w:spacing w:before="480"/>
      <w:outlineLvl w:val="9"/>
    </w:pPr>
    <w:rPr>
      <w:rFonts w:eastAsia="MS Mincho"/>
      <w:lang w:val="en-US"/>
    </w:rPr>
  </w:style>
  <w:style w:type="character" w:customStyle="1" w:styleId="10">
    <w:name w:val="Заголовок 1 Знак"/>
    <w:link w:val="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0948/abrau-2019-61"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20948/abrau-2019-6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770</Words>
  <Characters>4991</Characters>
  <Application>Microsoft Office Word</Application>
  <DocSecurity>0</DocSecurity>
  <Lines>155</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5597</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Горбунов-Посадов</cp:lastModifiedBy>
  <cp:revision>4</cp:revision>
  <cp:lastPrinted>1899-12-31T21:00:00Z</cp:lastPrinted>
  <dcterms:created xsi:type="dcterms:W3CDTF">2025-03-02T19:01:00Z</dcterms:created>
  <dcterms:modified xsi:type="dcterms:W3CDTF">2026-07-31T09:12:00Z</dcterms:modified>
</cp:coreProperties>
</file>