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pPr>
        <w:pStyle w:val="ae"/>
      </w:pPr>
      <w:r>
        <w:t>К. О. Кибизов</w:t>
      </w:r>
      <w:r>
        <w:rPr>
          <w:vertAlign w:val="superscript"/>
        </w:rPr>
        <w:t>1</w:t>
      </w:r>
      <w:r>
        <w:t xml:space="preserve">, </w:t>
      </w:r>
      <w:r>
        <w:t>А. Н. Сальников</w:t>
      </w:r>
      <w:r>
        <w:rPr>
          <w:vertAlign w:val="superscript"/>
        </w:rPr>
        <w:t>1,2</w:t>
      </w:r>
      <w:r>
        <w:t xml:space="preserve">, </w:t>
      </w:r>
      <w:r>
        <w:t>Г. М. Михайлов</w:t>
      </w:r>
      <w:r>
        <w:rPr>
          <w:vertAlign w:val="superscript"/>
        </w:rPr>
        <w:t>2</w:t>
      </w:r>
    </w:p>
    <w:p>
      <w:pPr>
        <w:pStyle w:val="af5"/>
      </w:pPr>
      <w:r>
        <w:rPr>
          <w:vertAlign w:val="superscript"/>
        </w:rPr>
        <w:t xml:space="preserve">1 </w:t>
      </w:r>
      <w:r>
        <w:t>МГУ имени М. В. Ломоносова, Москва</w:t>
      </w:r>
    </w:p>
    <w:p>
      <w:pPr>
        <w:pStyle w:val="af5"/>
      </w:pPr>
      <w:r>
        <w:rPr>
          <w:vertAlign w:val="superscript"/>
        </w:rPr>
        <w:t xml:space="preserve">2 </w:t>
      </w:r>
      <w:r>
        <w:t>Вычислительный центр им. А. А. Дородницына ФИЦ ИУ РАН, Москва</w:t>
      </w:r>
    </w:p>
    <w:p>
      <w:pPr>
        <w:pStyle w:val="afa"/>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наравне со скоростью вычислений определяет общую производительность, поэтому измерение задержек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теплокарты распределения задержек по парам устройств.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pPr>
        <w:pStyle w:val="afc"/>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pPr>
        <w:pStyle w:val="-"/>
      </w:pPr>
      <w:r>
        <w:t>Development of methods for measuring latency during data transfer between graphics processing units in a computing cluster</w:t>
      </w:r>
    </w:p>
    <w:p>
      <w:pPr>
        <w:pStyle w:val="ae"/>
      </w:pPr>
      <w:r>
        <w:t>K. O. Kibizov</w:t>
      </w:r>
      <w:r>
        <w:rPr>
          <w:vertAlign w:val="superscript"/>
        </w:rPr>
        <w:t>1</w:t>
      </w:r>
      <w:r>
        <w:t xml:space="preserve">, </w:t>
      </w:r>
      <w:r>
        <w:t>A. N. Salnikov</w:t>
      </w:r>
      <w:r>
        <w:rPr>
          <w:vertAlign w:val="superscript"/>
        </w:rPr>
        <w:t>1,2</w:t>
      </w:r>
      <w:r>
        <w:t xml:space="preserve">, </w:t>
      </w:r>
      <w:r>
        <w:t>G. M. Mikhaylov</w:t>
      </w:r>
      <w:r>
        <w:rPr>
          <w:vertAlign w:val="superscript"/>
        </w:rPr>
        <w:t>2</w:t>
      </w:r>
    </w:p>
    <w:p>
      <w:pPr>
        <w:pStyle w:val="af5"/>
      </w:pPr>
      <w:r>
        <w:rPr>
          <w:vertAlign w:val="superscript"/>
        </w:rPr>
        <w:t xml:space="preserve">1 </w:t>
      </w:r>
      <w:r>
        <w:t>Lomonosov Moscow State University, Moscow</w:t>
      </w:r>
    </w:p>
    <w:p>
      <w:pPr>
        <w:pStyle w:val="af5"/>
      </w:pPr>
      <w:r>
        <w:rPr>
          <w:vertAlign w:val="superscript"/>
        </w:rPr>
        <w:t xml:space="preserve">2 </w:t>
      </w:r>
      <w:r>
        <w:t>Dorodnicyn Computing Centre FRC CSC RAS, Moscow</w:t>
      </w:r>
    </w:p>
    <w:p>
      <w:pPr>
        <w:pStyle w:val="afa"/>
      </w:pPr>
      <w:r>
        <w:t>Abstract. This work addresses the problem of measuring data transfer latency between graphics processing units (GPUs) in a computing cluster. When several GPUs are used, the data exchange speed, together with the computation speed, determines the overall performance, which makes latency measurement a practical way to locate bottlenecks in the communication environment.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heatmaps of latency distribution across device pairs. The measurements reveal differences between intra-node and inter-node transfers and quantify the influence of message size, transfer environment, and concurrent load on latency.</w:t>
      </w:r>
    </w:p>
    <w:p>
      <w:pPr>
        <w:pStyle w:val="afc"/>
      </w:pPr>
      <w:r>
        <w:t>Keywords: computing cluster, graphics processing unit (GPU), transfer latency, load testing, communication environment, resource binding, CUDA, MPI, UCX</w:t>
      </w:r>
    </w:p>
    <w:p>
      <w:pPr>
        <w:pStyle w:val="afe"/>
      </w:pPr>
      <w:r>
        <w:t>1.</w:t>
        <w:tab/>
        <w:t>Введение</w:t>
      </w:r>
    </w:p>
    <w:p>
      <w:pPr/>
      <w:r>
        <w:t>При использовании нескольких GPU производительность зависит не только от скорости вычислений на каждом устройстве, но и от скорости передачи данных между ними: медленный обмен способен стать узким местом. Данные могут передаваться напрямую между GPU либо через промежуточное копирование в оперативную память хоста, причём маршрут и способ передачи зависят от расположения устройств, настроек транспортного слоя и схемы привязки вычислительных ядер, GPU и сетевого адаптера к процессу. В работе [1] показано, что задержки между вычислительными узлами кластера различаются, что позволяет выделять группы пар узлов со сходными характеристиками обмена. Настоящая работа продолжает подход [2] и расширяет набор тестов проекта Clustbench [3]: становится возможен выбор среды передачи, а схема «один MPI-процесс на узел» заменена схемой «один MPI-процесс на один GPU».</w:t>
      </w:r>
    </w:p>
    <w:p>
      <w:pPr>
        <w:pStyle w:val="afe"/>
      </w:pPr>
      <w:r>
        <w:t>2.</w:t>
        <w:tab/>
        <w:t>Модель коммуникационной среды и постановка задачи</w:t>
      </w:r>
    </w:p>
    <w:p>
      <w:pPr/>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Маршрутом называется последовательность вершин и рёбер, по которой передаётся сообщение; множество допустимых маршрутов задаётся топологией, а фактический маршрут — исполняемым кодом и коммуникационным стеком. Под прямым обменом понимается передача без промежуточного копирования в оперативную память: внутри узла она выполняется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pPr>
        <w:pStyle w:val="afe"/>
      </w:pPr>
      <w:r>
        <w:t>3.</w:t>
        <w:tab/>
        <w:t>Способ измерения и программная реализация</w:t>
      </w:r>
    </w:p>
    <w:p>
      <w:pPr/>
      <w:r>
        <w:t>Задержка измеряется на стороне получателя: фиксируется интервал от готовности принять данные до завершения приёма. Таймером служит MPI_Wtime(), поэтому согласованность таймеров между узлами не требуется. Измеренный интервал может включать ожидание начала передачи и потому является оценкой сверху. Модуль реализован на C++ с использованием CUDA Runtime API и MPI; применяются Open MPI [6] в CUDA-aware режиме и транспортный слой UCX [7]. Среда передачи задаётся параметром запуска: в среде auto указатели на буферы в памяти GPU передаются непосредственно в вызовы MPI, в среде host используется промежуточный буфер в оперативной памяти. В режиме one_to_one обмен идёт только между одной парой устройств в каждый момент времени, в режиме all_to_all — одновременно между всеми парами.</w:t>
      </w:r>
    </w:p>
    <w:p>
      <w:pPr/>
      <w:r>
        <w:t>Процессу требуются три ресурса: GPU, сетевой адаптер и процессорные ядра. Опорным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Номер процесса читается из переменных окружения запускающей системы, что позволяет выбрать GPU и адаптер до инициализации MPI, когда транспортный слой ещё не зафиксировал устройство. Ядра выделяет планировщик [10].</w:t>
      </w:r>
    </w:p>
    <w:p>
      <w:pPr>
        <w:pStyle w:val="afe"/>
      </w:pPr>
      <w:r>
        <w:t>4.</w:t>
        <w:tab/>
        <w:t>Экспериментальная среда и методика измерений</w:t>
      </w:r>
    </w:p>
    <w:p>
      <w:pPr/>
      <w:r>
        <w:t>Измерения выполнены на двух конфигурациях, различающихся способом объединения GPU: узлы с двумя GPU NVIDIA A100, подключёнными по шине PCIe, и узлы с GPU NVIDIA A100, объединёнными коммутаторами NVSwitch. Межузловой обмен идёт через InfiniBand. Применялись Open MPI 5.0.10, UCX 1.15.0 и CUDA Toolkit 12.8. Серия измерений выполняется в два этапа: разогрев без фиксации времени и измерительный этап [8]; структура такой серии исследовалась в [9]. Для оценки типичного времени используется медиана как устойчивая к выбросам, а по стандартному отклонению отдельных замеров оценивается её погрешность.</w:t>
      </w:r>
    </w:p>
    <w:p>
      <w:pPr>
        <w:pStyle w:val="afe"/>
      </w:pPr>
      <w:r>
        <w:t>5.</w:t>
        <w:tab/>
        <w:t>Результаты</w:t>
      </w:r>
    </w:p>
    <w:p>
      <w:pPr/>
      <w:r>
        <w:t>Наиболее показателен режим one_to_one при крупных сообщениях, когда накладные расходы на инициацию обмена пренебрежимо малы и задержка определяется пропускной способностью маршрута. На узле с коммутаторами NVSwitch прямой обмен между GPU оказывается почти в семнадцать раз быстрее передачи через оперативную память и выходит примерно на три четверти теоретической пропускной способности NVLink. Значения по всем парам устройств совпадают в пределах долей процента, что согласуется с полносвязной топологией NVSwitch. На узлах с GPU, подключёнными по шине PCIe, выигрыш прямого обмена заметно скромнее, а межузловая передача выходит примерно на три четверти теоретического предела канала InfiniBand. В режиме all_to_all задержки возрастают во всех средах, что отражает конкуренцию одновременных передач за общие ресурсы.</w:t>
      </w:r>
    </w:p>
    <w:p>
      <w:pPr/>
      <w:r>
        <w:t>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Публикуемым значениям задержек должна сопутствовать фиксация настроек транспортного слоя и схемы привязки ресурсов, без которой результаты несопоставимы между запусками.</w:t>
      </w:r>
    </w:p>
    <w:p>
      <w:pPr>
        <w:pStyle w:val="afe"/>
      </w:pPr>
      <w:r>
        <w:t>Литература</w:t>
      </w:r>
    </w:p>
    <w:p>
      <w:pPr>
        <w:pStyle w:val="af3"/>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pPr>
        <w:pStyle w:val="af3"/>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pPr>
        <w:pStyle w:val="af3"/>
      </w:pPr>
      <w:r>
        <w:tab/>
        <w:t>3.</w:t>
        <w:tab/>
        <w:t>Clustbench / network-tests2. — URL: https://github.com/clustbench/network-tests2 (дата обращения: 20.09.2026).</w:t>
      </w:r>
    </w:p>
    <w:p>
      <w:pPr>
        <w:pStyle w:val="af3"/>
      </w:pPr>
      <w:r>
        <w:tab/>
        <w:t>4.</w:t>
        <w:tab/>
        <w:t>NVIDIA. CUDA C++ Programming Guide: Peer Device Memory Access. — URL: https://docs.nvidia.com/cuda/cuda-c-programming-guide/ (дата обращения: 20.09.2026).</w:t>
      </w:r>
    </w:p>
    <w:p>
      <w:pPr>
        <w:pStyle w:val="af3"/>
      </w:pPr>
      <w:r>
        <w:tab/>
        <w:t>5.</w:t>
        <w:tab/>
        <w:t>NVIDIA. GPUDirect RDMA. — URL: https://docs.nvidia.com/cuda/gpudirect-rdma/ (дата обращения: 20.09.2026).</w:t>
      </w:r>
    </w:p>
    <w:p>
      <w:pPr>
        <w:pStyle w:val="af3"/>
      </w:pPr>
      <w:r>
        <w:tab/>
        <w:t>6.</w:t>
        <w:tab/>
        <w:t>Open MPI: CUDA-Aware Support. — URL: https://www.open-mpi.org/faq/?category=runcuda (дата обращения: 20.09.2026).</w:t>
      </w:r>
    </w:p>
    <w:p>
      <w:pPr>
        <w:pStyle w:val="af3"/>
      </w:pPr>
      <w:r>
        <w:tab/>
        <w:t>7.</w:t>
        <w:tab/>
        <w:t>Unified Communication X. — URL: https://openucx.org/ (дата обращения: 20.09.2026).</w:t>
      </w:r>
    </w:p>
    <w:p>
      <w:pPr>
        <w:pStyle w:val="af3"/>
      </w:pPr>
      <w:r>
        <w:tab/>
        <w:t>8.</w:t>
        <w:tab/>
        <w:t>Hoefler T., Belli R. Scientific Benchmarking of Parallel Computing Systems // SC '15. — 2015. — DOI: 10.1145/2807591.2807644</w:t>
      </w:r>
    </w:p>
    <w:p>
      <w:pPr>
        <w:pStyle w:val="af3"/>
      </w:pPr>
      <w:r>
        <w:tab/>
        <w:t>9.</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pPr>
        <w:pStyle w:val="af3"/>
      </w:pPr>
      <w:r>
        <w:tab/>
        <w:t>10.</w:t>
        <w:tab/>
        <w:t>Slurm Workload Manager: Generic Resource (GRES) Scheduling. — URL: https://slurm.schedmd.com/gres.html (дата обращения: 20.09.2026).</w:t>
      </w:r>
    </w:p>
    <w:p>
      <w:pPr>
        <w:pStyle w:val="afe"/>
      </w:pPr>
      <w:r>
        <w:t>References</w:t>
      </w:r>
    </w:p>
    <w:p>
      <w:pPr>
        <w:pStyle w:val="af3"/>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 Rostov-na-Donu, 2017.</w:t>
      </w:r>
    </w:p>
    <w:p>
      <w:pPr>
        <w:pStyle w:val="af3"/>
      </w:pPr>
      <w:r>
        <w:tab/>
        <w:t>2.</w:t>
        <w:tab/>
        <w:t>Begaev A.A., Salnikov A.N. Metod izmereniia zaderzhek pri peredache dannykh mezhdu graficheskimi protsessorami, nakhodiashchimisia na raznykh uzlakh vychislitelnogo klastera. — URL: https://cyberleninka.ru/article/n/metod-izmereniya-zaderzhek-pri-peredache-dannyh-mezhdu-graficheskimi-protsessorami-nahodyaschimisya-na-raznyh-uzlah (accessed: 20.09.2026).</w:t>
      </w:r>
    </w:p>
    <w:p>
      <w:pPr>
        <w:pStyle w:val="af3"/>
      </w:pPr>
      <w:r>
        <w:tab/>
        <w:t>3.</w:t>
        <w:tab/>
        <w:t>Clustbench / network-tests2. — URL: https://github.com/clustbench/network-tests2 (accessed: 20.09.2026).</w:t>
      </w:r>
    </w:p>
    <w:p>
      <w:pPr>
        <w:pStyle w:val="af3"/>
      </w:pPr>
      <w:r>
        <w:tab/>
        <w:t>4.</w:t>
        <w:tab/>
        <w:t>NVIDIA. CUDA C++ Programming Guide: Peer Device Memory Access. — URL: https://docs.nvidia.com/cuda/cuda-c-programming-guide/ (accessed: 20.09.2026).</w:t>
      </w:r>
    </w:p>
    <w:p>
      <w:pPr>
        <w:pStyle w:val="af3"/>
      </w:pPr>
      <w:r>
        <w:tab/>
        <w:t>5.</w:t>
        <w:tab/>
        <w:t>NVIDIA. GPUDirect RDMA. — URL: https://docs.nvidia.com/cuda/gpudirect-rdma/ (accessed: 20.09.2026).</w:t>
      </w:r>
    </w:p>
    <w:p>
      <w:pPr>
        <w:pStyle w:val="af3"/>
      </w:pPr>
      <w:r>
        <w:tab/>
        <w:t>6.</w:t>
        <w:tab/>
        <w:t>Open MPI: CUDA-Aware Support. — URL: https://www.open-mpi.org/faq/?category=runcuda (accessed: 20.09.2026).</w:t>
      </w:r>
    </w:p>
    <w:p>
      <w:pPr>
        <w:pStyle w:val="af3"/>
      </w:pPr>
      <w:r>
        <w:tab/>
        <w:t>7.</w:t>
        <w:tab/>
        <w:t>Unified Communication X. — URL: https://openucx.org/ (accessed: 20.09.2026).</w:t>
      </w:r>
    </w:p>
    <w:p>
      <w:pPr>
        <w:pStyle w:val="af3"/>
      </w:pPr>
      <w:r>
        <w:tab/>
        <w:t>8.</w:t>
        <w:tab/>
        <w:t>Hoefler T., Belli R. Scientific Benchmarking of Parallel Computing Systems // SC '15. — 2015. — DOI: 10.1145/2807591.2807644</w:t>
      </w:r>
    </w:p>
    <w:p>
      <w:pPr>
        <w:pStyle w:val="af3"/>
      </w:pPr>
      <w:r>
        <w:tab/>
        <w:t>9.</w:t>
        <w:tab/>
        <w:t>Volchaninov A.P., Salnikov A.N. Issledovanie struktury serii izmerenii zaderzhki pri nagruzochnom testirovanii kommutatsionnoi sredy vychislitelnogo klastera // Trudy RuSCDays-2023. — 2023. — P. 42.</w:t>
      </w:r>
    </w:p>
    <w:p>
      <w:pPr>
        <w:pStyle w:val="af3"/>
      </w:pPr>
      <w:r>
        <w:tab/>
        <w:t>10.</w:t>
        <w:tab/>
        <w:t>Slurm Workload Manager: Generic Resource (GRES) Scheduling. — URL: https://slurm.schedmd.com/gres.html (accessed: 20.09.2026).</w:t>
      </w:r>
    </w:p>
    <w:sectPr w:rsidR="00D84E08" w:rsidRPr="005A6FA9" w:rsidSect="00807307">
      <w:footerReference w:type="default" r:id="rId10"/>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94D" w:rsidRDefault="00DA094D">
      <w:r>
        <w:separator/>
      </w:r>
    </w:p>
  </w:endnote>
  <w:endnote w:type="continuationSeparator" w:id="0">
    <w:p w:rsidR="00DA094D" w:rsidRDefault="00DA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27F" w:rsidRDefault="0090727F" w:rsidP="005628F0">
    <w:pPr>
      <w:pStyle w:val="af1"/>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94D" w:rsidRDefault="00DA094D">
      <w:r>
        <w:separator/>
      </w:r>
    </w:p>
  </w:footnote>
  <w:footnote w:type="continuationSeparator" w:id="0">
    <w:p w:rsidR="00DA094D" w:rsidRDefault="00DA0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F0C08F9A"/>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pStyle w:val="5"/>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7"/>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1FCD"/>
    <w:pPr>
      <w:suppressAutoHyphens/>
      <w:ind w:firstLine="680"/>
      <w:jc w:val="both"/>
    </w:pPr>
    <w:rPr>
      <w:sz w:val="28"/>
      <w:lang w:eastAsia="ar-SA"/>
    </w:rPr>
  </w:style>
  <w:style w:type="paragraph" w:styleId="1">
    <w:name w:val="heading 1"/>
    <w:basedOn w:val="a0"/>
    <w:next w:val="a0"/>
    <w:link w:val="10"/>
    <w:qFormat/>
    <w:rsid w:val="00A75489"/>
    <w:pPr>
      <w:keepNext/>
      <w:keepLines/>
      <w:pageBreakBefore/>
      <w:numPr>
        <w:numId w:val="1"/>
      </w:numPr>
      <w:spacing w:before="960" w:after="360"/>
      <w:ind w:left="0" w:firstLine="0"/>
      <w:jc w:val="center"/>
      <w:outlineLvl w:val="0"/>
    </w:pPr>
    <w:rPr>
      <w:b/>
      <w:kern w:val="36"/>
      <w:sz w:val="40"/>
    </w:rPr>
  </w:style>
  <w:style w:type="paragraph" w:styleId="2">
    <w:name w:val="heading 2"/>
    <w:basedOn w:val="a0"/>
    <w:next w:val="a1"/>
    <w:pPr>
      <w:keepNext/>
      <w:numPr>
        <w:ilvl w:val="1"/>
        <w:numId w:val="1"/>
      </w:numPr>
      <w:overflowPunct w:val="0"/>
      <w:autoSpaceDE w:val="0"/>
      <w:spacing w:before="240" w:after="160"/>
      <w:textAlignment w:val="baseline"/>
      <w:outlineLvl w:val="1"/>
    </w:pPr>
    <w:rPr>
      <w:b/>
      <w:sz w:val="32"/>
      <w:lang w:val="en-US"/>
    </w:rPr>
  </w:style>
  <w:style w:type="paragraph" w:styleId="3">
    <w:name w:val="heading 3"/>
    <w:basedOn w:val="a0"/>
    <w:next w:val="a1"/>
    <w:pPr>
      <w:keepNext/>
      <w:keepLines/>
      <w:numPr>
        <w:ilvl w:val="2"/>
        <w:numId w:val="1"/>
      </w:numPr>
      <w:overflowPunct w:val="0"/>
      <w:autoSpaceDE w:val="0"/>
      <w:spacing w:before="200" w:after="120"/>
      <w:textAlignment w:val="baseline"/>
      <w:outlineLvl w:val="2"/>
    </w:pPr>
    <w:rPr>
      <w:b/>
    </w:rPr>
  </w:style>
  <w:style w:type="paragraph" w:styleId="4">
    <w:name w:val="heading 4"/>
    <w:basedOn w:val="a0"/>
    <w:next w:val="a1"/>
    <w:pPr>
      <w:keepNext/>
      <w:keepLines/>
      <w:numPr>
        <w:ilvl w:val="3"/>
        <w:numId w:val="1"/>
      </w:numPr>
      <w:overflowPunct w:val="0"/>
      <w:autoSpaceDE w:val="0"/>
      <w:spacing w:before="160" w:after="80"/>
      <w:textAlignment w:val="baseline"/>
      <w:outlineLvl w:val="3"/>
    </w:pPr>
    <w:rPr>
      <w:b/>
      <w:sz w:val="24"/>
    </w:rPr>
  </w:style>
  <w:style w:type="paragraph" w:styleId="5">
    <w:name w:val="heading 5"/>
    <w:basedOn w:val="a0"/>
    <w:next w:val="a0"/>
    <w:pPr>
      <w:numPr>
        <w:ilvl w:val="4"/>
        <w:numId w:val="1"/>
      </w:numPr>
      <w:overflowPunct w:val="0"/>
      <w:autoSpaceDE w:val="0"/>
      <w:spacing w:after="80"/>
      <w:textAlignment w:val="baseline"/>
      <w:outlineLvl w:val="4"/>
    </w:pPr>
    <w:rPr>
      <w:b/>
      <w:sz w:val="22"/>
    </w:rPr>
  </w:style>
  <w:style w:type="paragraph" w:styleId="6">
    <w:name w:val="heading 6"/>
    <w:basedOn w:val="a0"/>
    <w:next w:val="a0"/>
    <w:pPr>
      <w:keepNext/>
      <w:numPr>
        <w:ilvl w:val="5"/>
        <w:numId w:val="1"/>
      </w:numPr>
      <w:ind w:left="0" w:firstLine="0"/>
      <w:jc w:val="center"/>
      <w:outlineLvl w:val="5"/>
    </w:pPr>
  </w:style>
  <w:style w:type="paragraph" w:styleId="7">
    <w:name w:val="heading 7"/>
    <w:basedOn w:val="a0"/>
    <w:next w:val="a0"/>
    <w:pPr>
      <w:keepNext/>
      <w:numPr>
        <w:ilvl w:val="6"/>
        <w:numId w:val="1"/>
      </w:numPr>
      <w:outlineLvl w:val="6"/>
    </w:pPr>
    <w:rPr>
      <w:rFonts w:eastAsia="MS Mincho"/>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1">
    <w:name w:val="Основной шрифт абзаца1"/>
  </w:style>
  <w:style w:type="character" w:customStyle="1" w:styleId="a5">
    <w:name w:val="Ссылка"/>
    <w:rPr>
      <w:i/>
    </w:rPr>
  </w:style>
  <w:style w:type="character" w:styleId="a6">
    <w:name w:val="Hyperlink"/>
    <w:rPr>
      <w:color w:val="0000FF"/>
      <w:u w:val="single"/>
    </w:rPr>
  </w:style>
  <w:style w:type="character" w:customStyle="1" w:styleId="a7">
    <w:name w:val="Символ сноски"/>
    <w:rPr>
      <w:vertAlign w:val="superscript"/>
    </w:rPr>
  </w:style>
  <w:style w:type="character" w:styleId="a8">
    <w:name w:val="page number"/>
    <w:basedOn w:val="11"/>
  </w:style>
  <w:style w:type="character" w:customStyle="1" w:styleId="a9">
    <w:name w:val="Маркеры списка"/>
    <w:rPr>
      <w:rFonts w:ascii="OpenSymbol" w:eastAsia="OpenSymbol" w:hAnsi="OpenSymbol" w:cs="OpenSymbol"/>
    </w:rPr>
  </w:style>
  <w:style w:type="paragraph" w:customStyle="1" w:styleId="aa">
    <w:name w:val="Заголовок"/>
    <w:basedOn w:val="a0"/>
    <w:next w:val="a1"/>
    <w:pPr>
      <w:keepNext/>
      <w:spacing w:before="240" w:after="120"/>
    </w:pPr>
    <w:rPr>
      <w:rFonts w:ascii="Arial" w:eastAsia="MS Mincho" w:hAnsi="Arial" w:cs="Tahoma"/>
      <w:szCs w:val="28"/>
    </w:rPr>
  </w:style>
  <w:style w:type="paragraph" w:styleId="a1">
    <w:name w:val="Body Text"/>
    <w:basedOn w:val="a0"/>
  </w:style>
  <w:style w:type="paragraph" w:styleId="ab">
    <w:name w:val="Title"/>
    <w:basedOn w:val="a0"/>
    <w:next w:val="a1"/>
    <w:pPr>
      <w:keepNext/>
      <w:spacing w:before="240" w:after="120"/>
    </w:pPr>
    <w:rPr>
      <w:rFonts w:ascii="Arial" w:eastAsia="DejaVu Sans" w:hAnsi="Arial" w:cs="DejaVu Sans"/>
      <w:szCs w:val="28"/>
    </w:rPr>
  </w:style>
  <w:style w:type="paragraph" w:styleId="ac">
    <w:name w:val="Subtitle"/>
    <w:basedOn w:val="ab"/>
    <w:next w:val="a1"/>
    <w:pPr>
      <w:jc w:val="center"/>
    </w:pPr>
    <w:rPr>
      <w:i/>
      <w:iCs/>
    </w:rPr>
  </w:style>
  <w:style w:type="paragraph" w:styleId="ad">
    <w:name w:val="List"/>
    <w:basedOn w:val="a1"/>
    <w:rPr>
      <w:rFonts w:ascii="Arial" w:hAnsi="Arial"/>
    </w:rPr>
  </w:style>
  <w:style w:type="paragraph" w:customStyle="1" w:styleId="12">
    <w:name w:val="Название1"/>
    <w:basedOn w:val="a0"/>
    <w:pPr>
      <w:suppressLineNumbers/>
      <w:spacing w:before="120" w:after="120"/>
    </w:pPr>
    <w:rPr>
      <w:rFonts w:ascii="Arial" w:hAnsi="Arial"/>
      <w:i/>
      <w:iCs/>
      <w:sz w:val="20"/>
      <w:szCs w:val="24"/>
    </w:rPr>
  </w:style>
  <w:style w:type="paragraph" w:customStyle="1" w:styleId="13">
    <w:name w:val="Указатель1"/>
    <w:basedOn w:val="a0"/>
    <w:pPr>
      <w:suppressLineNumbers/>
    </w:pPr>
    <w:rPr>
      <w:rFonts w:ascii="Arial" w:hAnsi="Arial"/>
    </w:rPr>
  </w:style>
  <w:style w:type="paragraph" w:customStyle="1" w:styleId="ae">
    <w:name w:val="Автор"/>
    <w:basedOn w:val="a0"/>
    <w:qFormat/>
    <w:rsid w:val="002D04CB"/>
    <w:pPr>
      <w:spacing w:after="240"/>
      <w:ind w:firstLine="0"/>
      <w:jc w:val="center"/>
    </w:pPr>
    <w:rPr>
      <w:b/>
    </w:rPr>
  </w:style>
  <w:style w:type="paragraph" w:styleId="af">
    <w:name w:val="Body Text Indent"/>
    <w:basedOn w:val="a0"/>
    <w:pPr>
      <w:ind w:firstLine="450"/>
    </w:pPr>
  </w:style>
  <w:style w:type="paragraph" w:customStyle="1" w:styleId="a">
    <w:name w:val="список"/>
    <w:basedOn w:val="a0"/>
    <w:pPr>
      <w:numPr>
        <w:numId w:val="3"/>
      </w:numPr>
      <w:spacing w:after="80"/>
    </w:pPr>
  </w:style>
  <w:style w:type="paragraph" w:customStyle="1" w:styleId="14">
    <w:name w:val="Название объекта1"/>
    <w:basedOn w:val="a0"/>
    <w:next w:val="a0"/>
    <w:pPr>
      <w:spacing w:before="120" w:after="120"/>
      <w:jc w:val="center"/>
    </w:pPr>
    <w:rPr>
      <w:b/>
      <w:sz w:val="24"/>
      <w:lang w:val="en-US"/>
    </w:rPr>
  </w:style>
  <w:style w:type="paragraph" w:customStyle="1" w:styleId="15">
    <w:name w:val="Текст1"/>
    <w:basedOn w:val="a0"/>
    <w:rPr>
      <w:rFonts w:ascii="Courier New" w:hAnsi="Courier New"/>
    </w:rPr>
  </w:style>
  <w:style w:type="paragraph" w:styleId="af0">
    <w:name w:val="footnote text"/>
    <w:basedOn w:val="a0"/>
  </w:style>
  <w:style w:type="paragraph" w:styleId="af1">
    <w:name w:val="footer"/>
    <w:basedOn w:val="a0"/>
    <w:link w:val="af2"/>
    <w:uiPriority w:val="99"/>
    <w:pPr>
      <w:tabs>
        <w:tab w:val="center" w:pos="4153"/>
        <w:tab w:val="right" w:pos="8306"/>
      </w:tabs>
    </w:pPr>
  </w:style>
  <w:style w:type="paragraph" w:customStyle="1" w:styleId="21">
    <w:name w:val="Основной текст с отступом 21"/>
    <w:basedOn w:val="a0"/>
  </w:style>
  <w:style w:type="paragraph" w:customStyle="1" w:styleId="210">
    <w:name w:val="Основной текст 21"/>
    <w:basedOn w:val="a0"/>
    <w:pPr>
      <w:ind w:firstLine="0"/>
      <w:jc w:val="center"/>
    </w:pPr>
  </w:style>
  <w:style w:type="paragraph" w:styleId="16">
    <w:name w:val="toc 1"/>
    <w:basedOn w:val="a0"/>
    <w:next w:val="a0"/>
    <w:pPr>
      <w:tabs>
        <w:tab w:val="left" w:leader="dot" w:pos="9639"/>
      </w:tabs>
      <w:ind w:right="851" w:firstLine="0"/>
    </w:pPr>
  </w:style>
  <w:style w:type="paragraph" w:styleId="20">
    <w:name w:val="toc 2"/>
    <w:basedOn w:val="a0"/>
    <w:next w:val="a0"/>
    <w:pPr>
      <w:tabs>
        <w:tab w:val="left" w:pos="28350"/>
      </w:tabs>
      <w:spacing w:after="120"/>
      <w:ind w:left="198" w:right="851" w:firstLine="0"/>
    </w:pPr>
    <w:rPr>
      <w:i/>
      <w:szCs w:val="18"/>
    </w:rPr>
  </w:style>
  <w:style w:type="paragraph" w:styleId="30">
    <w:name w:val="toc 3"/>
    <w:basedOn w:val="a0"/>
    <w:next w:val="a0"/>
    <w:pPr>
      <w:ind w:left="400" w:firstLine="720"/>
    </w:pPr>
  </w:style>
  <w:style w:type="paragraph" w:styleId="40">
    <w:name w:val="toc 4"/>
    <w:basedOn w:val="a0"/>
    <w:next w:val="a0"/>
    <w:pPr>
      <w:ind w:left="600" w:firstLine="720"/>
    </w:pPr>
  </w:style>
  <w:style w:type="paragraph" w:styleId="50">
    <w:name w:val="toc 5"/>
    <w:basedOn w:val="a0"/>
    <w:next w:val="a0"/>
    <w:pPr>
      <w:ind w:left="800" w:firstLine="720"/>
    </w:pPr>
  </w:style>
  <w:style w:type="paragraph" w:styleId="60">
    <w:name w:val="toc 6"/>
    <w:basedOn w:val="a0"/>
    <w:next w:val="a0"/>
    <w:pPr>
      <w:ind w:left="1000" w:firstLine="720"/>
    </w:pPr>
  </w:style>
  <w:style w:type="paragraph" w:styleId="70">
    <w:name w:val="toc 7"/>
    <w:basedOn w:val="a0"/>
    <w:next w:val="a0"/>
    <w:pPr>
      <w:ind w:left="1200" w:firstLine="720"/>
    </w:pPr>
  </w:style>
  <w:style w:type="paragraph" w:styleId="8">
    <w:name w:val="toc 8"/>
    <w:basedOn w:val="a0"/>
    <w:next w:val="a0"/>
    <w:pPr>
      <w:ind w:left="1400" w:firstLine="720"/>
    </w:pPr>
  </w:style>
  <w:style w:type="paragraph" w:styleId="9">
    <w:name w:val="toc 9"/>
    <w:basedOn w:val="a0"/>
    <w:next w:val="a0"/>
    <w:pPr>
      <w:ind w:left="1600" w:firstLine="720"/>
    </w:pPr>
  </w:style>
  <w:style w:type="paragraph" w:customStyle="1" w:styleId="af3">
    <w:name w:val="Литература"/>
    <w:basedOn w:val="a0"/>
    <w:qFormat/>
    <w:rsid w:val="00470ED1"/>
    <w:pPr>
      <w:tabs>
        <w:tab w:val="right" w:pos="397"/>
        <w:tab w:val="left" w:pos="510"/>
      </w:tabs>
      <w:ind w:left="510" w:hanging="510"/>
    </w:pPr>
    <w:rPr>
      <w:rFonts w:eastAsia="MS Mincho"/>
    </w:rPr>
  </w:style>
  <w:style w:type="paragraph" w:styleId="af4">
    <w:name w:val="header"/>
    <w:basedOn w:val="a0"/>
    <w:pPr>
      <w:tabs>
        <w:tab w:val="center" w:pos="4677"/>
        <w:tab w:val="right" w:pos="9355"/>
      </w:tabs>
    </w:pPr>
  </w:style>
  <w:style w:type="paragraph" w:customStyle="1" w:styleId="af5">
    <w:name w:val="Откуда"/>
    <w:basedOn w:val="a0"/>
    <w:qFormat/>
    <w:rsid w:val="00083A10"/>
    <w:pPr>
      <w:ind w:firstLine="0"/>
      <w:jc w:val="center"/>
    </w:pPr>
    <w:rPr>
      <w:i/>
    </w:rPr>
  </w:style>
  <w:style w:type="paragraph" w:customStyle="1" w:styleId="af6">
    <w:name w:val="Рисунок"/>
    <w:basedOn w:val="a0"/>
    <w:link w:val="af7"/>
    <w:qFormat/>
    <w:rsid w:val="006A47D8"/>
    <w:pPr>
      <w:keepNext/>
      <w:spacing w:before="360" w:after="120"/>
      <w:ind w:firstLine="0"/>
      <w:jc w:val="center"/>
    </w:pPr>
    <w:rPr>
      <w:rFonts w:eastAsia="MS Mincho"/>
    </w:rPr>
  </w:style>
  <w:style w:type="paragraph" w:customStyle="1" w:styleId="af8">
    <w:name w:val="Подрисуночная"/>
    <w:basedOn w:val="a0"/>
    <w:link w:val="af9"/>
    <w:qFormat/>
    <w:rsid w:val="006A47D8"/>
    <w:pPr>
      <w:keepLines/>
      <w:spacing w:after="300"/>
      <w:ind w:firstLine="0"/>
      <w:jc w:val="center"/>
    </w:pPr>
    <w:rPr>
      <w:rFonts w:eastAsia="MS Mincho"/>
    </w:rPr>
  </w:style>
  <w:style w:type="character" w:customStyle="1" w:styleId="af7">
    <w:name w:val="Рисунок Знак"/>
    <w:link w:val="af6"/>
    <w:rsid w:val="006A47D8"/>
    <w:rPr>
      <w:rFonts w:eastAsia="MS Mincho"/>
      <w:sz w:val="24"/>
      <w:lang w:eastAsia="ar-SA"/>
    </w:rPr>
  </w:style>
  <w:style w:type="paragraph" w:customStyle="1" w:styleId="afa">
    <w:name w:val="Аннотация"/>
    <w:basedOn w:val="a0"/>
    <w:link w:val="afb"/>
    <w:qFormat/>
    <w:rsid w:val="00A13710"/>
    <w:pPr>
      <w:spacing w:before="360"/>
      <w:ind w:left="680" w:right="680" w:firstLine="340"/>
    </w:pPr>
    <w:rPr>
      <w:rFonts w:eastAsia="MS Mincho"/>
      <w:sz w:val="24"/>
      <w:szCs w:val="24"/>
    </w:rPr>
  </w:style>
  <w:style w:type="character" w:customStyle="1" w:styleId="af9">
    <w:name w:val="Подрисуночная Знак"/>
    <w:link w:val="af8"/>
    <w:rsid w:val="006A47D8"/>
    <w:rPr>
      <w:rFonts w:eastAsia="MS Mincho"/>
      <w:sz w:val="24"/>
      <w:lang w:eastAsia="ar-SA"/>
    </w:rPr>
  </w:style>
  <w:style w:type="paragraph" w:customStyle="1" w:styleId="afc">
    <w:name w:val="Ключевые"/>
    <w:basedOn w:val="a0"/>
    <w:link w:val="afd"/>
    <w:qFormat/>
    <w:rsid w:val="00A13710"/>
    <w:pPr>
      <w:spacing w:before="120" w:after="360"/>
      <w:ind w:left="680" w:right="680" w:firstLine="340"/>
    </w:pPr>
    <w:rPr>
      <w:rFonts w:eastAsia="MS Mincho"/>
      <w:sz w:val="24"/>
      <w:szCs w:val="24"/>
    </w:rPr>
  </w:style>
  <w:style w:type="character" w:customStyle="1" w:styleId="afb">
    <w:name w:val="Аннотация Знак"/>
    <w:link w:val="afa"/>
    <w:rsid w:val="00A13710"/>
    <w:rPr>
      <w:rFonts w:eastAsia="MS Mincho"/>
      <w:sz w:val="24"/>
      <w:szCs w:val="24"/>
      <w:lang w:eastAsia="ar-SA"/>
    </w:rPr>
  </w:style>
  <w:style w:type="paragraph" w:customStyle="1" w:styleId="afe">
    <w:name w:val="Раздел"/>
    <w:basedOn w:val="a0"/>
    <w:next w:val="a0"/>
    <w:link w:val="aff"/>
    <w:qFormat/>
    <w:rsid w:val="00FE174B"/>
    <w:pPr>
      <w:keepNext/>
      <w:keepLines/>
      <w:spacing w:before="360" w:after="60"/>
      <w:ind w:left="1020" w:hanging="340"/>
      <w:jc w:val="left"/>
    </w:pPr>
    <w:rPr>
      <w:b/>
    </w:rPr>
  </w:style>
  <w:style w:type="character" w:customStyle="1" w:styleId="afd">
    <w:name w:val="Ключевые Знак"/>
    <w:link w:val="afc"/>
    <w:rsid w:val="00A13710"/>
    <w:rPr>
      <w:rFonts w:eastAsia="MS Mincho"/>
      <w:sz w:val="24"/>
      <w:szCs w:val="24"/>
      <w:lang w:eastAsia="ar-SA"/>
    </w:rPr>
  </w:style>
  <w:style w:type="character" w:customStyle="1" w:styleId="af2">
    <w:name w:val="Нижний колонтитул Знак"/>
    <w:link w:val="af1"/>
    <w:uiPriority w:val="99"/>
    <w:rsid w:val="005628F0"/>
    <w:rPr>
      <w:sz w:val="28"/>
      <w:lang w:eastAsia="ar-SA"/>
    </w:rPr>
  </w:style>
  <w:style w:type="character" w:customStyle="1" w:styleId="aff">
    <w:name w:val="Раздел Знак"/>
    <w:link w:val="afe"/>
    <w:rsid w:val="00FE174B"/>
    <w:rPr>
      <w:b/>
      <w:sz w:val="28"/>
      <w:lang w:eastAsia="ar-SA"/>
    </w:rPr>
  </w:style>
  <w:style w:type="character" w:styleId="aff0">
    <w:name w:val="FollowedHyperlink"/>
    <w:uiPriority w:val="99"/>
    <w:semiHidden/>
    <w:unhideWhenUsed/>
    <w:rsid w:val="00E42F73"/>
    <w:rPr>
      <w:color w:val="954F72"/>
      <w:u w:val="single"/>
    </w:rPr>
  </w:style>
  <w:style w:type="paragraph" w:customStyle="1" w:styleId="-">
    <w:name w:val="Згл-агнл"/>
    <w:basedOn w:val="1"/>
    <w:link w:val="-0"/>
    <w:qFormat/>
    <w:rsid w:val="00274762"/>
    <w:pPr>
      <w:pageBreakBefore w:val="0"/>
      <w:spacing w:before="480"/>
      <w:outlineLvl w:val="9"/>
    </w:pPr>
    <w:rPr>
      <w:rFonts w:eastAsia="MS Mincho"/>
      <w:lang w:val="en-US"/>
    </w:rPr>
  </w:style>
  <w:style w:type="character" w:customStyle="1" w:styleId="10">
    <w:name w:val="Заголовок 1 Знак"/>
    <w:link w:val="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948/abrau-2019-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0948/abrau-2019-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770</Words>
  <Characters>4991</Characters>
  <Application>Microsoft Office Word</Application>
  <DocSecurity>0</DocSecurity>
  <Lines>155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5597</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Горбунов-Посадов</cp:lastModifiedBy>
  <cp:revision>4</cp:revision>
  <cp:lastPrinted>1899-12-31T21:00:00Z</cp:lastPrinted>
  <dcterms:created xsi:type="dcterms:W3CDTF">2025-03-02T19:01:00Z</dcterms:created>
  <dcterms:modified xsi:type="dcterms:W3CDTF">2026-07-31T09:12:00Z</dcterms:modified>
</cp:coreProperties>
</file>