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Какой путь используется, определяют расположение устройств, настройки транспортного слоя и привязка вычислительных ядер, GPU и сетевого адаптера к процессу, поэтому задержки для разных пар GPU могут заметно различаться. Настоящая работа продолжает исследования [1, 2]. В [1] задержки измерялись между узлами кластера, и было показано, что пары узлов разбиваются на группы со сходными характеристиками обмена; в [2] этот подход перенесён на GPU, расположенные на разных узлах. Разработанный модуль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среду передачи (без промежуточного копирования или через оперативную память) можно выбирать.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Маршрутом называется последовательность вершин и рёбер, по которой передаётся сообщение; множество допустимых маршрутов задаётся топологией, а фактический маршрут —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MPI; в host используется промежуточный буфер в оперативной памяти. В режиме тестирования one_to_one обмен идёт только между одной парой устройств в каждый момент времени; в all_to_all —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двух конфигурациях, различающихся способом объединения GPU: узлы с двумя GPU NVIDIA A100, подключёнными по шине PCIe, и узлы с GPU NVIDIA A100, объединёнными коммутаторами NVSwitch. Межузловой обмен идёт через InfiniBand. Использовались Open MPI 5.0.10, UCX 1.15.0 и CUDA Toolkit 12.8. Каждая серия измерений состоит из разогрева — нескольких передач, время которых не учитывается, — и измерительного этапа. Разогрев исключает из результата разовые издержки первых обменов, в частности установление соединений транспортного слоя и регистрацию буферов. Замеры внутри серии неоднородны: в них наблюдаются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крупных сообщениях, когда задержка определяется пропускной способностью маршрута. На узле с NVSwitch прямой обмен почти в семнадцать раз быстрее передачи через оперативную память и достигает примерно трёх четвертей теоретической пропускной способности NVLink; значения по всем парам совпадают в пределах долей процента, что согласуется с полносвязной топологией NVSwitch. На узлах с PCIe выигрыш прямого обмена скромнее, а межузловая передача достигает примерно трёх четвертей предела InfiniBand. В режиме all_to_all задержки возрастают во всех средах из-за конкуренции передач за общие ресурсы.</w:t>
      </w:r>
    </w:p>
    <w:p w14:paraId="25485672" w14:textId="77777777">
      <w:pPr>
        <w:ind w:firstLine="680"/>
        <w:jc w:val="both"/>
      </w:pPr>
      <w:r>
        <w:t>Зависимость задержки от размера сообщения немонотонна (рис. 1): UCX передаёт сообщения меньше порога протоколом eager с копированием через оперативную память, а более крупные — протоколом rendezvous напрямую. Порог выбирается автоматически и различается между узлами: между 8 и 16 КБ на узле с NVSwitch и между 256 и 512 КБ на узлах с PCIe. Ниже порога скорость ограничивает копирование, а не канал, поэтому передача по PCIe и по InfiniBand даёт одинаковую задержку, а при 128–256 КБ среда auto в 5–7 раз медленнее host. Запуски с заданным порогом это подтверждают: при UCX_RNDV_THRESH=0 провал исчезает и задержка при 256 КБ снижается в 4–5 раз, а при принудительном eager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порог UCX по умолчанию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Slurm Workload Manager: Generic Resource (GRES) Scheduling. — URL: https://slurm.schedmd.com/gres.html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