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примерно в семнадцать раз быстрее передачи через оперативную память и достигает примерно трёх четвертей теоретической пропускной способности NVLink. Значения по всем парам различаются не более чем на 2 %, что согласуется с полносвязной топологией NVSwitch. На узлах с PCIe выигрыш прямого обмена скромнее, а межузловая передача достигает около 70 %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Протокол передачи в UCX зависит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По умолчанию порог выбирается автоматически и различается между узлами: между 8 и 16 КБ на узле с NVSwitch и между 256 и 512 КБ на узлах с PCIe.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узлах с PCIe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