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примерно в семнадцать раз быстрее передачи через оперативную память и достигает примерно трёх четвертей теоретической пропускной способности NVLink. Значения по всем парам различаются не более чем на 2 %, что согласуется с полносвязной топологией NVSwitch. На узлах с PCIe выигрыш прямого обмена скромнее, а межузловая передача достигает около 70 %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Протокол передачи в UCX зависит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По умолчанию порог выбирается автоматически и различается между узлами: между 8 и 16 КБ на узле с NVSwitch и между 256 и 512 КБ на узлах с PCIe. Ниже порога задержку ограничивает копирование, а не канал, поэтому передача по PCIe и по InfiniBand даёт одинаковую задержку. При переходе через порог задержка падает, и её зависимость от размера сообщения становится немонотонной. На узлах с PCIe при 256 КБ она в 4–5 раз выше, чем при передаче протоколом rendezvous. Чтобы задержка отражала свойства канала, все измерения выполнены с UCX_RNDV_THRESH=0, при котором любое сообщение передаётся протоколом rendezvous (рис. 1). При принудительном eager (UCX_RNDV_THRESH=32M), напротив,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