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Под прямым обменом понимается передача без промежуточного копирования в оперативную память: внутри узла она выполняется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получателя: фиксируется интервал от готовности принять данные до завершения приёма. Таймером служит MPI_Wtime(), поэтому согласованность таймеров между узлами не требуется. Измеренный интервал может включать ожидание начала передачи и потому является оценкой сверху. Модуль реализован на C++ с использованием CUDA Runtime API и MPI. Применяются Open MPI [6] в CUDA-aware режиме и транспортный слой UCX [7]. В среде передачи auto указатели на буферы в памяти GPU передаются непосредственно в вызовы MPI, а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75 %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2 %,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70 %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при тех же 16 МБ задержки возрастают на обеих группах узлов и в обеих средах из-за конкуренции передач за общие ресурсы. Внутри узла G8600 V7 задержка в среде auto растёт примерно в три раза, но остаётся примерно в девять раз ниже, чем в среде host. При этом задержки для разных пар GPU различаются уже до 3,5 раза. Внутри узлов G5500 V7 задержка в среде auto растёт почти в восемь раз, и среда host оказывается быстрее auto примерно в 2,4 раза. Для пар GPU на разных узлах задержка в обеих средах растёт в 3–3,5 раза.</w:t>
      </w:r>
    </w:p>
    <w:p w14:paraId="25485672" w14:textId="77777777">
      <w:pPr>
        <w:ind w:firstLine="680"/>
        <w:jc w:val="both"/>
      </w:pPr>
      <w:r>
        <w:t>Протокол передачи в UCX зависит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По умолчанию порог выбирается автоматически и различается между узлами: между 8 и 16 КБ на узле G8600 V7 и между 256 и 512 КБ на группе узлов G5500 V7. Ниже порога задержку ограничивает копирование, а не канал, поэтому передача по PCIe и по InfiniBand даёт одинаковую задержку. При переходе через порог задержка падает, и её зависимость от размера сообщения становится немонотонной. На группе узлов G5500 V7 при 256 КБ она в 4–5 раз выше, чем при передаче протоколом rendezvous. Чтобы задержка отражала свойства канала, все измерения выполнены с UCX_RNDV_THRESH=0, при котором любое сообщение передаётся протоколом rendezvous (рис. 1). При принудительном eager (UCX_RNDV_THRESH=32M), напротив, все каналы, включая NVLink, выходят примерно на 1 ГБ/с.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632915E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Результаты показывают, что среда передачи и режим тестирования существенно влияют на задержку, а разброс значений между парами GPU отражает неоднородность коммуникационной среды кластера. Публикуемым значениям задержек должна сопутствовать фиксация настроек транспортного слоя, в том числе порога перехода на протокол rendezvous, и схемы привязки ресурсов, без которой результаты несопоставимы между запусками.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27.09.2026).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