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при тех же 16 МБ задержки возрастают на обеих группах узлов и в обеих средах из-за конкуренции передач за общие ресурсы. Внутри узла G8600 V7 задержка в среде auto растёт примерно в три раза, но остаётся примерно в девять раз ниже, чем в среде host. При этом задержки для разных пар GPU различаются уже до 3,5 раза. Внутри узлов G5500 V7 задержка в среде auto растёт почти в восемь раз, и среда host оказывается быстрее auto примерно в 2,4 раза. Для пар GPU на разных узлах задержка в обеих средах растёт в 3–3,5 раза.</w:t>
      </w:r>
    </w:p>
    <w:p w14:paraId="25485672" w14:textId="77777777">
      <w:pPr>
        <w:ind w:firstLine="680"/>
        <w:jc w:val="both"/>
      </w:pPr>
      <w:r>
        <w:t>В среде auto путь данных выбирает UCX в зависимости от размера сообщения. Сообщения меньше порога передаются протоколом eager: данные копируются из памяти GPU в оперативную память и отправляются оттуда. Более крупные сообщения передаются протоколом rendezvous без промежуточного копирования. В среде host буфер изначально находится в оперативной памяти, поэтому порог на путь данных не влияет. По умолчанию порог выбирается автоматически и различается между узлами: между 8 и 16 КБ на узле G8600 V7 и между 256 и 512 КБ на группе узлов G5500 V7. Ниже порога задержку ограничивает копирование, а не канал, поэтому передача по PCIe и по InfiniBand даёт одинаковую задержку. При переходе через порог задержка падает, и её зависимость от размера сообщения становится немонотонной. На группе узлов G5500 V7 при 256 КБ она в 4–5 раз выше, чем при передаче протоколом rendezvous. Чтобы задержка отражала свойства канала, все измерения выполнены с UCX_RNDV_THRESH=0, при котором любое сообщение передаётся протоколом rendezvous (рис. 1). При принудительном eager (UCX_RNDV_THRESH=32M), напротив, все каналы, включая NVLink, выходят примерно на 1 ГБ/с.</w:t>
      </w:r>
    </w:p>
    <w:p w14:paraId="25485672" w14:textId="77777777">
      <w:pPr>
        <w:pStyle w:val="a7"/>
      </w:pPr>
      <w:r/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