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сообщениях размером 16 МБ, когда задержка определяется пропускной способностью маршрута. Внутри узла G8600 V7 передача между GPU в среде auto примерно в 17 раз быстрее, чем в среде host, и достигает около 75%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2%, что согласуется с полносвязной топологией NVSwitch. На группе узлов G5500 V7 среда auto быстрее host лишь примерно в полтора раза, причём как для пар GPU внутри одного узла, так и для пар на разных узлах. Передача между узлами в среде auto достигает около 70% предела InfiniBand 100 Гбит/с.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задержки на обеих группах узлов и в обеих средах получились заметно больше, чем в one_to_one,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В среде auto путь данных выбирает UCX в зависимости от размера сообщения. Сообщения меньше порога передаются протоколом eager: данные копируются из памяти GPU в оперативную память и отправляются оттуда. Более крупные сообщения передаются протоколом rendezvous без промежуточного копирования. В среде host буфер изначально находится в оперативной памяти, поэтому порог на путь данных не влияет. По умолчанию порог выбирается автоматически и различается между узлами: между 8 и 16 КБ на узле G8600 V7 и между 256 и 512 КБ на группе узлов G5500 V7. Ниже порога задержку ограничивает копирование, а не канал, поэтому передача по PCIe и по InfiniBand даёт одинаковую задержку. При переходе через порог задержка падает, и её зависимость от размера сообщения становится немонотонной. На группе узлов G5500 V7 при 256 КБ она в 4–5 раз выше, чем при передаче протоколом rendezvous. Чтобы задержка отражала свойства канала, все измерения выполнены с UCX_RNDV_THRESH=0, при котором любое сообщение передаётся протоколом rendezvous (рис. 1). При принудительном eager (UCX_RNDV_THRESH=32M), напротив,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UCX_RNDV_THRESH=0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27.09.2026).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