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приёма, поэтому синхронизация таймеров узлов не требуется.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на группе узлов G5500 V7 лежит между 256 и 512 КБ. Ниже порога задержку ограничивает копирование, а не канал, и при переходе через порог она падает в несколько раз. Чтобы задержка отражала свойства канала, все измерения выполнены с UCX_RNDV_THRESH=0, при котором любое сообщение передаётся протоколом rendezvous.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существенно зависит от среды передачи, режима тестирования и настроек транспортного слоя. Поэтому вместе с результатами измерений необходимо указывать порог перехода на протокол rendezvous и схему привязки ресурсов.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