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4D415CFA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1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МГУ имени М. В. Ломоносова, Москва</w:t>
      </w:r>
    </w:p>
    <w:p w14:paraId="5F98B517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Вычислительный центр им. А. А. Дородницына ФИЦ ИУ РАН, Москва</w:t>
      </w:r>
    </w:p>
    <w:p w14:paraId="4D05181C">
      <w:pPr>
        <w:pStyle w:val="a6"/>
      </w:pPr>
    </w:p>
    <w:p w14:paraId="0A8C80C8">
      <w:pPr>
        <w:pStyle w:val="a6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Каждый MPI-процесс привязан к одному GPU, к ближайшему к нему по шине PCIe сетевому адаптеру и к ядрам процессора того же NUMA-домена.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различается между группами узлов: между 8 и 16 КБ на узле G8600 V7 и между 256 и 512 КБ на группе узлов G5500 V7. Ниже порога задержку ограничивает копирование, а не канал, и при переходе через порог она заметно падает. Без GDRCopy UCX копирует данные небольшими порциями, поэтому протокол eager медленнее даже среды host, где буфер копируется целиком. При принудительном eager (UCX_RNDV_THRESH=32M) задержка при 16 МБ в 7–17 раз выше, чем в среде host, и почти не зависит от канала. Чтобы протокол передачи не зависел от размера сообщения и группы узлов, основные измерения выполнены с UCX_RNDV_THRESH=0, при котором любое сообщение передаётся протоколом rendezvous.</w:t>
      </w:r>
    </w:p>
    <w:p w14:paraId="50E961B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66FAC786" w14:textId="77777777">
      <w:pPr>
        <w:pStyle w:val="a7"/>
        <w:jc w:val="center"/>
      </w:pPr>
      <w:r>
        <w:drawing>
          <wp:inline distT="0" distB="0" distL="0" distR="0">
            <wp:extent cx="5038725" cy="35242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1. Медианная по парам GPU задержка в среде auto, режим one_to_one, UCX_RNDV_THRESH=0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ДГТУ-Принт,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 5.0.x Documentation: CUDA. — URL: https://docs.open-mpi.org/en/v5.0.x/tuning-apps/networking/cuda.html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2026-09-27T18:24:42.226Z</dcterms:modified>
</cp:coreProperties>
</file>