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2FE7C46C" w14:textId="77777777">
      <w:pPr>
        <w:pStyle w:val="Heading1"/>
        <w:pageBreakBefore/>
        <w:jc w:val="center"/>
      </w:pPr>
      <w:r>
        <w:rPr>
          <w:rFonts w:ascii="Times New Roman" w:hAnsi="Times New Roman" w:eastAsia="Times New Roman" w:cs="Times New Roman"/>
          <w:b/>
          <w:bCs/>
          <w:kern w:val="36"/>
          <w:sz w:val="40"/>
          <w:szCs w:val="40"/>
        </w:rP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69672FCF" w14:textId="77777777">
      <w:pPr>
        <w:pStyle w:val="a4"/>
        <w:jc w:val="center"/>
      </w:pPr>
      <w:r>
        <w:rPr>
          <w:rFonts w:ascii="Times New Roman" w:hAnsi="Times New Roman" w:eastAsia="Times New Roman" w:cs="Times New Roman"/>
          <w:b/>
          <w:bCs/>
          <w:sz w:val="28"/>
          <w:szCs w:val="28"/>
        </w:rPr>
        <w:t>К. О. Кибизов</w:t>
      </w:r>
      <w:r>
        <w:rPr>
          <w:rFonts w:ascii="Times New Roman" w:hAnsi="Times New Roman" w:eastAsia="Times New Roman" w:cs="Times New Roman"/>
          <w:b/>
          <w:bCs/>
          <w:sz w:val="28"/>
          <w:szCs w:val="28"/>
          <w:vertAlign w:val="superscript"/>
        </w:rPr>
        <w:t>1</w:t>
      </w:r>
      <w:r>
        <w:rPr>
          <w:rFonts w:ascii="Times New Roman" w:hAnsi="Times New Roman" w:eastAsia="Times New Roman" w:cs="Times New Roman"/>
          <w:b/>
          <w:bCs/>
          <w:sz w:val="28"/>
          <w:szCs w:val="28"/>
        </w:rPr>
        <w:t>, А. Н. Сальников</w:t>
      </w:r>
      <w:r>
        <w:rPr>
          <w:rFonts w:ascii="Times New Roman" w:hAnsi="Times New Roman" w:eastAsia="Times New Roman" w:cs="Times New Roman"/>
          <w:b/>
          <w:bCs/>
          <w:sz w:val="28"/>
          <w:szCs w:val="28"/>
          <w:vertAlign w:val="superscript"/>
        </w:rPr>
        <w:t>1,2</w:t>
      </w:r>
      <w:r>
        <w:rPr>
          <w:rFonts w:ascii="Times New Roman" w:hAnsi="Times New Roman" w:eastAsia="Times New Roman" w:cs="Times New Roman"/>
          <w:b/>
          <w:bCs/>
          <w:sz w:val="28"/>
          <w:szCs w:val="28"/>
        </w:rPr>
        <w:t>, Г. М. Михайлов</w:t>
      </w:r>
      <w:r>
        <w:rPr>
          <w:rFonts w:ascii="Times New Roman" w:hAnsi="Times New Roman" w:eastAsia="Times New Roman" w:cs="Times New Roman"/>
          <w:b/>
          <w:bCs/>
          <w:sz w:val="28"/>
          <w:szCs w:val="28"/>
          <w:vertAlign w:val="superscript"/>
        </w:rPr>
        <w:t>2</w:t>
      </w:r>
    </w:p>
    <w:p w14:paraId="4D415CFA" w14:textId="77777777">
      <w:pPr>
        <w:pStyle w:val="a6"/>
        <w:jc w:val="center"/>
      </w:pPr>
      <w:r>
        <w:rPr>
          <w:rFonts w:ascii="Times New Roman" w:hAnsi="Times New Roman" w:eastAsia="Times New Roman" w:cs="Times New Roman"/>
          <w:i/>
          <w:iCs/>
          <w:sz w:val="28"/>
          <w:szCs w:val="28"/>
          <w:vertAlign w:val="superscript"/>
        </w:rPr>
        <w:t xml:space="preserve">1 </w:t>
      </w:r>
      <w:r>
        <w:rPr>
          <w:rFonts w:ascii="Times New Roman" w:hAnsi="Times New Roman" w:eastAsia="Times New Roman" w:cs="Times New Roman"/>
          <w:i/>
          <w:iCs/>
          <w:sz w:val="28"/>
          <w:szCs w:val="28"/>
        </w:rPr>
        <w:t>МГУ имени М. В. Ломоносова, Москва</w:t>
      </w:r>
    </w:p>
    <w:p w14:paraId="5F98B517" w14:textId="77777777">
      <w:pPr>
        <w:pStyle w:val="a6"/>
        <w:jc w:val="center"/>
      </w:pPr>
      <w:r>
        <w:rPr>
          <w:rFonts w:ascii="Times New Roman" w:hAnsi="Times New Roman" w:eastAsia="Times New Roman" w:cs="Times New Roman"/>
          <w:i/>
          <w:iCs/>
          <w:sz w:val="28"/>
          <w:szCs w:val="28"/>
          <w:vertAlign w:val="superscript"/>
        </w:rPr>
        <w:t xml:space="preserve">2 </w:t>
      </w:r>
      <w:r>
        <w:rPr>
          <w:rFonts w:ascii="Times New Roman" w:hAnsi="Times New Roman" w:eastAsia="Times New Roman" w:cs="Times New Roman"/>
          <w:i/>
          <w:iCs/>
          <w:sz w:val="28"/>
          <w:szCs w:val="28"/>
        </w:rPr>
        <w:t>Вычислительный центр им. А. А. Дородницына ФИЦ ИУ РАН, Москва</w:t>
      </w:r>
    </w:p>
    <w:p w14:paraId="4D05181C">
      <w:pPr>
        <w:pStyle w:val="a6"/>
      </w:pPr>
    </w:p>
    <w:p w14:paraId="0A8C80C8">
      <w:pPr>
        <w:pStyle w:val="a6"/>
      </w:pPr>
    </w:p>
    <w:p w14:paraId="69886A46" w14:textId="77777777">
      <w:pPr>
        <w:ind w:firstLine="680"/>
        <w:jc w:val="both"/>
      </w:pPr>
      <w:r>
        <w:rPr>
          <w:rFonts w:ascii="Times New Roman" w:hAnsi="Times New Roman" w:eastAsia="Times New Roman" w:cs="Times New Roman"/>
          <w:sz w:val="28"/>
          <w:szCs w:val="28"/>
        </w:rPr>
        <w:t>При использовании нескольких GPU производительность зависит не только от скорости вычислений на каждом устройстве, но и от скорости обмена данными между ними: медленный обмен способен стать узким местом. Данные между GPU передаются либо без промежуточных копий, либо с копированием через оперативную память. Путь передачи определяется расположением устройств, настройками транспортного слоя и привязкой ресурсов к процессу. От выбранного пути зависит задержка, и для разных пар GPU она может заметно различаться. 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12C1D344" w14:textId="77777777">
      <w:pPr>
        <w:ind w:firstLine="680"/>
        <w:jc w:val="both"/>
      </w:pPr>
      <w:r>
        <w:rPr>
          <w:rFonts w:ascii="Times New Roman" w:hAnsi="Times New Roman" w:eastAsia="Times New Roman" w:cs="Times New Roman"/>
          <w:sz w:val="28"/>
          <w:szCs w:val="28"/>
        </w:rPr>
        <w:t>Коммуникационная среда представляется в виде графа, вершины которого соответствуют аппаратным компонентам — процессорам, GPU, сетевым адаптерам и коммутаторам, — а рёбра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Сообщение проходит по графу через последовательность вершин и рёбер, которая называется маршрутом. Множество допустимых маршрутов задаётся топологией, а фактический маршрут определяется исполняемым кодом и коммуникационным стеком. Без промежуточного копирования данные передаются внутри узла средствами GPUDirect Peer-to-Peer [4], между узлами — GPUDirect RDMA [5]. Предметом изучения служит сквозная задержка передачи сообщения между упорядоченной парой устройств.</w:t>
      </w:r>
    </w:p>
    <w:p w14:paraId="19D8C260" w14:textId="77777777">
      <w:pPr>
        <w:ind w:firstLine="680"/>
        <w:jc w:val="both"/>
      </w:pPr>
      <w:r>
        <w:rPr>
          <w:rFonts w:ascii="Times New Roman" w:hAnsi="Times New Roman" w:eastAsia="Times New Roman" w:cs="Times New Roman"/>
          <w:sz w:val="28"/>
          <w:szCs w:val="28"/>
        </w:rPr>
        <w:t>Задержка измеряется на стороне получателя таймером MPI_Wtime(): фиксируется интервал от готовности принять данные до завершения приёма. Измеренный интервал может включать ожидание начала передачи и потому является оценкой сверху. Применяются Open MPI [6] в CUDA-aware режиме и транспортный слой UCX [7]. Каждый MPI-процесс привязан к одному GPU, к ближайшему к нему по шине PCIe сетевому адаптеру и к ядрам процессора того же NUMA-домена. В среде передачи auto указатели на буферы в памяти GPU передаются непосредственно в вызовы MPI, а способ передачи данных выбирает UCX. В среде host используется промежуточный буфер в оперативной памяти. В режиме тестирования one_to_one в каждый момент времени обмен идёт только между одной парой устройств. В режиме all_to_all обмен идёт одновременно между всеми парами.</w:t>
      </w:r>
    </w:p>
    <w:p w14:paraId="087901D7" w14:textId="193560AD">
      <w:pPr>
        <w:ind w:firstLine="680"/>
        <w:jc w:val="both"/>
      </w:pPr>
      <w:r>
        <w:rPr>
          <w:rFonts w:ascii="Times New Roman" w:hAnsi="Times New Roman" w:eastAsia="Times New Roman" w:cs="Times New Roman"/>
          <w:sz w:val="28"/>
          <w:szCs w:val="28"/>
        </w:rPr>
        <w:t>Измерения выполнены на вычислительном комплексе ЦКП «Информатика» [8]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Использовались Open MPI 5.0.10, UCX 1.15.0 и CUDA Toolkit 12.8. Библиотека GDRCopy, ускоряющая копирование небольших сообщений из памяти GPU, не применялась.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[9], поэтому типичное значение оценивается медианой, устойчивой к выбросам [10].</w:t>
      </w:r>
    </w:p>
    <w:p w14:paraId="25485672" w14:textId="77777777">
      <w:pPr>
        <w:ind w:firstLine="680"/>
        <w:jc w:val="both"/>
      </w:pPr>
      <w:r>
        <w:rPr>
          <w:rFonts w:ascii="Times New Roman" w:hAnsi="Times New Roman" w:eastAsia="Times New Roman" w:cs="Times New Roman"/>
          <w:sz w:val="28"/>
          <w:szCs w:val="28"/>
        </w:rP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Ниже порога задержку ограничивает копирование, а не канал, и при переходе через порог она заметно падает. 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50E961B0" w14:textId="77777777">
      <w:pPr>
        <w:ind w:firstLine="680"/>
        <w:jc w:val="both"/>
      </w:pPr>
      <w:r>
        <w:rPr>
          <w:rFonts w:ascii="Times New Roman" w:hAnsi="Times New Roman" w:eastAsia="Times New Roman" w:cs="Times New Roman"/>
          <w:sz w:val="28"/>
          <w:szCs w:val="28"/>
        </w:rPr>
        <w:t>Наиболее показателен режим one_to_one (рис. 1) при сообщениях размером 16 МБ, когда задержка определяется пропускной способностью маршрута.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полтора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2F702F81" w14:textId="77777777">
      <w:pPr>
        <w:ind w:firstLine="680"/>
        <w:jc w:val="both"/>
      </w:pPr>
      <w:r>
        <w:rPr>
          <w:rFonts w:ascii="Times New Roman" w:hAnsi="Times New Roman" w:eastAsia="Times New Roman" w:cs="Times New Roman"/>
          <w:sz w:val="28"/>
          <w:szCs w:val="28"/>
        </w:rPr>
        <w:t>В режиме all_to_all задержки на обеих группах узлов и в обеих средах получились заметно больше, чем в one_to_one, из-за конкуренции передач за общие ресурсы.</w:t>
      </w:r>
    </w:p>
    <w:p w14:paraId="66FAC786" w14:textId="77777777">
      <w:pPr>
        <w:pStyle w:val="a7"/>
        <w:jc w:val="center"/>
      </w:pPr>
      <w:r>
        <w:drawing>
          <wp:inline distT="0" distB="0" distL="0" distR="0">
            <wp:extent cx="5038725" cy="352425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1"/>
                    <a:stretch>
                      <a:fillRect/>
                    </a:stretch>
                  </pic:blipFill>
                  <pic:spPr>
                    <a:xfrm>
                      <a:off x="0" y="0"/>
                      <a:ext cx="5038725" cy="3524250"/>
                    </a:xfrm>
                    <a:prstGeom prst="rect">
                      <a:avLst/>
                    </a:prstGeom>
                  </pic:spPr>
                </pic:pic>
              </a:graphicData>
            </a:graphic>
          </wp:inline>
        </w:drawing>
      </w:r>
    </w:p>
    <w:p w14:paraId="7890218A" w14:textId="77777777">
      <w:pPr>
        <w:pStyle w:val="a9"/>
        <w:jc w:val="center"/>
      </w:pPr>
      <w:r>
        <w:rPr>
          <w:rFonts w:ascii="Times New Roman" w:hAnsi="Times New Roman" w:eastAsia="MS Mincho" w:cs="Times New Roman"/>
          <w:sz w:val="28"/>
          <w:szCs w:val="28"/>
        </w:rPr>
        <w:t>Рис. 1. Медианная по парам GPU задержка в среде auto, режим one_to_one, UCX_RNDV_THRESH=0</w:t>
      </w:r>
    </w:p>
    <w:p w14:paraId="3A3910A3" w14:textId="77777777">
      <w:pPr>
        <w:pStyle w:val="af"/>
        <w:pageBreakBefore/>
        <w:jc w:val="left"/>
      </w:pPr>
      <w:r>
        <w:rPr>
          <w:rFonts w:ascii="Times New Roman" w:hAnsi="Times New Roman" w:eastAsia="Times New Roman" w:cs="Times New Roman"/>
          <w:b/>
          <w:bCs/>
          <w:sz w:val="28"/>
          <w:szCs w:val="28"/>
        </w:rPr>
        <w:t>Литература</w:t>
      </w:r>
    </w:p>
    <w:p w14:paraId="3A400406" w14:textId="77777777">
      <w:pPr>
        <w:pStyle w:val="a5"/>
        <w:jc w:val="both"/>
      </w:pPr>
      <w:r>
        <w:tab/>
      </w:r>
      <w:r>
        <w:rPr>
          <w:rFonts w:ascii="Times New Roman" w:hAnsi="Times New Roman" w:eastAsia="MS Mincho" w:cs="Times New Roman"/>
          <w:sz w:val="28"/>
          <w:szCs w:val="28"/>
        </w:rPr>
        <w:t>1.</w:t>
      </w:r>
      <w:r>
        <w:tab/>
      </w:r>
      <w:r>
        <w:rPr>
          <w:rFonts w:ascii="Times New Roman" w:hAnsi="Times New Roman" w:eastAsia="MS Mincho" w:cs="Times New Roman"/>
          <w:sz w:val="28"/>
          <w:szCs w:val="28"/>
        </w:rPr>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44E7269B" w14:textId="77777777">
      <w:pPr>
        <w:pStyle w:val="a5"/>
        <w:jc w:val="both"/>
      </w:pPr>
      <w:r>
        <w:tab/>
      </w:r>
      <w:r>
        <w:rPr>
          <w:rFonts w:ascii="Times New Roman" w:hAnsi="Times New Roman" w:eastAsia="MS Mincho" w:cs="Times New Roman"/>
          <w:sz w:val="28"/>
          <w:szCs w:val="28"/>
        </w:rPr>
        <w:t>2.</w:t>
      </w:r>
      <w:r>
        <w:tab/>
      </w:r>
      <w:r>
        <w:rPr>
          <w:rFonts w:ascii="Times New Roman" w:hAnsi="Times New Roman" w:eastAsia="MS Mincho" w:cs="Times New Roman"/>
          <w:sz w:val="28"/>
          <w:szCs w:val="28"/>
        </w:rPr>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72C0ECA3" w14:textId="77777777">
      <w:pPr>
        <w:pStyle w:val="a5"/>
        <w:jc w:val="both"/>
      </w:pPr>
      <w:r>
        <w:tab/>
      </w:r>
      <w:r>
        <w:rPr>
          <w:rFonts w:ascii="Times New Roman" w:hAnsi="Times New Roman" w:eastAsia="MS Mincho" w:cs="Times New Roman"/>
          <w:sz w:val="28"/>
          <w:szCs w:val="28"/>
        </w:rPr>
        <w:t>3.</w:t>
      </w:r>
      <w:r>
        <w:tab/>
      </w:r>
      <w:r>
        <w:rPr>
          <w:rFonts w:ascii="Times New Roman" w:hAnsi="Times New Roman" w:eastAsia="MS Mincho" w:cs="Times New Roman"/>
          <w:sz w:val="28"/>
          <w:szCs w:val="28"/>
        </w:rPr>
        <w:t>Clustbench / network-tests2. — URL: https://github.com/clustbench/network-tests2 (дата обращения: 20.09.2026).</w:t>
      </w:r>
    </w:p>
    <w:p w14:paraId="6E430B5E" w14:textId="77777777">
      <w:pPr>
        <w:pStyle w:val="a5"/>
        <w:jc w:val="both"/>
      </w:pPr>
      <w:r>
        <w:tab/>
      </w:r>
      <w:r>
        <w:rPr>
          <w:rFonts w:ascii="Times New Roman" w:hAnsi="Times New Roman" w:eastAsia="MS Mincho" w:cs="Times New Roman"/>
          <w:sz w:val="28"/>
          <w:szCs w:val="28"/>
        </w:rPr>
        <w:t>4.</w:t>
      </w:r>
      <w:r>
        <w:tab/>
      </w:r>
      <w:r>
        <w:rPr>
          <w:rFonts w:ascii="Times New Roman" w:hAnsi="Times New Roman" w:eastAsia="MS Mincho" w:cs="Times New Roman"/>
          <w:sz w:val="28"/>
          <w:szCs w:val="28"/>
        </w:rPr>
        <w:t>NVIDIA. CUDA C++ Programming Guide: Peer Device Memory Access. — URL: https://docs.nvidia.com/cuda/cuda-c-programming-guide/ (дата обращения: 20.09.2026).</w:t>
      </w:r>
    </w:p>
    <w:p w14:paraId="1D18138E" w14:textId="77777777">
      <w:pPr>
        <w:pStyle w:val="a5"/>
        <w:jc w:val="both"/>
      </w:pPr>
      <w:r>
        <w:tab/>
      </w:r>
      <w:r>
        <w:rPr>
          <w:rFonts w:ascii="Times New Roman" w:hAnsi="Times New Roman" w:eastAsia="MS Mincho" w:cs="Times New Roman"/>
          <w:sz w:val="28"/>
          <w:szCs w:val="28"/>
        </w:rPr>
        <w:t>5.</w:t>
      </w:r>
      <w:r>
        <w:tab/>
      </w:r>
      <w:r>
        <w:rPr>
          <w:rFonts w:ascii="Times New Roman" w:hAnsi="Times New Roman" w:eastAsia="MS Mincho" w:cs="Times New Roman"/>
          <w:sz w:val="28"/>
          <w:szCs w:val="28"/>
        </w:rPr>
        <w:t>NVIDIA. GPUDirect RDMA. — URL: https://docs.nvidia.com/cuda/gpudirect-rdma/ (дата обращения: 20.09.2026).</w:t>
      </w:r>
    </w:p>
    <w:p w14:paraId="3FB2F28C" w14:textId="77777777">
      <w:pPr>
        <w:pStyle w:val="a5"/>
        <w:jc w:val="both"/>
      </w:pPr>
      <w:r>
        <w:tab/>
      </w:r>
      <w:r>
        <w:rPr>
          <w:rFonts w:ascii="Times New Roman" w:hAnsi="Times New Roman" w:eastAsia="MS Mincho" w:cs="Times New Roman"/>
          <w:sz w:val="28"/>
          <w:szCs w:val="28"/>
        </w:rPr>
        <w:t>6.</w:t>
      </w:r>
      <w:r>
        <w:tab/>
      </w:r>
      <w:r>
        <w:rPr>
          <w:rFonts w:ascii="Times New Roman" w:hAnsi="Times New Roman" w:eastAsia="MS Mincho" w:cs="Times New Roman"/>
          <w:sz w:val="28"/>
          <w:szCs w:val="28"/>
        </w:rPr>
        <w:t>Open MPI 5.0.x Documentation: CUDA. — URL: https://docs.open-mpi.org/en/v5.0.x/tuning-apps/networking/cuda.html (дата обращения: 20.09.2026).</w:t>
      </w:r>
    </w:p>
    <w:p w14:paraId="4F0FB508" w14:textId="77777777">
      <w:pPr>
        <w:pStyle w:val="a5"/>
        <w:jc w:val="both"/>
      </w:pPr>
      <w:r>
        <w:tab/>
      </w:r>
      <w:r>
        <w:rPr>
          <w:rFonts w:ascii="Times New Roman" w:hAnsi="Times New Roman" w:eastAsia="MS Mincho" w:cs="Times New Roman"/>
          <w:sz w:val="28"/>
          <w:szCs w:val="28"/>
        </w:rPr>
        <w:t>7.</w:t>
      </w:r>
      <w:r>
        <w:tab/>
      </w:r>
      <w:r>
        <w:rPr>
          <w:rFonts w:ascii="Times New Roman" w:hAnsi="Times New Roman" w:eastAsia="MS Mincho" w:cs="Times New Roman"/>
          <w:sz w:val="28"/>
          <w:szCs w:val="28"/>
        </w:rPr>
        <w:t>Unified Communication X. — URL: https://openucx.org/ (дата обращения: 20.09.2026).</w:t>
      </w:r>
    </w:p>
    <w:p w14:paraId="28A0DB62" w14:textId="77777777">
      <w:pPr>
        <w:pStyle w:val="a5"/>
        <w:jc w:val="both"/>
      </w:pPr>
      <w:r>
        <w:tab/>
      </w:r>
      <w:r>
        <w:rPr>
          <w:rFonts w:ascii="Times New Roman" w:hAnsi="Times New Roman" w:eastAsia="MS Mincho" w:cs="Times New Roman"/>
          <w:sz w:val="28"/>
          <w:szCs w:val="28"/>
        </w:rPr>
        <w:t>8.</w:t>
      </w:r>
      <w:r>
        <w:tab/>
      </w:r>
      <w:r>
        <w:rPr>
          <w:rFonts w:ascii="Times New Roman" w:hAnsi="Times New Roman" w:eastAsia="MS Mincho" w:cs="Times New Roman"/>
          <w:sz w:val="28"/>
          <w:szCs w:val="28"/>
        </w:rPr>
        <w:t>Центр коллективного пользования «Информатика» ФИЦ ИУ РАН: Вычислительная инфраструктура. — URL: https://docs.hpc.frccsc.ru/hardware/ (дата обращения: 20.09.2026).</w:t>
      </w:r>
    </w:p>
    <w:p w14:paraId="3E0D1286" w14:textId="77777777">
      <w:pPr>
        <w:pStyle w:val="a5"/>
        <w:jc w:val="both"/>
      </w:pPr>
      <w:r>
        <w:tab/>
      </w:r>
      <w:r>
        <w:rPr>
          <w:rFonts w:ascii="Times New Roman" w:hAnsi="Times New Roman" w:eastAsia="MS Mincho" w:cs="Times New Roman"/>
          <w:sz w:val="28"/>
          <w:szCs w:val="28"/>
        </w:rPr>
        <w:t>9.</w:t>
      </w:r>
      <w:r>
        <w:tab/>
      </w:r>
      <w:r>
        <w:rPr>
          <w:rFonts w:ascii="Times New Roman" w:hAnsi="Times New Roman" w:eastAsia="MS Mincho" w:cs="Times New Roman"/>
          <w:sz w:val="28"/>
          <w:szCs w:val="28"/>
        </w:rPr>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38685247" w14:textId="0B192EBE">
      <w:pPr>
        <w:pStyle w:val="a5"/>
        <w:jc w:val="both"/>
      </w:pPr>
      <w:r>
        <w:tab/>
      </w:r>
      <w:r>
        <w:rPr>
          <w:rFonts w:ascii="Times New Roman" w:hAnsi="Times New Roman" w:eastAsia="MS Mincho" w:cs="Times New Roman"/>
          <w:sz w:val="28"/>
          <w:szCs w:val="28"/>
        </w:rPr>
        <w:t>10.</w:t>
      </w:r>
      <w:r>
        <w:tab/>
      </w:r>
      <w:r>
        <w:rPr>
          <w:rFonts w:ascii="Times New Roman" w:hAnsi="Times New Roman" w:eastAsia="MS Mincho" w:cs="Times New Roman"/>
          <w:sz w:val="28"/>
          <w:szCs w:val="28"/>
        </w:rPr>
        <w:t>Hoefler T., Belli R. Scientific Benchmarking of Parallel Computing Systems: Twelve Ways to Tell the Masses when Reporting Performance Results // SC '15. — 2015. — Art. 73. — P. 1–12. — DOI: 10.1145/2807591.2807644</w:t>
      </w:r>
    </w:p>
    <w:sectPr>
      <w:footerReference w:type="default" r:id="rId7"/>
      <w:pgSz w:w="11906" w:h="16838"/>
      <w:pgMar w:top="1134" w:right="1418" w:bottom="1701" w:left="1418" w:header="720" w:footer="1077" w:gutter="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AAB33" w14:textId="77777777">
      <w:r>
        <w:separator/>
      </w:r>
    </w:p>
  </w:endnote>
  <w:endnote w:type="continuationSeparator" w:id="0">
    <w:p w14:paraId="2C7E0DF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7EC67381" w14:textId="77777777">
    <w:pPr>
      <w:pStyle w:val="Footer"/>
      <w:jc w:val="center"/>
    </w:pPr>
    <w:r>
      <w:fldChar w:fldCharType="begin"/>
    </w:r>
    <w:r>
      <w:instrText xml:space="preserve">PAGE   \* MERGEFORMAT</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FC0D3" w14:textId="77777777">
      <w:r>
        <w:separator/>
      </w:r>
    </w:p>
  </w:footnote>
  <w:footnote w:type="continuationSeparator" w:id="0">
    <w:p w14:paraId="5A1A2F99"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57440594">
    <w:abstractNumId w:val="0"/>
  </w:num>
  <w:num w:numId="2" w16cid:durableId="640816721">
    <w:abstractNumId w:val="1"/>
  </w:num>
  <w:num w:numId="3" w16cid:durableId="245502621">
    <w:abstractNumId w:val="2"/>
  </w:num>
  <w:num w:numId="4" w16cid:durableId="101190994">
    <w:abstractNumId w:val="9"/>
  </w:num>
  <w:num w:numId="5" w16cid:durableId="1462574585">
    <w:abstractNumId w:val="8"/>
  </w:num>
  <w:num w:numId="6" w16cid:durableId="995382138">
    <w:abstractNumId w:val="5"/>
  </w:num>
  <w:num w:numId="7" w16cid:durableId="392240920">
    <w:abstractNumId w:val="7"/>
  </w:num>
  <w:num w:numId="8" w16cid:durableId="2013100685">
    <w:abstractNumId w:val="4"/>
  </w:num>
  <w:num w:numId="9" w16cid:durableId="618223670">
    <w:abstractNumId w:val="3"/>
  </w:num>
  <w:num w:numId="10" w16cid:durableId="18268958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43D75"/>
    <w:rsid w:val="000601D6"/>
    <w:rsid w:val="00062D18"/>
    <w:rsid w:val="00083A10"/>
    <w:rsid w:val="000A5E02"/>
    <w:rsid w:val="000B0876"/>
    <w:rsid w:val="000B5EB4"/>
    <w:rsid w:val="00164CC9"/>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71B65"/>
    <w:rsid w:val="00392B49"/>
    <w:rsid w:val="00397CE7"/>
    <w:rsid w:val="003B79D2"/>
    <w:rsid w:val="003D085C"/>
    <w:rsid w:val="003D4F37"/>
    <w:rsid w:val="00424279"/>
    <w:rsid w:val="00470ED1"/>
    <w:rsid w:val="004778C0"/>
    <w:rsid w:val="004A425C"/>
    <w:rsid w:val="004B4E42"/>
    <w:rsid w:val="004B5766"/>
    <w:rsid w:val="004C4993"/>
    <w:rsid w:val="004E0862"/>
    <w:rsid w:val="0052765F"/>
    <w:rsid w:val="00560B84"/>
    <w:rsid w:val="00561897"/>
    <w:rsid w:val="005628F0"/>
    <w:rsid w:val="00572200"/>
    <w:rsid w:val="005A6FA9"/>
    <w:rsid w:val="005F0C99"/>
    <w:rsid w:val="00617041"/>
    <w:rsid w:val="006A00DA"/>
    <w:rsid w:val="006A1488"/>
    <w:rsid w:val="006A47D8"/>
    <w:rsid w:val="006B6A7D"/>
    <w:rsid w:val="00710288"/>
    <w:rsid w:val="0071575D"/>
    <w:rsid w:val="007235BA"/>
    <w:rsid w:val="00733B10"/>
    <w:rsid w:val="00771863"/>
    <w:rsid w:val="007C4F8A"/>
    <w:rsid w:val="007F40EA"/>
    <w:rsid w:val="007F4A8F"/>
    <w:rsid w:val="00807307"/>
    <w:rsid w:val="00894EA7"/>
    <w:rsid w:val="00904029"/>
    <w:rsid w:val="009044CD"/>
    <w:rsid w:val="0090727F"/>
    <w:rsid w:val="00910783"/>
    <w:rsid w:val="009647B6"/>
    <w:rsid w:val="009748A4"/>
    <w:rsid w:val="009B64EB"/>
    <w:rsid w:val="009C4287"/>
    <w:rsid w:val="009C4798"/>
    <w:rsid w:val="009E36E4"/>
    <w:rsid w:val="00A13710"/>
    <w:rsid w:val="00A424E7"/>
    <w:rsid w:val="00A47058"/>
    <w:rsid w:val="00A51FCD"/>
    <w:rsid w:val="00A633BF"/>
    <w:rsid w:val="00A741AC"/>
    <w:rsid w:val="00A75489"/>
    <w:rsid w:val="00AA4C49"/>
    <w:rsid w:val="00AA7F30"/>
    <w:rsid w:val="00AC2473"/>
    <w:rsid w:val="00B326BE"/>
    <w:rsid w:val="00B97DED"/>
    <w:rsid w:val="00BB45FB"/>
    <w:rsid w:val="00BD1D64"/>
    <w:rsid w:val="00BF6D1F"/>
    <w:rsid w:val="00BF6FE6"/>
    <w:rsid w:val="00C125C0"/>
    <w:rsid w:val="00C21AAE"/>
    <w:rsid w:val="00CC4A58"/>
    <w:rsid w:val="00CD047A"/>
    <w:rsid w:val="00CF759E"/>
    <w:rsid w:val="00D35DE8"/>
    <w:rsid w:val="00D44297"/>
    <w:rsid w:val="00D84E08"/>
    <w:rsid w:val="00DA094D"/>
    <w:rsid w:val="00DA5785"/>
    <w:rsid w:val="00DB5893"/>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920E084"/>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3</Pages>
  <Words>987</Words>
  <Characters>5631</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6605</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5</cp:revision>
  <cp:lastPrinted>1899-12-31T21:00:00Z</cp:lastPrinted>
  <dcterms:created xsi:type="dcterms:W3CDTF">2025-03-02T19:01:00Z</dcterms:created>
  <dcterms:modified xsi:type="dcterms:W3CDTF">2026-09-27T18:24:42.226Z</dcterms:modified>
</cp:coreProperties>
</file>