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4D415CFA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1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МГУ имени М. В. Ломоносова, Москва</w:t>
      </w:r>
    </w:p>
    <w:p w14:paraId="5F98B517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Вычислительный центр им. А. А. Дородницына ФИЦ ИУ РАН, Москва</w:t>
      </w:r>
    </w:p>
    <w:p w14:paraId="4D05181C">
      <w:pPr>
        <w:pStyle w:val="a6"/>
      </w:pPr>
    </w:p>
    <w:p w14:paraId="0A8C80C8">
      <w:pPr>
        <w:pStyle w:val="a6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GPU, процессорам, сетевым адаптерам и коммутаторам, а рёбра физическим соединениям: PCIe, NVLink, InfiniBand. Изучается сквозная задержка передачи сообщения заданного размера между упорядоченной парой GPU.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от готовности принять данные до завершения приёма. Каждый MPI-процесс привязан к одному GPU, к ближайшему к нему сетевому адаптеру и к ядрам процессора того же NUMA-домена. Используется CUDA-aware Open MPI с транспортным слоем UCX [4]. В среде передачи auto в вызовы MPI передаются буферы в памяти GPU, а способ передачи выбирает UCX. В среде host используется промежуточный буфер в оперативной памяти. В режиме one_to_one в каждый момент времени передача идёт только между одной парой GPU, а в режиме all_to_all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[5] с GPU NVIDIA A100. Использовались по два GPU на двух узлах xFusion G5500 V7, где GPU подключены по шине PCIe, и четыре GPU на узле xFusion G8600 V7, где они объединены коммутаторами NVSwitch. Межузловой обмен идёт через InfiniBand. Первые передачи в каждой серии не учитываются. В замерах внутри серии могут наблюдаться периодические всплески задержки [6], поэтому типичное значение оценивается не средним, а медианой, устойчивой к выбросам [7].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По умолчанию UCX передаёт сообщения меньше порога протоколом eager с копированием через оперативную память, а более крупные протоколом rendezvous без промежуточного копирования. Порог выбирается автоматически и различается между группами узлов, поэтому измерения выполнены с UCX_RNDV_THRESH=0, при котором любое сообщение передаётся протоколом rendezvous.</w:t>
      </w:r>
    </w:p>
    <w:p w14:paraId="50E961B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 и 2) при сообщениях размером 16 МБ, когда задержка определяется пропускной способностью канала.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1.5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66FAC786" w14:textId="77777777">
      <w:pPr>
        <w:pStyle w:val="a7"/>
        <w:jc w:val="center"/>
      </w:pPr>
      <w:r>
        <w:drawing>
          <wp:inline distT="0" distB="0" distL="0" distR="0">
            <wp:extent cx="5040000" cy="21600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1. Медианная по парам GPU задержка в среде auto, режим one_to_one, UCX_RNDV_THRESH=0</w:t>
      </w:r>
    </w:p>
    <w:p w14:paraId="66FAC786" w14:textId="77777777">
      <w:pPr>
        <w:pStyle w:val="a7"/>
        <w:jc w:val="center"/>
      </w:pPr>
      <w:r>
        <w:drawing>
          <wp:inline xmlns:a="http://schemas.openxmlformats.org/drawingml/2006/main" xmlns:pic="http://schemas.openxmlformats.org/drawingml/2006/picture">
            <wp:extent cx="5040000" cy="2160000"/>
            <wp:docPr id="100001" name="Picture 1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host_one_to_one_thresh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2. Медианная по парам GPU задержка в среде host, режим one_to_one, UCX_RNDV_THRESH=0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Таким образом, разработанный модуль измеряет задержки между всеми парами GPU кластера в одинаковых условиях. Выигрыш от передачи без промежуточного копирования определяется способом соединения GPU: на узле G8600 V7 он составляет около 17 раз, а на группе узлов G5500 V7 около 1.5 раза.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2026-09-27T18:24:42.226Z</dcterms:modified>
</cp:coreProperties>
</file>