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4D415CFA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1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МГУ имени М. В. Ломоносова, Москва</w:t>
      </w:r>
    </w:p>
    <w:p w14:paraId="5F98B517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Вычислительный центр им. А. А. Дородницына ФИЦ ИУ РАН, Москва</w:t>
      </w:r>
    </w:p>
    <w:p w14:paraId="4D05181C">
      <w:pPr>
        <w:pStyle w:val="a6"/>
      </w:pPr>
    </w:p>
    <w:p w14:paraId="0A8C80C8">
      <w:pPr>
        <w:pStyle w:val="a6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в ветке gpu_tests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GPU, процессорам, сетевым адаптерам и коммутаторам, а рёбра физическим соединениям: PCIe, NVLink, InfiniBand. Изучается сквозная задержка передачи сообщения заданного размера между упорядоченной парой GPU.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от готовности принять данные до завершения приёма. Каждый MPI-процесс привязан к одному GPU, к ближайшему к нему сетевому адаптеру и к ядрам процессора того же NUMA-домена. Используется CUDA-aware Open MPI с транспортным слоем UCX [4]. В среде передачи auto в вызовы MPI передаются буферы в памяти GPU, а способ передачи выбирает UCX. В среде host используется промежуточный буфер в оперативной памяти. В режиме one_to_one в каждый момент времени передача идёт только между одной парой GPU, а в режиме all_to_all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[5] с GPU NVIDIA A100. Использовались по два GPU на двух узлах xFusion G5500 V7, где GPU подключены по шине PCIe, и четыре GPU на узле xFusion G8600 V7, где они объединены коммутаторами NVSwitch. Межузловой обмен идёт через InfiniBand. Первые передачи в каждой серии не учитываются. В замерах внутри серии могут наблюдаться периодические всплески задержки [6], поэтому типичное значение оценивается не средним, а медианой, устойчивой к выбросам [7].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 умолчанию UCX передаёт сообщения меньше порога протоколом eager с копированием через оперативную память, а более крупные протоколом rendezvous без промежуточного копирования. Порог выбирается автоматически и различается между группами узлов, поэтому измерения выполнены с UCX_RNDV_THRESH=0, при котором любое сообщение передаётся протоколом rendezvous.</w:t>
      </w:r>
    </w:p>
    <w:p w14:paraId="50E961B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 и 2) при сообщениях размером 16 МБ, когда задержка определяется пропускной способностью канала.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1.5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66FAC786" w14:textId="77777777">
      <w:pPr>
        <w:pStyle w:val="a7"/>
        <w:jc w:val="center"/>
      </w:pPr>
      <w:r>
        <w:drawing>
          <wp:inline distT="0" distB="0" distL="0" distR="0">
            <wp:extent cx="5040000" cy="21600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1. Медианная по парам GPU задержка в среде auto, режим one_to_one, UCX_RNDV_THRESH=0</w:t>
      </w:r>
    </w:p>
    <w:p w14:paraId="66FAC786" w14:textId="77777777">
      <w:pPr>
        <w:pStyle w:val="a7"/>
        <w:jc w:val="center"/>
      </w:pPr>
      <w:r>
        <w:drawing>
          <wp:inline xmlns:a="http://schemas.openxmlformats.org/drawingml/2006/main" xmlns:pic="http://schemas.openxmlformats.org/drawingml/2006/picture">
            <wp:extent cx="5040000" cy="2160000"/>
            <wp:docPr id="100001" name="Picture 1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host_one_to_one_thresh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2. Медианная по парам GPU задержка в среде host, режим one_to_one, UCX_RNDV_THRESH=0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Таким образом, разработанный модуль измеряет задержки между всеми парами GPU кластера в одинаковых условиях.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ДГТУ-Принт,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2026-09-27T18:24:42.226Z</dcterms:modified>
</cp:coreProperties>
</file>