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6E07C078" w:rsidR="00506609"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626594BB" w14:textId="69F4AF1A" w:rsidR="00A86C87" w:rsidRPr="00506609" w:rsidRDefault="00A86C87" w:rsidP="00506609">
      <w:pPr>
        <w:suppressAutoHyphens w:val="0"/>
        <w:ind w:firstLine="0"/>
        <w:jc w:val="left"/>
        <w:rPr>
          <w:rFonts w:eastAsia="MS Mincho"/>
          <w:sz w:val="24"/>
          <w:szCs w:val="24"/>
          <w:lang w:val="en-US"/>
        </w:rPr>
      </w:pPr>
    </w:p>
    <w:p w14:paraId="25BC4E6D" w14:textId="77777777" w:rsidR="00A86C87" w:rsidRDefault="00000000">
      <w:pPr>
        <w:pStyle w:val="-"/>
      </w:pPr>
      <w:r>
        <w:lastRenderedPageBreak/>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08B32DC6" w14:textId="5CEFAB71" w:rsidR="00506609" w:rsidRDefault="00000000" w:rsidP="00506609">
      <w:pPr>
        <w:pStyle w:val="ad"/>
        <w:rPr>
          <w:lang w:val="en-US"/>
        </w:rPr>
      </w:pPr>
      <w:r w:rsidRPr="00193ECF">
        <w:rPr>
          <w:lang w:val="en-US"/>
        </w:rPr>
        <w:t>Keywords: computing cluster, graphics processing unit (GPU), transfer latency, load testing, communication environment, resource binding, CUDA, MPI, UCX</w:t>
      </w:r>
    </w:p>
    <w:p w14:paraId="798A28C4" w14:textId="444AD679" w:rsidR="00506609" w:rsidRPr="00506609" w:rsidRDefault="00506609" w:rsidP="00506609">
      <w:pPr>
        <w:suppressAutoHyphens w:val="0"/>
        <w:ind w:firstLine="0"/>
        <w:jc w:val="left"/>
        <w:rPr>
          <w:rFonts w:eastAsia="MS Mincho"/>
          <w:sz w:val="24"/>
          <w:szCs w:val="24"/>
          <w:lang w:val="en-US"/>
        </w:rPr>
      </w:pPr>
      <w:r>
        <w:rPr>
          <w:lang w:val="en-US"/>
        </w:rPr>
        <w:br w:type="page"/>
      </w:r>
    </w:p>
    <w:p w14:paraId="6DB72D15" w14:textId="77777777" w:rsidR="00A86C87" w:rsidRDefault="00000000">
      <w:pPr>
        <w:pStyle w:val="af"/>
      </w:pPr>
      <w:r>
        <w:t>1.</w:t>
      </w:r>
      <w:r>
        <w:tab/>
        <w:t>Введение</w:t>
      </w:r>
    </w:p>
    <w:p w14:paraId="3A708C14" w14:textId="77777777" w:rsidR="00193ECF" w:rsidRDefault="00000000">
      <w:r>
        <w:t>При использовании нескольких GPU производительность зависит не только от скорости вычислений, но и от скорости обмена данными в коммуникационной среде: медленный обмен может стать узким местом.</w:t>
      </w:r>
    </w:p>
    <w:p w14:paraId="3A708C14" w14:textId="77777777" w:rsidR="00193ECF" w:rsidRDefault="00000000">
      <w:r>
        <w:t>При выполнении программы данные между GPU могут передаваться различными путями, в том числе с промежуточным копированием через оперативную память или без него. Их выбор определяется, в частности, расположением устройств, настройками транспортного слоя и привязкой ресурсов к процессам программы. От этого, в свою очередь, зависит задержка передачи, то есть время, необходимое для доставки данных от одного GPU к другому.</w:t>
      </w:r>
    </w:p>
    <w:p w14:paraId="3A708C14" w14:textId="77777777" w:rsidR="00193ECF" w:rsidRDefault="00000000">
      <w:r>
        <w:t>Для разных пар GPU задержка может заметно различаться. 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в ветке gpu_tests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3A708C14" w14:textId="77777777" w:rsidR="00193ECF" w:rsidRDefault="00000000">
      <w:r>
        <w:t>Целью работы является исследование задержек передачи данных для внутриузловых и межузловых пар GPU в зависимости от размера сообщения, среды передачи и режима тестирования. Для проведения такого исследования разрабатывается программный модуль, обеспечивающий измерение задержек для всех пар GPU в сопоставимых условиях.</w:t>
      </w:r>
    </w:p>
    <w:p w14:paraId="6DB72D15" w14:textId="77777777" w:rsidR="00A86C87" w:rsidRDefault="00000000">
      <w:pPr>
        <w:pStyle w:val="af"/>
      </w:pPr>
      <w:r>
        <w:t>2.</w:t>
      </w:r>
      <w:r>
        <w:tab/>
        <w:t>Модель коммуникационной среды и постановка задачи</w:t>
      </w:r>
    </w:p>
    <w:p w14:paraId="3A708C14" w14:textId="77777777" w:rsidR="00193ECF" w:rsidRDefault="00000000">
      <w:r>
        <w:t>Коммуникационная среда представляется в виде графа. Его вершины соответствуют аппаратным компонентам: процессорам, GPU, сетевым адаптерам и коммутаторам. Рёбра соответствуют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При передаче сообщение проходит по графу через последовательность вершин и рёбер, то есть по некоторому пути. Множество возможных путей зависит от топологии и программного окружения, а конкретный путь выбирает транспортный слой. Вообще говоря, сообщение может быть разбито на фрагменты, которые передаются по разным путям.</w:t>
      </w:r>
    </w:p>
    <w:p w14:paraId="3A708C14" w14:textId="77777777" w:rsidR="00193ECF" w:rsidRDefault="00000000">
      <w:r>
        <w:t>Основные пути передачи данных между GPU показаны на рис. 1. Без промежуточного копирования данные передаются внутри узла средствами GPUDirect Peer-to-Peer [4] (путь a), между узлами — GPUDirect RDMA [5] (путь c). В остальных случаях данные копируются через оперативную память (пути b и d). Предметом изучения служит сквозная задержка передачи сообщения между упорядоченной парой различных устройств, то есть время от начала передачи на устройстве-отправителе до завершения приёма на устройстве-получателе.</w:t>
      </w:r>
    </w:p>
    <w:p w14:paraId="6A8479FF" w14:textId="77777777" w:rsidR="00A86C87" w:rsidRDefault="00000000">
      <w:pPr>
        <w:pStyle w:val="a7"/>
      </w:pPr>
      <w:r>
        <w:drawing>
          <wp:inline xmlns:a="http://schemas.openxmlformats.org/drawingml/2006/main" xmlns:pic="http://schemas.openxmlformats.org/drawingml/2006/picture">
            <wp:extent cx="5759450" cy="2015349"/>
            <wp:docPr id="1" name="Picture 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759450" cy="2015349"/>
                    </a:xfrm>
                    <a:prstGeom prst="rect"/>
                  </pic:spPr>
                </pic:pic>
              </a:graphicData>
            </a:graphic>
          </wp:inline>
        </w:drawing>
      </w:r>
    </w:p>
    <w:p w14:paraId="774920E5" w14:textId="77777777" w:rsidR="00A86C87" w:rsidRDefault="00000000">
      <w:pPr>
        <w:pStyle w:val="a9"/>
      </w:pPr>
      <w:r>
        <w:t>Рис. 1. Пути передачи данных между GPU (RAM — оперативная память, NIC — сетевой адаптер)</w:t>
      </w:r>
    </w:p>
    <w:p w14:paraId="6DB72D15" w14:textId="77777777" w:rsidR="00A86C87" w:rsidRDefault="00000000">
      <w:pPr>
        <w:pStyle w:val="af"/>
      </w:pPr>
      <w:r>
        <w:t>3.</w:t>
      </w:r>
      <w:r>
        <w:tab/>
        <w:t>Способ измерения и программная реализация</w:t>
      </w:r>
    </w:p>
    <w:p w14:paraId="3A708C14" w14:textId="77777777" w:rsidR="00193ECF" w:rsidRDefault="00000000">
      <w:r>
        <w:t>Задержка измеряется на стороне получателя таймером MPI_Wtime(): фиксируется интервал от готовности принять данные до завершения приёма. Завершение приёма имеет однозначный смысл: к этому моменту данные находятся в буфере получателя. Измеренный интервал может включать ожидание начала передачи и потому является оценкой сверху. Зато обе отметки снимаются одним процессом, и согласование таймеров разных узлов не требуется.</w:t>
      </w:r>
    </w:p>
    <w:p w14:paraId="3A708C14" w14:textId="77777777" w:rsidR="00193ECF" w:rsidRDefault="00000000">
      <w:r>
        <w:t>Модуль реализован на C++ с использованием CUDA Runtime API и MPI. Применяются Open MPI [6] в CUDA-aware режиме и транспортный слой UCX [7]. Каждый MPI-процесс выделяет буферы отправки и приёма в памяти своего GPU.</w:t>
      </w:r>
    </w:p>
    <w:p w14:paraId="3A708C14" w14:textId="77777777" w:rsidR="00193ECF" w:rsidRDefault="00000000">
      <w:r>
        <w:rPr>
          <w:b/>
        </w:rPr>
        <w:t xml:space="preserve">Среды передачи. </w:t>
      </w:r>
      <w:r>
        <w:t>В среде передачи auto указатели на буферы в памяти GPU передаются непосредственно в вызовы MPI, а способ передачи данных выбирает UCX. После приёма выполняется синхронизация устройства, поскольку транспорт CUDA IPC может сообщить о завершении приёма раньше, чем копирование в память GPU фактически завершится. В среде host используется промежуточный буфер в оперативной памяти: программа сама копирует в него данные и передаёт его средствами MPI. Для пар внутри одного узла в этой среде используется общий буфер в разделяемой памяти.</w:t>
      </w:r>
    </w:p>
    <w:p w14:paraId="3A708C14" w14:textId="77777777" w:rsidR="00193ECF" w:rsidRDefault="00000000">
      <w:r>
        <w:rPr>
          <w:b/>
        </w:rPr>
        <w:t xml:space="preserve">Режимы тестирования. </w:t>
      </w:r>
      <w:r>
        <w:t>В режиме one_to_one процесс-мастер последовательно перебирает упорядоченные пары GPU, и в каждый момент времени обмен идёт только между одной парой устройств. После каждой передачи отправитель и получатель синхронизируются сообщением нулевой длины. В режиме all_to_all обмен идёт одновременно между всеми парами: каждый процесс выставляет неблокирующие приёмы от всех источников и затем выполняет отправки. Начальная отметка у получателя общая для всех источников, а конечная фиксируется отдельно для каждого источника.</w:t>
      </w:r>
    </w:p>
    <w:p w14:paraId="6DB72D15" w14:textId="77777777" w:rsidR="00A86C87" w:rsidRDefault="00000000">
      <w:pPr>
        <w:pStyle w:val="af"/>
      </w:pPr>
      <w:r>
        <w:t>4.</w:t>
      </w:r>
      <w:r>
        <w:tab/>
        <w:t>Настройка коммуникационного стека</w:t>
      </w:r>
    </w:p>
    <w:p w14:paraId="3A708C14" w14:textId="77777777" w:rsidR="00193ECF" w:rsidRDefault="00000000">
      <w:r>
        <w:t>Параметры UCX, от которых зависит путь передачи, модуль выставляет сам до вызова MPI_Init, поскольку UCX читает их при инициализации. Порог UCX_RNDV_THRESH и параметры Open MPI задаются при запуске. Значения переменных UCX записываются в заголовок каждого файла результатов.</w:t>
      </w:r>
    </w:p>
    <w:p w14:paraId="3A708C14" w14:textId="77777777" w:rsidR="00193ECF" w:rsidRDefault="00000000">
      <w:r>
        <w:rPr>
          <w:b/>
        </w:rPr>
        <w:t xml:space="preserve">Open MPI и UCX. </w:t>
      </w:r>
      <w:r>
        <w:t>Скрипт запуска включает в Open MPI передачу сообщений через UCX (OMPI_MCA_pml=ucx) и поддержку CUDA (OMPI_MCA_opal_cuda_support=1). В среде auto UCX разрешены транспорты cuda_copy и cuda_ipc, транспорты InfiniBand и передача через память узла (UCX_TLS), а также GPUDirect RDMA (UCX_IB_GPU_DIRECT_RDMA=y). В среде host транспорты CUDA и GPUDirect RDMA отключены. Способ передачи в протоколе rendezvous выбирает сам UCX (UCX_RNDV_SCHEME=auto).</w:t>
      </w:r>
    </w:p>
    <w:p w14:paraId="3A708C14" w14:textId="77777777" w:rsidR="00193ECF" w:rsidRDefault="00000000">
      <w:r>
        <w:t>Значение переменной из окружения пользователя имеет приоритет над значением программы. В одном из первых запусков из окружения попали UCX_RNDV_SCHEME=put_zcopy и UCX_MEMTYPE_CACHE=n, и в среде auto скорость передачи для всех пар не превышала 0.8 ГБ/с: данные копировались через оперативную память. Поэтому скрипт запуска теперь сбрасывает унаследованные значения переменных UCX.</w:t>
      </w:r>
    </w:p>
    <w:p w14:paraId="3A708C14" w14:textId="77777777" w:rsidR="00193ECF" w:rsidRDefault="00000000">
      <w:r>
        <w:rPr>
          <w:b/>
        </w:rPr>
        <w:t xml:space="preserve">Выбор сетевого адаптера. </w:t>
      </w:r>
      <w:r>
        <w:t>По умолчанию UCX оценивает близость адаптера к процессу, то есть к ядрам процессора. При передаче без промежуточного копирования данные идут между GPU и адаптером по шине PCIe мимо процессора, поэтому важна близость адаптера именно к GPU. Модуль рассматривает только адаптеры с портами InfiniBand и выбирает тот, путь к которому в дереве устройств PCIe имеет наиболее длинный общий префикс с путём к GPU процесса, и передаёт его UCX через UCX_NET_DEVICES. Адаптер нужно указать до MPI_Init, поэтому GPU назначается по номеру процесса внутри узла, прочитанному из переменных окружения системы запуска.</w:t>
      </w:r>
    </w:p>
    <w:p w14:paraId="3A708C14" w14:textId="77777777" w:rsidR="00193ECF" w:rsidRDefault="00000000">
      <w:r>
        <w:rPr>
          <w:b/>
        </w:rPr>
        <w:t xml:space="preserve">Привязка ресурсов в Slurm. </w:t>
      </w:r>
      <w:r>
        <w:t>Процессы запускаются командой srun, по одному процессу на GPU, с 8 ядрами процессора на процесс. Флаг --gres-flags=enforce-binding требует, чтобы ядра процесса находились на том же сокете, что и его GPU [8], а параметр --cpu-bind=cores закрепляет их за процессом. Параметр --gpu-bind=closest не используется: он выбирает ближайший GPU для каждого процесса независимо и не гарантирует, что разные процессы получат разные GPU. Вместо этого программа назначает GPU по номеру процесса внутри узла и проверяет, что PCI-адреса GPU разных процессов не совпадают.</w:t>
      </w:r>
    </w:p>
    <w:p w14:paraId="3A708C14" w14:textId="77777777" w:rsidR="00193ECF" w:rsidRDefault="00000000">
      <w:r>
        <w:rPr>
          <w:b/>
        </w:rPr>
        <w:t xml:space="preserve">Условия для GPUDirect RDMA. </w:t>
      </w:r>
      <w:r>
        <w:t>Передача без промежуточного копирования между узлами требует загруженного модуля ядра nvidia_peermem и близкого расположения GPU и адаптера в топологии PCIe. Если эти условия не выполнены, среда auto продолжает работать, но данные между узлами идут через оперативную память.</w:t>
      </w:r>
    </w:p>
    <w:p w14:paraId="6DB72D15" w14:textId="77777777" w:rsidR="00A86C87" w:rsidRDefault="00000000">
      <w:pPr>
        <w:pStyle w:val="af"/>
      </w:pPr>
      <w:r>
        <w:t>5.</w:t>
      </w:r>
      <w:r>
        <w:tab/>
        <w:t>Экспериментальная среда и методика измерений</w:t>
      </w:r>
    </w:p>
    <w:p w14:paraId="3A708C14" w14:textId="77777777" w:rsidR="00193ECF" w:rsidRDefault="00000000">
      <w:r>
        <w:t>Измерения выполнены на вычислительном комплексе ЦКП «Информатика» [9]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100 Гбит/с. Использовались Open MPI 5.0.10, UCX 1.15.0 и CUDA Toolkit 12.8. Библиотека GDRCopy, ускоряющая копирование небольших сообщений из памяти GPU, не применялась.</w:t>
      </w:r>
    </w:p>
    <w:p w14:paraId="3A708C14" w14:textId="77777777" w:rsidR="00193ECF" w:rsidRDefault="00000000">
      <w:r>
        <w:t>Размер сообщения изменялся от 1000 до 16 384 000 байт с удвоением (наибольший далее обозначается как 16 МБ). В режиме all_to_all использовались размеры 512 КБ, 4 МБ и 16 МБ.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[10], поэтому типичное значение оценивается не средним, а медианой, устойчивой к выбросам [11]. На графиках приводится медиана по парам GPU.</w:t>
      </w:r>
    </w:p>
    <w:p w14:paraId="6DB72D15" w14:textId="77777777" w:rsidR="00A86C87" w:rsidRDefault="00000000">
      <w:pPr>
        <w:pStyle w:val="af"/>
      </w:pPr>
      <w:r>
        <w:t>6.</w:t>
      </w:r>
      <w:r>
        <w:tab/>
        <w:t>Результаты</w:t>
      </w:r>
    </w:p>
    <w:p w14:paraId="3A708C14" w14:textId="77777777" w:rsidR="00193ECF" w:rsidRDefault="00000000">
      <w:r>
        <w:rPr>
          <w:b/>
        </w:rPr>
        <w:t xml:space="preserve">Влияние порога протокола UCX. </w:t>
      </w:r>
      <w: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(рис. 2). Ниже порога задержку ограничивает копирование, а не канал, и при переходе через порог она заметно падает.</w:t>
      </w:r>
    </w:p>
    <w:p w14:paraId="6A8479FF" w14:textId="77777777" w:rsidR="00A86C87" w:rsidRDefault="00000000">
      <w:pPr>
        <w:pStyle w:val="a7"/>
      </w:pPr>
      <w:r>
        <w:drawing>
          <wp:inline xmlns:a="http://schemas.openxmlformats.org/drawingml/2006/main" xmlns:pic="http://schemas.openxmlformats.org/drawingml/2006/picture">
            <wp:extent cx="5759450" cy="2012301"/>
            <wp:docPr id="2" name="Picture 2"/>
            <wp:cNvGraphicFramePr>
              <a:graphicFrameLocks noChangeAspect="1"/>
            </wp:cNvGraphicFramePr>
            <a:graphic>
              <a:graphicData uri="http://schemas.openxmlformats.org/drawingml/2006/picture">
                <pic:pic>
                  <pic:nvPicPr>
                    <pic:cNvPr id="0" name="thresh_ib.png"/>
                    <pic:cNvPicPr/>
                  </pic:nvPicPr>
                  <pic:blipFill>
                    <a:blip r:embed="rId22"/>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2. Медианная задержка для пар GPU на разных узлах G5500 V7 в среде auto при трёх значениях UCX_RNDV_THRESH и в среде host, режим one_to_one</w:t>
      </w:r>
    </w:p>
    <w:p w14:paraId="3A708C14" w14:textId="77777777" w:rsidR="00193ECF" w:rsidRDefault="00000000">
      <w:r>
        <w:t>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3A708C14" w14:textId="77777777" w:rsidR="00193ECF" w:rsidRDefault="00000000">
      <w:r>
        <w:rPr>
          <w:b/>
        </w:rPr>
        <w:t xml:space="preserve">Режим one_to_one. </w:t>
      </w:r>
      <w:r>
        <w:t>Наиболее показателен этот режим при сообщениях размером 16 МБ, когда задержка определяется пропускной способностью канала (рис. 3 и 4).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2.1%,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Для сообщений меньшего размера выигрыша на этой группе узлов нет: до 512 КБ для пар на разных узлах и до 2 МБ для пар внутри узла среда auto не быстрее среды host. Передача между узлами в среде auto достигает около 70% предела InfiniBand 100 Гбит/с.</w:t>
      </w:r>
    </w:p>
    <w:p w14:paraId="6A8479FF" w14:textId="77777777" w:rsidR="00A86C87" w:rsidRDefault="00000000">
      <w:pPr>
        <w:pStyle w:val="a7"/>
      </w:pPr>
      <w:r>
        <w:drawing>
          <wp:inline xmlns:a="http://schemas.openxmlformats.org/drawingml/2006/main" xmlns:pic="http://schemas.openxmlformats.org/drawingml/2006/picture">
            <wp:extent cx="5759450" cy="2012301"/>
            <wp:docPr id="3" name="Picture 3"/>
            <wp:cNvGraphicFramePr>
              <a:graphicFrameLocks noChangeAspect="1"/>
            </wp:cNvGraphicFramePr>
            <a:graphic>
              <a:graphicData uri="http://schemas.openxmlformats.org/drawingml/2006/picture">
                <pic:pic>
                  <pic:nvPicPr>
                    <pic:cNvPr id="0" name="auto.png"/>
                    <pic:cNvPicPr/>
                  </pic:nvPicPr>
                  <pic:blipFill>
                    <a:blip r:embed="rId23"/>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3. Медианная задержка в среде auto, режим one_to_one, UCX_RNDV_THRESH=0</w:t>
      </w:r>
    </w:p>
    <w:p w14:paraId="6A8479FF" w14:textId="77777777" w:rsidR="00A86C87" w:rsidRDefault="00000000">
      <w:pPr>
        <w:pStyle w:val="a7"/>
      </w:pPr>
      <w:r>
        <w:drawing>
          <wp:inline xmlns:a="http://schemas.openxmlformats.org/drawingml/2006/main" xmlns:pic="http://schemas.openxmlformats.org/drawingml/2006/picture">
            <wp:extent cx="5759450" cy="2012301"/>
            <wp:docPr id="4" name="Picture 4"/>
            <wp:cNvGraphicFramePr>
              <a:graphicFrameLocks noChangeAspect="1"/>
            </wp:cNvGraphicFramePr>
            <a:graphic>
              <a:graphicData uri="http://schemas.openxmlformats.org/drawingml/2006/picture">
                <pic:pic>
                  <pic:nvPicPr>
                    <pic:cNvPr id="0" name="host.png"/>
                    <pic:cNvPicPr/>
                  </pic:nvPicPr>
                  <pic:blipFill>
                    <a:blip r:embed="rId24"/>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4. Медианная задержка в среде host, режим one_to_one, UCX_RNDV_THRESH=0</w:t>
      </w:r>
    </w:p>
    <w:p w14:paraId="3A708C14" w14:textId="77777777" w:rsidR="00193ECF" w:rsidRDefault="00000000">
      <w:r>
        <w:rPr>
          <w:b/>
        </w:rPr>
        <w:t xml:space="preserve">Режим all_to_all. </w:t>
      </w:r>
      <w:r>
        <w:t>В этом режиме задержки на обеих группах узлов и в обеих средах получились заметно больше, чем в one_to_one, из-за конкуренции передач за общие ресурсы. На группе узлов G5500 V7 в среде auto задержки для пар внутри узла при этом почти не отличаются от задержек для пар на разных узлах (6.2 и 6.6 мс при 16 МБ), тогда как в среде host передача внутри узла в 2.5 раза быстрее, чем между узлами.</w:t>
      </w:r>
    </w:p>
    <w:p w14:paraId="6DB72D15" w14:textId="77777777" w:rsidR="00A86C87" w:rsidRDefault="00000000">
      <w:pPr>
        <w:pStyle w:val="af"/>
      </w:pPr>
      <w:r>
        <w:t>7.</w:t>
      </w:r>
      <w:r>
        <w:tab/>
        <w:t>Заключение</w:t>
      </w:r>
    </w:p>
    <w:p w14:paraId="3A708C14" w14:textId="77777777" w:rsidR="00193ECF" w:rsidRDefault="00000000">
      <w:r>
        <w:t>Разработан модуль нагрузочного тестирования, измеряющий задержки передачи данных между всеми упорядоченными парами GPU кластера в двух средах передачи и двух режимах тестирования. Опыт его настройки показывает, что параметры UCX следует задавать явно и сохранять вместе с результатами, сетевой адаптер выбирать по близости к GPU, а ядра процессора выделять на сокете GPU. Порог протокола rendezvous различается между группами узлов и меняет путь передачи в зависимости от размера сообщения, поэтому его значение должно указываться вместе с результатами.</w:t>
      </w:r>
    </w:p>
    <w:p w14:paraId="11D0B029" w14:textId="77777777" w:rsidR="00A86C87" w:rsidRDefault="00000000">
      <w:pPr>
        <w:pStyle w:val="af"/>
      </w:pPr>
      <w:r>
        <w:t>Литература</w:t>
      </w:r>
    </w:p>
    <w:p w14:paraId="0E02C740" w14:textId="77777777" w:rsidR="00A86C87" w:rsidRDefault="00000000">
      <w:pPr>
        <w:pStyle w:val="a5"/>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0E02C740" w14:textId="77777777" w:rsidR="00A86C87" w:rsidRDefault="00000000">
      <w:pPr>
        <w:pStyle w:val="a5"/>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0E02C740" w14:textId="77777777" w:rsidR="00A86C87" w:rsidRDefault="00000000">
      <w:pPr>
        <w:pStyle w:val="a5"/>
      </w:pPr>
      <w:r>
        <w:tab/>
        <w:t>3.</w:t>
        <w:tab/>
        <w:t>Clustbench / network-tests2, ветка gpu_tests. — URL: https://github.com/clustbench/network-tests2/tree/gpu_tests (дата обращения: 28.09.2026).</w:t>
      </w:r>
    </w:p>
    <w:p w14:paraId="0E02C740" w14:textId="77777777" w:rsidR="00A86C87" w:rsidRDefault="00000000">
      <w:pPr>
        <w:pStyle w:val="a5"/>
      </w:pPr>
      <w:r>
        <w:tab/>
        <w:t>4.</w:t>
        <w:tab/>
        <w:t>NVIDIA. CUDA C++ Programming Guide: Peer Device Memory Access. — URL: https://docs.nvidia.com/cuda/cuda-c-programming-guide/ (дата обращения: 20.09.2026).</w:t>
      </w:r>
    </w:p>
    <w:p w14:paraId="0E02C740" w14:textId="77777777" w:rsidR="00A86C87" w:rsidRDefault="00000000">
      <w:pPr>
        <w:pStyle w:val="a5"/>
      </w:pPr>
      <w:r>
        <w:tab/>
        <w:t>5.</w:t>
        <w:tab/>
        <w:t>NVIDIA. GPUDirect RDMA. — URL: https://docs.nvidia.com/cuda/gpudirect-rdma/ (дата обращения: 20.09.2026).</w:t>
      </w:r>
    </w:p>
    <w:p w14:paraId="0E02C740" w14:textId="77777777" w:rsidR="00A86C87" w:rsidRDefault="00000000">
      <w:pPr>
        <w:pStyle w:val="a5"/>
      </w:pPr>
      <w:r>
        <w:tab/>
        <w:t>6.</w:t>
        <w:tab/>
        <w:t>Open MPI 5.0.x Documentation: CUDA. — URL: https://docs.open-mpi.org/en/v5.0.x/tuning-apps/networking/cuda.html (дата обращения: 20.09.2026).</w:t>
      </w:r>
    </w:p>
    <w:p w14:paraId="0E02C740" w14:textId="77777777" w:rsidR="00A86C87" w:rsidRDefault="00000000">
      <w:pPr>
        <w:pStyle w:val="a5"/>
      </w:pPr>
      <w:r>
        <w:tab/>
        <w:t>7.</w:t>
        <w:tab/>
        <w:t>Unified Communication X. — URL: https://openucx.org/ (дата обращения: 20.09.2026).</w:t>
      </w:r>
    </w:p>
    <w:p w14:paraId="0E02C740" w14:textId="77777777" w:rsidR="00A86C87" w:rsidRDefault="00000000">
      <w:pPr>
        <w:pStyle w:val="a5"/>
      </w:pPr>
      <w:r>
        <w:tab/>
        <w:t>8.</w:t>
        <w:tab/>
        <w:t>Slurm Workload Manager: Generic Resource (GRES) Scheduling. — URL: https://slurm.schedmd.com/gres.html (дата обращения: 20.09.2026).</w:t>
      </w:r>
    </w:p>
    <w:p w14:paraId="0E02C740" w14:textId="77777777" w:rsidR="00A86C87" w:rsidRDefault="00000000">
      <w:pPr>
        <w:pStyle w:val="a5"/>
      </w:pPr>
      <w:r>
        <w:tab/>
        <w:t>9.</w:t>
        <w:tab/>
        <w:t>Центр коллективного пользования «Информатика» ФИЦ ИУ РАН: Вычислительная инфраструктура. — URL: https://docs.hpc.frccsc.ru/hardware/ (дата обращения: 20.09.2026).</w:t>
      </w:r>
    </w:p>
    <w:p w14:paraId="0E02C740" w14:textId="77777777" w:rsidR="00A86C87" w:rsidRDefault="00000000">
      <w:pPr>
        <w:pStyle w:val="a5"/>
      </w:pPr>
      <w:r>
        <w:tab/>
        <w:t>10.</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p w14:paraId="5F4C9748" w14:textId="77777777" w:rsidR="00A86C87" w:rsidRPr="00193ECF" w:rsidRDefault="00000000">
      <w:pPr>
        <w:pStyle w:val="af"/>
        <w:rPr>
          <w:lang w:val="en-US"/>
        </w:rPr>
      </w:pPr>
      <w:r w:rsidRPr="00193ECF">
        <w:rPr>
          <w:lang w:val="en-US"/>
        </w:rPr>
        <w:t>References</w:t>
      </w:r>
    </w:p>
    <w:p w14:paraId="0E02C740" w14:textId="77777777" w:rsidR="00A86C87" w:rsidRDefault="00000000">
      <w:pPr>
        <w:pStyle w:val="a5"/>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(pos. Divnomorskoe, 4–11 sentiabria 2017 g.). — Rostov-na-Donu: DGTU-Print, 2017. — T. 1. — S. 206–215.</w:t>
      </w:r>
    </w:p>
    <w:p w14:paraId="0E02C740" w14:textId="77777777" w:rsidR="00A86C87" w:rsidRDefault="00000000">
      <w:pPr>
        <w:pStyle w:val="a5"/>
      </w:pPr>
      <w:r>
        <w:tab/>
        <w:t>2.</w:t>
        <w:tab/>
        <w:t>Begaev A.A., Salnikov A.N. Metod izmereniia zaderzhek pri peredache dannykh mezhdu graficheskimi protsessorami, nakhodiashchimisia na raznykh uzlakh vychislitelnogo klastera // Vestnik Moskovskogo universiteta. Seriia 15: Vychislitelnaia matematika i kibernetika. — 2020. — No. 1. — S. 3–13.</w:t>
      </w:r>
    </w:p>
    <w:p w14:paraId="0E02C740" w14:textId="77777777" w:rsidR="00A86C87" w:rsidRDefault="00000000">
      <w:pPr>
        <w:pStyle w:val="a5"/>
      </w:pPr>
      <w:r>
        <w:tab/>
        <w:t>3.</w:t>
        <w:tab/>
        <w:t>Clustbench / network-tests2, branch gpu_tests. — URL: https://github.com/clustbench/network-tests2/tree/gpu_tests (accessed: 28.09.2026).</w:t>
      </w:r>
    </w:p>
    <w:p w14:paraId="0E02C740" w14:textId="77777777" w:rsidR="00A86C87" w:rsidRDefault="00000000">
      <w:pPr>
        <w:pStyle w:val="a5"/>
      </w:pPr>
      <w:r>
        <w:tab/>
        <w:t>4.</w:t>
        <w:tab/>
        <w:t>NVIDIA. CUDA C++ Programming Guide: Peer Device Memory Access. — URL: https://docs.nvidia.com/cuda/cuda-c-programming-guide/ (accessed: 20.09.2026).</w:t>
      </w:r>
    </w:p>
    <w:p w14:paraId="0E02C740" w14:textId="77777777" w:rsidR="00A86C87" w:rsidRDefault="00000000">
      <w:pPr>
        <w:pStyle w:val="a5"/>
      </w:pPr>
      <w:r>
        <w:tab/>
        <w:t>5.</w:t>
        <w:tab/>
        <w:t>NVIDIA. GPUDirect RDMA. — URL: https://docs.nvidia.com/cuda/gpudirect-rdma/ (accessed: 20.09.2026).</w:t>
      </w:r>
    </w:p>
    <w:p w14:paraId="0E02C740" w14:textId="77777777" w:rsidR="00A86C87" w:rsidRDefault="00000000">
      <w:pPr>
        <w:pStyle w:val="a5"/>
      </w:pPr>
      <w:r>
        <w:tab/>
        <w:t>6.</w:t>
        <w:tab/>
        <w:t>Open MPI 5.0.x Documentation: CUDA. — URL: https://docs.open-mpi.org/en/v5.0.x/tuning-apps/networking/cuda.html (accessed: 20.09.2026).</w:t>
      </w:r>
    </w:p>
    <w:p w14:paraId="0E02C740" w14:textId="77777777" w:rsidR="00A86C87" w:rsidRDefault="00000000">
      <w:pPr>
        <w:pStyle w:val="a5"/>
      </w:pPr>
      <w:r>
        <w:tab/>
        <w:t>7.</w:t>
        <w:tab/>
        <w:t>Unified Communication X. — URL: https://openucx.org/ (accessed: 20.09.2026).</w:t>
      </w:r>
    </w:p>
    <w:p w14:paraId="0E02C740" w14:textId="77777777" w:rsidR="00A86C87" w:rsidRDefault="00000000">
      <w:pPr>
        <w:pStyle w:val="a5"/>
      </w:pPr>
      <w:r>
        <w:tab/>
        <w:t>8.</w:t>
        <w:tab/>
        <w:t>Slurm Workload Manager: Generic Resource (GRES) Scheduling. — URL: https://slurm.schedmd.com/gres.html (accessed: 20.09.2026).</w:t>
      </w:r>
    </w:p>
    <w:p w14:paraId="0E02C740" w14:textId="77777777" w:rsidR="00A86C87" w:rsidRDefault="00000000">
      <w:pPr>
        <w:pStyle w:val="a5"/>
      </w:pPr>
      <w:r>
        <w:tab/>
        <w:t>9.</w:t>
        <w:tab/>
        <w:t>Tsentr kollektivnogo polzovaniia «Informatika» FITs IU RAN: Vychislitelnaia infrastruktura. — URL: https://docs.hpc.frccsc.ru/hardware/ (accessed: 20.09.2026).</w:t>
      </w:r>
    </w:p>
    <w:p w14:paraId="0E02C740" w14:textId="77777777" w:rsidR="00A86C87" w:rsidRDefault="00000000">
      <w:pPr>
        <w:pStyle w:val="a5"/>
      </w:pPr>
      <w:r>
        <w:tab/>
        <w:t>10.</w:t>
        <w:tab/>
        <w:t>Volchaninov A.P., Salnikov A.N. Issledovanie struktury serii izmerenii zaderzhki pri nagruzochnom testirovanii kommutatsionnoi sredy vychislitelnogo klastera // Superkompiuternye dni v Rossii: Trudy mezhdunarodnoi konferentsii (Moskva, 25–26 sentiabria 2023 g.). — M.: MAKS Press, 2023. — S.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F83FD" w14:textId="77777777" w:rsidR="001857BF" w:rsidRDefault="001857BF">
      <w:r>
        <w:separator/>
      </w:r>
    </w:p>
  </w:endnote>
  <w:endnote w:type="continuationSeparator" w:id="0">
    <w:p w14:paraId="21254769" w14:textId="77777777" w:rsidR="001857BF" w:rsidRDefault="0018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6353" w14:textId="77777777" w:rsidR="001857BF" w:rsidRDefault="001857BF">
      <w:r>
        <w:separator/>
      </w:r>
    </w:p>
  </w:footnote>
  <w:footnote w:type="continuationSeparator" w:id="0">
    <w:p w14:paraId="74C292D4" w14:textId="77777777" w:rsidR="001857BF" w:rsidRDefault="0018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0D72EF"/>
    <w:rsid w:val="00164CC9"/>
    <w:rsid w:val="001857BF"/>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83987"/>
    <w:rsid w:val="00392B49"/>
    <w:rsid w:val="00397CE7"/>
    <w:rsid w:val="003B79D2"/>
    <w:rsid w:val="003D085C"/>
    <w:rsid w:val="003D4F37"/>
    <w:rsid w:val="00400D50"/>
    <w:rsid w:val="00424279"/>
    <w:rsid w:val="00470ED1"/>
    <w:rsid w:val="004778C0"/>
    <w:rsid w:val="004A425C"/>
    <w:rsid w:val="004B4E42"/>
    <w:rsid w:val="004B5766"/>
    <w:rsid w:val="004C4993"/>
    <w:rsid w:val="004E0862"/>
    <w:rsid w:val="00506609"/>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06CE1"/>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C36"/>
    <w:rsid w:val="00D84E08"/>
    <w:rsid w:val="00DA094D"/>
    <w:rsid w:val="00DA5785"/>
    <w:rsid w:val="00DB5893"/>
    <w:rsid w:val="00DC03EA"/>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8</Pages>
  <Words>2395</Words>
  <Characters>13656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16019</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11</cp:revision>
  <cp:lastPrinted>1899-12-31T21:00:00Z</cp:lastPrinted>
  <dcterms:created xsi:type="dcterms:W3CDTF">2025-03-02T19:01:00Z</dcterms:created>
  <dcterms:modified xsi:type="dcterms:W3CDTF">2026-09-23T09:37:00Z</dcterms:modified>
</cp:coreProperties>
</file>