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A6AF" w14:textId="324707E3" w:rsidR="00D974F2" w:rsidRDefault="007203C6" w:rsidP="002C60A2">
      <w:pPr>
        <w:jc w:val="both"/>
      </w:pPr>
      <w:r w:rsidRPr="00E5383C">
        <w:rPr>
          <w:b/>
          <w:bCs/>
          <w:highlight w:val="yellow"/>
        </w:rPr>
        <w:t xml:space="preserve">Article </w:t>
      </w:r>
      <w:r w:rsidR="00C20FDC">
        <w:rPr>
          <w:b/>
          <w:bCs/>
          <w:highlight w:val="yellow"/>
        </w:rPr>
        <w:t>1240</w:t>
      </w:r>
      <w:r w:rsidRPr="00E5383C">
        <w:rPr>
          <w:b/>
          <w:bCs/>
          <w:highlight w:val="yellow"/>
        </w:rPr>
        <w:t xml:space="preserve"> du Code Civil</w:t>
      </w:r>
      <w:r w:rsidRPr="00E5383C">
        <w:t xml:space="preserve"> </w:t>
      </w:r>
      <w:r w:rsidR="00955957" w:rsidRPr="00955957">
        <w:t xml:space="preserve">« Tout </w:t>
      </w:r>
      <w:r w:rsidR="00955957" w:rsidRPr="00AF08FE">
        <w:rPr>
          <w:highlight w:val="cyan"/>
        </w:rPr>
        <w:t xml:space="preserve">fait </w:t>
      </w:r>
      <w:r w:rsidR="00454700" w:rsidRPr="00AF08FE">
        <w:rPr>
          <w:highlight w:val="cyan"/>
        </w:rPr>
        <w:t>(</w:t>
      </w:r>
      <w:r w:rsidR="00DB6CC0">
        <w:rPr>
          <w:highlight w:val="cyan"/>
        </w:rPr>
        <w:t>100</w:t>
      </w:r>
      <w:r w:rsidR="00454700" w:rsidRPr="00AF08FE">
        <w:rPr>
          <w:highlight w:val="cyan"/>
        </w:rPr>
        <w:t>)</w:t>
      </w:r>
      <w:r w:rsidR="00454700">
        <w:t xml:space="preserve"> </w:t>
      </w:r>
      <w:r w:rsidR="00955957" w:rsidRPr="00955957">
        <w:t xml:space="preserve">quelconque de l'homme, qui cause à autrui un dommage, oblige celui par </w:t>
      </w:r>
      <w:r w:rsidR="00955957" w:rsidRPr="00D577D0">
        <w:rPr>
          <w:highlight w:val="green"/>
        </w:rPr>
        <w:t xml:space="preserve">la </w:t>
      </w:r>
      <w:r w:rsidR="00955957" w:rsidRPr="00C64FB1">
        <w:rPr>
          <w:highlight w:val="green"/>
        </w:rPr>
        <w:t xml:space="preserve">faute </w:t>
      </w:r>
      <w:r w:rsidR="000832F9" w:rsidRPr="00C64FB1">
        <w:rPr>
          <w:highlight w:val="green"/>
        </w:rPr>
        <w:t>(</w:t>
      </w:r>
      <w:r w:rsidR="00FA2F41">
        <w:rPr>
          <w:highlight w:val="green"/>
        </w:rPr>
        <w:t>2</w:t>
      </w:r>
      <w:r w:rsidR="000832F9" w:rsidRPr="00C64FB1">
        <w:rPr>
          <w:highlight w:val="green"/>
        </w:rPr>
        <w:t>00)</w:t>
      </w:r>
      <w:r w:rsidR="000832F9">
        <w:t xml:space="preserve"> </w:t>
      </w:r>
      <w:r w:rsidR="00955957" w:rsidRPr="00955957">
        <w:t>duquel il est arrivé à le réparer. »</w:t>
      </w:r>
    </w:p>
    <w:p w14:paraId="52A8D963" w14:textId="5534E405" w:rsidR="00FC787B" w:rsidRPr="002F5668" w:rsidRDefault="0064105C" w:rsidP="002C60A2">
      <w:pPr>
        <w:jc w:val="both"/>
      </w:pPr>
      <w:r>
        <w:t>Distinguer</w:t>
      </w:r>
      <w:r w:rsidR="00DC72CD">
        <w:t xml:space="preserve"> le champ d’application matériel</w:t>
      </w:r>
      <w:r w:rsidR="00DC72CD" w:rsidRPr="002F5668">
        <w:t xml:space="preserve">, </w:t>
      </w:r>
      <w:r w:rsidR="00DC72CD" w:rsidRPr="002F5668">
        <w:rPr>
          <w:i/>
          <w:iCs/>
        </w:rPr>
        <w:t>ratione materiae</w:t>
      </w:r>
      <w:r w:rsidRPr="002F5668">
        <w:t> :</w:t>
      </w:r>
      <w:r w:rsidRPr="002F5668">
        <w:br/>
      </w:r>
      <w:r w:rsidRPr="002F5668">
        <w:rPr>
          <w:highlight w:val="cyan"/>
        </w:rPr>
        <w:t>(110) une action en concurrence déloyale</w:t>
      </w:r>
      <w:r w:rsidRPr="002F5668">
        <w:t xml:space="preserve"> = appartient au champ économique</w:t>
      </w:r>
      <w:r w:rsidR="007B5A8A" w:rsidRPr="002F5668">
        <w:t>, comprenant le champ commercial càd entre sociétés</w:t>
      </w:r>
      <w:r w:rsidRPr="002F5668">
        <w:br/>
      </w:r>
      <w:r w:rsidRPr="002F5668">
        <w:rPr>
          <w:highlight w:val="cyan"/>
        </w:rPr>
        <w:t>(120) une action en responsabilité</w:t>
      </w:r>
      <w:r w:rsidRPr="002F5668">
        <w:t xml:space="preserve"> = hors du champ économique</w:t>
      </w:r>
    </w:p>
    <w:p w14:paraId="249A857C" w14:textId="67AD9DFE" w:rsidR="0000488E" w:rsidRPr="00155E86" w:rsidRDefault="002B3614" w:rsidP="002C60A2">
      <w:pPr>
        <w:jc w:val="both"/>
      </w:pPr>
      <w:r w:rsidRPr="002F5668">
        <w:t xml:space="preserve">Distinguer </w:t>
      </w:r>
      <w:r w:rsidR="004D2D9D" w:rsidRPr="002F5668">
        <w:t xml:space="preserve">le champ d’application personnel, </w:t>
      </w:r>
      <w:r w:rsidR="004D2D9D" w:rsidRPr="002F5668">
        <w:rPr>
          <w:i/>
          <w:iCs/>
        </w:rPr>
        <w:t>ratione personae :</w:t>
      </w:r>
      <w:r w:rsidR="00C562D5" w:rsidRPr="002F5668">
        <w:rPr>
          <w:i/>
          <w:iCs/>
        </w:rPr>
        <w:br/>
      </w:r>
      <w:r w:rsidR="00D209F5" w:rsidRPr="002F5668">
        <w:rPr>
          <w:highlight w:val="cyan"/>
        </w:rPr>
        <w:t>(210) approche classique</w:t>
      </w:r>
      <w:r w:rsidR="00BF5DCE" w:rsidRPr="002F5668">
        <w:t> : action en concurrence déloyale limitée par principe de spécialité</w:t>
      </w:r>
      <w:r w:rsidR="00E44312" w:rsidRPr="002F5668">
        <w:t xml:space="preserve"> </w:t>
      </w:r>
      <w:r w:rsidR="00750A5E" w:rsidRPr="002F5668">
        <w:t>(211)</w:t>
      </w:r>
      <w:r w:rsidR="00BF5DCE" w:rsidRPr="002F5668">
        <w:t>, càd même domaine, et en concurrence directe</w:t>
      </w:r>
      <w:r w:rsidR="00750A5E" w:rsidRPr="002F5668">
        <w:t xml:space="preserve"> (212)</w:t>
      </w:r>
      <w:r w:rsidR="00BF5DCE" w:rsidRPr="002F5668">
        <w:t>, càd même clientèle</w:t>
      </w:r>
      <w:r w:rsidR="00D53EE4" w:rsidRPr="002F5668">
        <w:t> ;</w:t>
      </w:r>
      <w:r w:rsidR="00D209F5" w:rsidRPr="002F5668">
        <w:rPr>
          <w:highlight w:val="yellow"/>
        </w:rPr>
        <w:br/>
      </w:r>
      <w:r w:rsidR="00D209F5" w:rsidRPr="006F5B50">
        <w:rPr>
          <w:highlight w:val="cyan"/>
        </w:rPr>
        <w:t>(220)</w:t>
      </w:r>
      <w:r w:rsidR="00002701" w:rsidRPr="006F5B50">
        <w:rPr>
          <w:highlight w:val="cyan"/>
        </w:rPr>
        <w:t xml:space="preserve"> objectification de l’action : </w:t>
      </w:r>
      <w:r w:rsidR="006F5B50" w:rsidRPr="006F5B50">
        <w:t>Cour de cassation élargit l’action en concurrence déloyale au delà du rapport de concurrence entre les entreprise</w:t>
      </w:r>
      <w:r w:rsidR="001C2E5B">
        <w:t>s</w:t>
      </w:r>
      <w:r w:rsidR="006F5B50">
        <w:t xml:space="preserve"> [</w:t>
      </w:r>
      <w:r w:rsidR="006F5B50" w:rsidRPr="00AE1CD8">
        <w:rPr>
          <w:highlight w:val="yellow"/>
        </w:rPr>
        <w:t xml:space="preserve">base : </w:t>
      </w:r>
      <w:r w:rsidR="00BF7691" w:rsidRPr="00AE1CD8">
        <w:rPr>
          <w:highlight w:val="yellow"/>
        </w:rPr>
        <w:t>Cass. c</w:t>
      </w:r>
      <w:r w:rsidR="0000488E" w:rsidRPr="00AE1CD8">
        <w:rPr>
          <w:highlight w:val="yellow"/>
        </w:rPr>
        <w:t>om. 12 févr. 2008</w:t>
      </w:r>
      <w:r w:rsidR="0000488E" w:rsidRPr="0039118C">
        <w:rPr>
          <w:highlight w:val="yellow"/>
        </w:rPr>
        <w:t>, n°06-17501</w:t>
      </w:r>
      <w:r w:rsidR="006F5B50" w:rsidRPr="0039118C">
        <w:t>].</w:t>
      </w:r>
    </w:p>
    <w:p w14:paraId="25830A13" w14:textId="3883316D" w:rsidR="0042660B" w:rsidRDefault="00361B9C" w:rsidP="00E318B2">
      <w:pPr>
        <w:jc w:val="both"/>
      </w:pPr>
      <w:r>
        <w:t>« </w:t>
      </w:r>
      <w:r w:rsidR="00BD3636" w:rsidRPr="00D722EC">
        <w:rPr>
          <w:b/>
          <w:bCs/>
          <w:highlight w:val="green"/>
        </w:rPr>
        <w:t>Une faute (</w:t>
      </w:r>
      <w:r w:rsidR="00FA2F41">
        <w:rPr>
          <w:b/>
          <w:bCs/>
          <w:highlight w:val="green"/>
        </w:rPr>
        <w:t>2</w:t>
      </w:r>
      <w:r w:rsidR="00BD3636" w:rsidRPr="00D722EC">
        <w:rPr>
          <w:b/>
          <w:bCs/>
          <w:highlight w:val="green"/>
        </w:rPr>
        <w:t>00)</w:t>
      </w:r>
      <w:r w:rsidR="00BD3636" w:rsidRPr="00EA2170">
        <w:t xml:space="preserve"> en concurrence déloyale est </w:t>
      </w:r>
      <w:r w:rsidRPr="00EA2170">
        <w:t>un</w:t>
      </w:r>
      <w:r>
        <w:t xml:space="preserve"> comportement contraire</w:t>
      </w:r>
      <w:r w:rsidR="00031930">
        <w:t xml:space="preserve"> aux usages professionnels</w:t>
      </w:r>
      <w:r w:rsidR="00080143">
        <w:t xml:space="preserve"> </w:t>
      </w:r>
      <w:r w:rsidR="00686967">
        <w:t>(</w:t>
      </w:r>
      <w:r w:rsidR="00FA2F41">
        <w:t>2</w:t>
      </w:r>
      <w:r w:rsidR="00686967">
        <w:t xml:space="preserve">10) </w:t>
      </w:r>
      <w:r w:rsidR="005C0DD3">
        <w:t>[</w:t>
      </w:r>
      <w:r w:rsidR="005C0DD3" w:rsidRPr="00B711C6">
        <w:rPr>
          <w:i/>
          <w:iCs/>
        </w:rPr>
        <w:t>in abstracto</w:t>
      </w:r>
      <w:r w:rsidR="005C0DD3" w:rsidRPr="00FD60E3">
        <w:t xml:space="preserve"> par un</w:t>
      </w:r>
      <w:r w:rsidR="00721D0A">
        <w:t>e</w:t>
      </w:r>
      <w:r w:rsidR="005C0DD3" w:rsidRPr="00FD60E3">
        <w:t xml:space="preserve"> fiction juridique d’un professionnel honnête</w:t>
      </w:r>
      <w:r w:rsidR="005C0DD3">
        <w:t xml:space="preserve"> (</w:t>
      </w:r>
      <w:r w:rsidR="00FA2F41">
        <w:t>2</w:t>
      </w:r>
      <w:r w:rsidR="005C0DD3">
        <w:t>11)</w:t>
      </w:r>
      <w:r w:rsidR="005C0DD3" w:rsidRPr="00FD60E3">
        <w:t xml:space="preserve">, prudent </w:t>
      </w:r>
      <w:r w:rsidR="005C0DD3">
        <w:t>(</w:t>
      </w:r>
      <w:r w:rsidR="00FA2F41">
        <w:t>2</w:t>
      </w:r>
      <w:r w:rsidR="005C0DD3">
        <w:t xml:space="preserve">12) </w:t>
      </w:r>
      <w:r w:rsidR="005C0DD3" w:rsidRPr="00FD60E3">
        <w:t>et scrupuleux en affaires</w:t>
      </w:r>
      <w:r w:rsidR="005C0DD3">
        <w:t xml:space="preserve"> (</w:t>
      </w:r>
      <w:r w:rsidR="00FA2F41">
        <w:t>2</w:t>
      </w:r>
      <w:r w:rsidR="005C0DD3">
        <w:t>13)</w:t>
      </w:r>
      <w:r w:rsidR="005C0DD3" w:rsidRPr="00FD60E3">
        <w:t>, compte tenu des usages de la profession</w:t>
      </w:r>
      <w:r w:rsidR="005C0DD3">
        <w:t>]</w:t>
      </w:r>
      <w:r w:rsidR="00031930">
        <w:t>, rompant par la même l’égalité des chances qui doit en principe existe entre les concurrents</w:t>
      </w:r>
      <w:r w:rsidR="00080143">
        <w:t xml:space="preserve"> (</w:t>
      </w:r>
      <w:r w:rsidR="00FA2F41">
        <w:t>2</w:t>
      </w:r>
      <w:r w:rsidR="00080143">
        <w:t>20)</w:t>
      </w:r>
      <w:r w:rsidR="00031930">
        <w:t> »</w:t>
      </w:r>
      <w:r w:rsidR="003B6729">
        <w:t>.</w:t>
      </w:r>
    </w:p>
    <w:p w14:paraId="7035A0C9" w14:textId="5B1F168A" w:rsidR="00760E8F" w:rsidRPr="00361B9C" w:rsidRDefault="00760E8F" w:rsidP="00E318B2">
      <w:pPr>
        <w:jc w:val="both"/>
      </w:pPr>
      <w:r>
        <w:t>Distinguer :</w:t>
      </w:r>
      <w:r w:rsidR="00E439DE">
        <w:br/>
        <w:t>la concurrence déloyale</w:t>
      </w:r>
      <w:r w:rsidR="003063F6">
        <w:t> ;</w:t>
      </w:r>
      <w:r w:rsidR="00E439DE">
        <w:br/>
        <w:t>la concurrence anti-contractuelle</w:t>
      </w:r>
      <w:r w:rsidR="002F5668">
        <w:t> : violation d’une obli</w:t>
      </w:r>
      <w:r w:rsidR="00A85E5B">
        <w:t>gation ;</w:t>
      </w:r>
      <w:r w:rsidR="00E439DE">
        <w:br/>
        <w:t>la concurrence illicite</w:t>
      </w:r>
      <w:r w:rsidR="003063F6">
        <w:t>.</w:t>
      </w:r>
    </w:p>
    <w:p w14:paraId="6DA651D6" w14:textId="4EF7CF2B" w:rsidR="00207F47" w:rsidRDefault="00F35EEC" w:rsidP="00E318B2">
      <w:pPr>
        <w:jc w:val="both"/>
      </w:pPr>
      <w:r w:rsidRPr="008860F2">
        <w:rPr>
          <w:b/>
          <w:bCs/>
          <w:highlight w:val="red"/>
        </w:rPr>
        <w:t>Acte</w:t>
      </w:r>
      <w:r w:rsidR="0045694C" w:rsidRPr="008860F2">
        <w:rPr>
          <w:b/>
          <w:bCs/>
          <w:highlight w:val="red"/>
        </w:rPr>
        <w:t xml:space="preserve"> de désorganisation</w:t>
      </w:r>
      <w:r w:rsidR="0045694C">
        <w:t xml:space="preserve"> est </w:t>
      </w:r>
      <w:r w:rsidR="0001328D">
        <w:t>une attaque de la capacité commerciale d’une entreprise rivale</w:t>
      </w:r>
    </w:p>
    <w:p w14:paraId="76352754" w14:textId="0658FBF4" w:rsidR="0041226E" w:rsidRDefault="0041226E" w:rsidP="00E318B2">
      <w:pPr>
        <w:jc w:val="both"/>
        <w:rPr>
          <w:b/>
          <w:bCs/>
        </w:rPr>
      </w:pPr>
      <w:r w:rsidRPr="008860F2">
        <w:rPr>
          <w:b/>
          <w:bCs/>
          <w:highlight w:val="red"/>
        </w:rPr>
        <w:t>Acte de confusion</w:t>
      </w:r>
    </w:p>
    <w:p w14:paraId="3D46C290" w14:textId="372B906F" w:rsidR="0041226E" w:rsidRPr="0041226E" w:rsidRDefault="0041226E" w:rsidP="00E318B2">
      <w:pPr>
        <w:jc w:val="both"/>
        <w:rPr>
          <w:b/>
          <w:bCs/>
        </w:rPr>
      </w:pPr>
      <w:r w:rsidRPr="008860F2">
        <w:rPr>
          <w:b/>
          <w:bCs/>
          <w:highlight w:val="red"/>
        </w:rPr>
        <w:t>Acte de dénigrement</w:t>
      </w:r>
    </w:p>
    <w:p w14:paraId="634FF1B3" w14:textId="72724953" w:rsidR="00B7491D" w:rsidRPr="00A50073" w:rsidRDefault="00F35EEC" w:rsidP="00E318B2">
      <w:pPr>
        <w:jc w:val="both"/>
      </w:pPr>
      <w:r w:rsidRPr="008860F2">
        <w:rPr>
          <w:b/>
          <w:bCs/>
          <w:highlight w:val="red"/>
        </w:rPr>
        <w:t>Acte</w:t>
      </w:r>
      <w:r w:rsidR="00B7491D" w:rsidRPr="008860F2">
        <w:rPr>
          <w:b/>
          <w:bCs/>
          <w:highlight w:val="red"/>
        </w:rPr>
        <w:t xml:space="preserve"> de </w:t>
      </w:r>
      <w:r w:rsidR="00A50073" w:rsidRPr="008860F2">
        <w:rPr>
          <w:b/>
          <w:bCs/>
          <w:highlight w:val="red"/>
        </w:rPr>
        <w:t>parasitisme</w:t>
      </w:r>
      <w:r w:rsidR="00A50073">
        <w:rPr>
          <w:b/>
          <w:bCs/>
        </w:rPr>
        <w:t xml:space="preserve"> « </w:t>
      </w:r>
      <w:r w:rsidR="00A50073">
        <w:t>est l’ensemble des comportements par lesquelles</w:t>
      </w:r>
      <w:r w:rsidR="000E5E0E">
        <w:t xml:space="preserve"> un agent économique s’immisce dans le sillage d’un autre afin de tirer profit, sans rien dépenser, de ses efforts et de son savoir-faire »</w:t>
      </w:r>
      <w:r w:rsidR="00BF7691">
        <w:t xml:space="preserve"> [</w:t>
      </w:r>
      <w:r w:rsidR="00BF7691" w:rsidRPr="00AE1CD8">
        <w:rPr>
          <w:highlight w:val="yellow"/>
        </w:rPr>
        <w:t>base : Cass. com., 26 janvier 1999, Bull. civ. IV, n°25</w:t>
      </w:r>
      <w:r w:rsidR="00BF7691">
        <w:t>]</w:t>
      </w:r>
    </w:p>
    <w:sectPr w:rsidR="00B7491D" w:rsidRPr="00A50073" w:rsidSect="00374D74">
      <w:headerReference w:type="default" r:id="rId6"/>
      <w:pgSz w:w="16838" w:h="11906" w:orient="landscape"/>
      <w:pgMar w:top="1417" w:right="1417" w:bottom="1417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BA6C4" w14:textId="77777777" w:rsidR="00E56247" w:rsidRDefault="00E56247" w:rsidP="00D96570">
      <w:pPr>
        <w:spacing w:after="0" w:line="240" w:lineRule="auto"/>
      </w:pPr>
      <w:r>
        <w:separator/>
      </w:r>
    </w:p>
  </w:endnote>
  <w:endnote w:type="continuationSeparator" w:id="0">
    <w:p w14:paraId="3E98F2D7" w14:textId="77777777" w:rsidR="00E56247" w:rsidRDefault="00E56247" w:rsidP="00D96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3B58A" w14:textId="77777777" w:rsidR="00E56247" w:rsidRDefault="00E56247" w:rsidP="00D96570">
      <w:pPr>
        <w:spacing w:after="0" w:line="240" w:lineRule="auto"/>
      </w:pPr>
      <w:r>
        <w:separator/>
      </w:r>
    </w:p>
  </w:footnote>
  <w:footnote w:type="continuationSeparator" w:id="0">
    <w:p w14:paraId="705424C4" w14:textId="77777777" w:rsidR="00E56247" w:rsidRDefault="00E56247" w:rsidP="00D965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715DF" w14:textId="730FFFD6" w:rsidR="00D96570" w:rsidRDefault="00D96570" w:rsidP="00D96570">
    <w:pPr>
      <w:jc w:val="both"/>
      <w:rPr>
        <w:b/>
        <w:bCs/>
      </w:rPr>
    </w:pPr>
    <w:r w:rsidRPr="00AF7EFA">
      <w:rPr>
        <w:b/>
        <w:bCs/>
      </w:rPr>
      <w:t>FICHE DROIT DE</w:t>
    </w:r>
    <w:r w:rsidR="00AF7EFA" w:rsidRPr="00AF7EFA">
      <w:rPr>
        <w:b/>
        <w:bCs/>
      </w:rPr>
      <w:t xml:space="preserve"> LA CONCURRENCE DELOYALE</w:t>
    </w:r>
  </w:p>
  <w:p w14:paraId="3945097B" w14:textId="77777777" w:rsidR="00D96570" w:rsidRDefault="00D965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138"/>
    <w:rsid w:val="00002701"/>
    <w:rsid w:val="0000488E"/>
    <w:rsid w:val="0001328D"/>
    <w:rsid w:val="00031930"/>
    <w:rsid w:val="000408AC"/>
    <w:rsid w:val="0006258A"/>
    <w:rsid w:val="0007786D"/>
    <w:rsid w:val="00080143"/>
    <w:rsid w:val="000832F9"/>
    <w:rsid w:val="000879F4"/>
    <w:rsid w:val="00087A15"/>
    <w:rsid w:val="00097EA4"/>
    <w:rsid w:val="000A184E"/>
    <w:rsid w:val="000A3EBC"/>
    <w:rsid w:val="000E5E0E"/>
    <w:rsid w:val="0010776A"/>
    <w:rsid w:val="001227C7"/>
    <w:rsid w:val="00152766"/>
    <w:rsid w:val="00153291"/>
    <w:rsid w:val="00155E86"/>
    <w:rsid w:val="001570BF"/>
    <w:rsid w:val="00171737"/>
    <w:rsid w:val="00196E78"/>
    <w:rsid w:val="001A54E5"/>
    <w:rsid w:val="001B59FC"/>
    <w:rsid w:val="001C2E5B"/>
    <w:rsid w:val="001D0DDF"/>
    <w:rsid w:val="001F3450"/>
    <w:rsid w:val="001F5E1E"/>
    <w:rsid w:val="00207F47"/>
    <w:rsid w:val="00212684"/>
    <w:rsid w:val="002229EA"/>
    <w:rsid w:val="0023303F"/>
    <w:rsid w:val="002404F3"/>
    <w:rsid w:val="002437F3"/>
    <w:rsid w:val="002501CC"/>
    <w:rsid w:val="0026194A"/>
    <w:rsid w:val="002619AA"/>
    <w:rsid w:val="00270783"/>
    <w:rsid w:val="00274D40"/>
    <w:rsid w:val="00276BC2"/>
    <w:rsid w:val="00290558"/>
    <w:rsid w:val="00295359"/>
    <w:rsid w:val="002A28B7"/>
    <w:rsid w:val="002B3614"/>
    <w:rsid w:val="002B5B19"/>
    <w:rsid w:val="002C60A2"/>
    <w:rsid w:val="002D5319"/>
    <w:rsid w:val="002E321B"/>
    <w:rsid w:val="002F2192"/>
    <w:rsid w:val="002F5668"/>
    <w:rsid w:val="003063F6"/>
    <w:rsid w:val="00326020"/>
    <w:rsid w:val="00361B9C"/>
    <w:rsid w:val="00363E4E"/>
    <w:rsid w:val="00374D74"/>
    <w:rsid w:val="003755A9"/>
    <w:rsid w:val="0039118C"/>
    <w:rsid w:val="003B6729"/>
    <w:rsid w:val="003B6AB1"/>
    <w:rsid w:val="003C2AC4"/>
    <w:rsid w:val="003C7D4C"/>
    <w:rsid w:val="003E6FD1"/>
    <w:rsid w:val="003F6982"/>
    <w:rsid w:val="0041226E"/>
    <w:rsid w:val="00415109"/>
    <w:rsid w:val="00416BF4"/>
    <w:rsid w:val="00417768"/>
    <w:rsid w:val="00423CB6"/>
    <w:rsid w:val="0042551F"/>
    <w:rsid w:val="0042660B"/>
    <w:rsid w:val="00426787"/>
    <w:rsid w:val="00427883"/>
    <w:rsid w:val="004446AE"/>
    <w:rsid w:val="004446F8"/>
    <w:rsid w:val="00454700"/>
    <w:rsid w:val="0045694C"/>
    <w:rsid w:val="00456B29"/>
    <w:rsid w:val="004675E3"/>
    <w:rsid w:val="00497EAD"/>
    <w:rsid w:val="004A2E96"/>
    <w:rsid w:val="004B4B30"/>
    <w:rsid w:val="004D2D9D"/>
    <w:rsid w:val="004E0D42"/>
    <w:rsid w:val="004E61E3"/>
    <w:rsid w:val="004E7F85"/>
    <w:rsid w:val="004F568F"/>
    <w:rsid w:val="00524C1F"/>
    <w:rsid w:val="00525051"/>
    <w:rsid w:val="005270F1"/>
    <w:rsid w:val="00535CE3"/>
    <w:rsid w:val="00536F8F"/>
    <w:rsid w:val="0055159F"/>
    <w:rsid w:val="005610F6"/>
    <w:rsid w:val="00583553"/>
    <w:rsid w:val="0058473D"/>
    <w:rsid w:val="005A120D"/>
    <w:rsid w:val="005A5AEE"/>
    <w:rsid w:val="005B7629"/>
    <w:rsid w:val="005C0DD3"/>
    <w:rsid w:val="005C39FD"/>
    <w:rsid w:val="005D6141"/>
    <w:rsid w:val="005E0AD2"/>
    <w:rsid w:val="005E0F17"/>
    <w:rsid w:val="005F2EB5"/>
    <w:rsid w:val="005F3E81"/>
    <w:rsid w:val="00603078"/>
    <w:rsid w:val="006115EF"/>
    <w:rsid w:val="0064105C"/>
    <w:rsid w:val="00670BDA"/>
    <w:rsid w:val="006800B1"/>
    <w:rsid w:val="0068055A"/>
    <w:rsid w:val="00686967"/>
    <w:rsid w:val="006A2AE4"/>
    <w:rsid w:val="006B2879"/>
    <w:rsid w:val="006C6033"/>
    <w:rsid w:val="006F5B50"/>
    <w:rsid w:val="006F7BFC"/>
    <w:rsid w:val="007070EA"/>
    <w:rsid w:val="00707642"/>
    <w:rsid w:val="00710AD6"/>
    <w:rsid w:val="00717D68"/>
    <w:rsid w:val="007203C6"/>
    <w:rsid w:val="00721D0A"/>
    <w:rsid w:val="00734490"/>
    <w:rsid w:val="00743BE3"/>
    <w:rsid w:val="00750A5E"/>
    <w:rsid w:val="007518C0"/>
    <w:rsid w:val="00760E8F"/>
    <w:rsid w:val="00770FA4"/>
    <w:rsid w:val="007909B5"/>
    <w:rsid w:val="0079265F"/>
    <w:rsid w:val="007B5A8A"/>
    <w:rsid w:val="007C1649"/>
    <w:rsid w:val="007D6674"/>
    <w:rsid w:val="007F5038"/>
    <w:rsid w:val="008214E0"/>
    <w:rsid w:val="00835ADC"/>
    <w:rsid w:val="008425D2"/>
    <w:rsid w:val="008429BB"/>
    <w:rsid w:val="00843502"/>
    <w:rsid w:val="00854797"/>
    <w:rsid w:val="00871147"/>
    <w:rsid w:val="008748C4"/>
    <w:rsid w:val="00876FB8"/>
    <w:rsid w:val="008860F2"/>
    <w:rsid w:val="00892C86"/>
    <w:rsid w:val="008A1FC4"/>
    <w:rsid w:val="008A6F3F"/>
    <w:rsid w:val="008B1063"/>
    <w:rsid w:val="008B764C"/>
    <w:rsid w:val="008E1AA8"/>
    <w:rsid w:val="008E2F1E"/>
    <w:rsid w:val="008E69F6"/>
    <w:rsid w:val="008F472E"/>
    <w:rsid w:val="0090080C"/>
    <w:rsid w:val="00920750"/>
    <w:rsid w:val="009214D2"/>
    <w:rsid w:val="00921AF9"/>
    <w:rsid w:val="00944708"/>
    <w:rsid w:val="00955657"/>
    <w:rsid w:val="00955957"/>
    <w:rsid w:val="0096062A"/>
    <w:rsid w:val="009B1D9D"/>
    <w:rsid w:val="009B21C5"/>
    <w:rsid w:val="009B436F"/>
    <w:rsid w:val="009B527E"/>
    <w:rsid w:val="009B6B51"/>
    <w:rsid w:val="009D0CE3"/>
    <w:rsid w:val="009D4B12"/>
    <w:rsid w:val="009E76F7"/>
    <w:rsid w:val="009F3990"/>
    <w:rsid w:val="009F580B"/>
    <w:rsid w:val="00A07A35"/>
    <w:rsid w:val="00A2752F"/>
    <w:rsid w:val="00A31E34"/>
    <w:rsid w:val="00A42B78"/>
    <w:rsid w:val="00A50073"/>
    <w:rsid w:val="00A62433"/>
    <w:rsid w:val="00A85E5B"/>
    <w:rsid w:val="00A9205D"/>
    <w:rsid w:val="00AA3DE2"/>
    <w:rsid w:val="00AA6956"/>
    <w:rsid w:val="00AB161B"/>
    <w:rsid w:val="00AB4843"/>
    <w:rsid w:val="00AB4A06"/>
    <w:rsid w:val="00AC0E96"/>
    <w:rsid w:val="00AC173B"/>
    <w:rsid w:val="00AD4F45"/>
    <w:rsid w:val="00AE0AAB"/>
    <w:rsid w:val="00AE1CD8"/>
    <w:rsid w:val="00AF08FE"/>
    <w:rsid w:val="00AF6F04"/>
    <w:rsid w:val="00AF7EFA"/>
    <w:rsid w:val="00B05F20"/>
    <w:rsid w:val="00B26573"/>
    <w:rsid w:val="00B355EC"/>
    <w:rsid w:val="00B45F70"/>
    <w:rsid w:val="00B54F85"/>
    <w:rsid w:val="00B668DC"/>
    <w:rsid w:val="00B711C6"/>
    <w:rsid w:val="00B7491D"/>
    <w:rsid w:val="00B77010"/>
    <w:rsid w:val="00B80815"/>
    <w:rsid w:val="00B91138"/>
    <w:rsid w:val="00B94DCB"/>
    <w:rsid w:val="00BA6045"/>
    <w:rsid w:val="00BA767D"/>
    <w:rsid w:val="00BB4182"/>
    <w:rsid w:val="00BB5517"/>
    <w:rsid w:val="00BD3636"/>
    <w:rsid w:val="00BE3399"/>
    <w:rsid w:val="00BF5DCE"/>
    <w:rsid w:val="00BF7691"/>
    <w:rsid w:val="00C01F72"/>
    <w:rsid w:val="00C106D0"/>
    <w:rsid w:val="00C20FDC"/>
    <w:rsid w:val="00C30342"/>
    <w:rsid w:val="00C33C61"/>
    <w:rsid w:val="00C36E7E"/>
    <w:rsid w:val="00C37560"/>
    <w:rsid w:val="00C562D5"/>
    <w:rsid w:val="00C64FB1"/>
    <w:rsid w:val="00C74F03"/>
    <w:rsid w:val="00CB21D3"/>
    <w:rsid w:val="00CF7891"/>
    <w:rsid w:val="00D1473C"/>
    <w:rsid w:val="00D209F5"/>
    <w:rsid w:val="00D23F78"/>
    <w:rsid w:val="00D26C3A"/>
    <w:rsid w:val="00D307DC"/>
    <w:rsid w:val="00D35FFF"/>
    <w:rsid w:val="00D51CA6"/>
    <w:rsid w:val="00D531DB"/>
    <w:rsid w:val="00D53690"/>
    <w:rsid w:val="00D538B9"/>
    <w:rsid w:val="00D53EE4"/>
    <w:rsid w:val="00D577D0"/>
    <w:rsid w:val="00D60FCC"/>
    <w:rsid w:val="00D623B7"/>
    <w:rsid w:val="00D671DE"/>
    <w:rsid w:val="00D67795"/>
    <w:rsid w:val="00D722EC"/>
    <w:rsid w:val="00D86253"/>
    <w:rsid w:val="00D96570"/>
    <w:rsid w:val="00D974F2"/>
    <w:rsid w:val="00DA2B43"/>
    <w:rsid w:val="00DA522D"/>
    <w:rsid w:val="00DB6CC0"/>
    <w:rsid w:val="00DC4E37"/>
    <w:rsid w:val="00DC5E61"/>
    <w:rsid w:val="00DC72CD"/>
    <w:rsid w:val="00DD053B"/>
    <w:rsid w:val="00DD05AD"/>
    <w:rsid w:val="00DD0E24"/>
    <w:rsid w:val="00DE224D"/>
    <w:rsid w:val="00E06961"/>
    <w:rsid w:val="00E25520"/>
    <w:rsid w:val="00E26F45"/>
    <w:rsid w:val="00E318B2"/>
    <w:rsid w:val="00E340C2"/>
    <w:rsid w:val="00E439DE"/>
    <w:rsid w:val="00E44312"/>
    <w:rsid w:val="00E52EE1"/>
    <w:rsid w:val="00E52F91"/>
    <w:rsid w:val="00E5383C"/>
    <w:rsid w:val="00E56247"/>
    <w:rsid w:val="00E61C54"/>
    <w:rsid w:val="00E72C39"/>
    <w:rsid w:val="00E903FD"/>
    <w:rsid w:val="00EA2170"/>
    <w:rsid w:val="00EB1875"/>
    <w:rsid w:val="00EC102D"/>
    <w:rsid w:val="00EC65D9"/>
    <w:rsid w:val="00ED2A7B"/>
    <w:rsid w:val="00EE4C46"/>
    <w:rsid w:val="00EE6538"/>
    <w:rsid w:val="00EF2D29"/>
    <w:rsid w:val="00EF7148"/>
    <w:rsid w:val="00EF7AB1"/>
    <w:rsid w:val="00F022EC"/>
    <w:rsid w:val="00F14D36"/>
    <w:rsid w:val="00F20209"/>
    <w:rsid w:val="00F22CA8"/>
    <w:rsid w:val="00F2580B"/>
    <w:rsid w:val="00F3446C"/>
    <w:rsid w:val="00F35EEC"/>
    <w:rsid w:val="00F36481"/>
    <w:rsid w:val="00F47E41"/>
    <w:rsid w:val="00F56A74"/>
    <w:rsid w:val="00F570BE"/>
    <w:rsid w:val="00F57F9E"/>
    <w:rsid w:val="00F65BF6"/>
    <w:rsid w:val="00F66922"/>
    <w:rsid w:val="00F77D06"/>
    <w:rsid w:val="00F87B21"/>
    <w:rsid w:val="00F92E9D"/>
    <w:rsid w:val="00F97B91"/>
    <w:rsid w:val="00FA2F41"/>
    <w:rsid w:val="00FB550B"/>
    <w:rsid w:val="00FC408F"/>
    <w:rsid w:val="00FC787B"/>
    <w:rsid w:val="00FD3264"/>
    <w:rsid w:val="00FD60E3"/>
    <w:rsid w:val="00FE66A7"/>
    <w:rsid w:val="00FF08ED"/>
    <w:rsid w:val="00FF1192"/>
    <w:rsid w:val="00FF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35D5B"/>
  <w15:chartTrackingRefBased/>
  <w15:docId w15:val="{299E6AE2-3395-4680-AC0F-EA97AA435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1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26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6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F08E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657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570"/>
  </w:style>
  <w:style w:type="paragraph" w:styleId="Footer">
    <w:name w:val="footer"/>
    <w:basedOn w:val="Normal"/>
    <w:link w:val="FooterChar"/>
    <w:uiPriority w:val="99"/>
    <w:unhideWhenUsed/>
    <w:rsid w:val="00D9657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570"/>
  </w:style>
  <w:style w:type="character" w:styleId="CommentReference">
    <w:name w:val="annotation reference"/>
    <w:basedOn w:val="DefaultParagraphFont"/>
    <w:uiPriority w:val="99"/>
    <w:semiHidden/>
    <w:unhideWhenUsed/>
    <w:rsid w:val="005847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847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847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47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Aurélien GABIELI</dc:creator>
  <cp:keywords/>
  <dc:description/>
  <cp:lastModifiedBy>Aurélien GABIELI</cp:lastModifiedBy>
  <cp:revision>299</cp:revision>
  <dcterms:created xsi:type="dcterms:W3CDTF">2025-07-30T07:50:00Z</dcterms:created>
  <dcterms:modified xsi:type="dcterms:W3CDTF">2025-09-18T07:12:00Z</dcterms:modified>
</cp:coreProperties>
</file>