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240" w:before="240" w:lineRule="auto"/>
        <w:rPr>
          <w:b w:val="1"/>
          <w:sz w:val="42"/>
          <w:szCs w:val="42"/>
        </w:rPr>
      </w:pPr>
      <w:bookmarkStart w:colFirst="0" w:colLast="0" w:name="_83h286f4oyt2" w:id="0"/>
      <w:bookmarkEnd w:id="0"/>
      <w:r w:rsidDel="00000000" w:rsidR="00000000" w:rsidRPr="00000000">
        <w:rPr>
          <w:b w:val="1"/>
          <w:sz w:val="42"/>
          <w:szCs w:val="42"/>
          <w:rtl w:val="0"/>
        </w:rPr>
        <w:t xml:space="preserve">Spotify – Data Governance Policy Document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80" w:lineRule="auto"/>
        <w:rPr/>
      </w:pPr>
      <w:bookmarkStart w:colFirst="0" w:colLast="0" w:name="_z2l6247h6th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40" w:before="240" w:lineRule="auto"/>
        <w:rPr/>
      </w:pPr>
      <w:bookmarkStart w:colFirst="0" w:colLast="0" w:name="_8sbh0esfm1op" w:id="2"/>
      <w:bookmarkEnd w:id="2"/>
      <w:r w:rsidDel="00000000" w:rsidR="00000000" w:rsidRPr="00000000">
        <w:rPr>
          <w:rtl w:val="0"/>
        </w:rPr>
        <w:t xml:space="preserve">1. Objectif et portée</w:t>
      </w:r>
    </w:p>
    <w:p w:rsidR="00000000" w:rsidDel="00000000" w:rsidP="00000000" w:rsidRDefault="00000000" w:rsidRPr="00000000" w14:paraId="00000005">
      <w:pPr>
        <w:ind w:left="22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Cette politique définit les principes, rôles et mécanismes permettant à Spotify d’assurer une gouvernance des données efficace, éthique et conforme aux réglementations internationales (RGPD, CCPA, PCI-DSS).</w:t>
      </w:r>
    </w:p>
    <w:p w:rsidR="00000000" w:rsidDel="00000000" w:rsidP="00000000" w:rsidRDefault="00000000" w:rsidRPr="00000000" w14:paraId="00000006">
      <w:pPr>
        <w:ind w:left="22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Elle s’applique à l’ensemble des entités et départements de Spotify, couvrant la collecte, le stockage, le traitement et la diffusion des données.</w:t>
      </w:r>
    </w:p>
    <w:p w:rsidR="00000000" w:rsidDel="00000000" w:rsidP="00000000" w:rsidRDefault="00000000" w:rsidRPr="00000000" w14:paraId="00000007">
      <w:pPr>
        <w:ind w:left="22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L’objectif est de garantir la qualité, la sécurité et la conformité des données tout en favorisant la culture data-driven et la confiance des utilisateurs.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40" w:before="240" w:lineRule="auto"/>
        <w:rPr/>
      </w:pPr>
      <w:bookmarkStart w:colFirst="0" w:colLast="0" w:name="_9bamenhtz2dy" w:id="3"/>
      <w:bookmarkEnd w:id="3"/>
      <w:r w:rsidDel="00000000" w:rsidR="00000000" w:rsidRPr="00000000">
        <w:rPr>
          <w:rtl w:val="0"/>
        </w:rPr>
        <w:t xml:space="preserve">2. Cadre réglementaire et conformité</w:t>
      </w:r>
    </w:p>
    <w:p w:rsidR="00000000" w:rsidDel="00000000" w:rsidP="00000000" w:rsidRDefault="00000000" w:rsidRPr="00000000" w14:paraId="00000009">
      <w:pPr>
        <w:ind w:left="22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Spotify s’aligne sur les exigences du </w:t>
      </w:r>
      <w:r w:rsidDel="00000000" w:rsidR="00000000" w:rsidRPr="00000000">
        <w:rPr>
          <w:b w:val="1"/>
          <w:color w:val="0e0e0e"/>
          <w:rtl w:val="0"/>
        </w:rPr>
        <w:t xml:space="preserve">Règlement Général sur la Protection des Données (RGPD)</w:t>
      </w:r>
      <w:r w:rsidDel="00000000" w:rsidR="00000000" w:rsidRPr="00000000">
        <w:rPr>
          <w:color w:val="0e0e0e"/>
          <w:rtl w:val="0"/>
        </w:rPr>
        <w:t xml:space="preserve">, du </w:t>
      </w:r>
      <w:r w:rsidDel="00000000" w:rsidR="00000000" w:rsidRPr="00000000">
        <w:rPr>
          <w:b w:val="1"/>
          <w:color w:val="0e0e0e"/>
          <w:rtl w:val="0"/>
        </w:rPr>
        <w:t xml:space="preserve">California Consumer Privacy Act (CCPA)</w:t>
      </w:r>
      <w:r w:rsidDel="00000000" w:rsidR="00000000" w:rsidRPr="00000000">
        <w:rPr>
          <w:color w:val="0e0e0e"/>
          <w:rtl w:val="0"/>
        </w:rPr>
        <w:t xml:space="preserve"> et des normes </w:t>
      </w:r>
      <w:r w:rsidDel="00000000" w:rsidR="00000000" w:rsidRPr="00000000">
        <w:rPr>
          <w:b w:val="1"/>
          <w:color w:val="0e0e0e"/>
          <w:rtl w:val="0"/>
        </w:rPr>
        <w:t xml:space="preserve">PCI-DSS</w:t>
      </w:r>
      <w:r w:rsidDel="00000000" w:rsidR="00000000" w:rsidRPr="00000000">
        <w:rPr>
          <w:color w:val="0e0e0e"/>
          <w:rtl w:val="0"/>
        </w:rPr>
        <w:t xml:space="preserve"> pour les paiements.</w:t>
      </w:r>
    </w:p>
    <w:p w:rsidR="00000000" w:rsidDel="00000000" w:rsidP="00000000" w:rsidRDefault="00000000" w:rsidRPr="00000000" w14:paraId="0000000A">
      <w:pPr>
        <w:ind w:left="22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Un audit de conformité interne confirme le respect des principes clés : transparence, consentement, droit à l’oubli, sécurité et notification des incidents sous 72h.</w:t>
      </w:r>
    </w:p>
    <w:p w:rsidR="00000000" w:rsidDel="00000000" w:rsidP="00000000" w:rsidRDefault="00000000" w:rsidRPr="00000000" w14:paraId="0000000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color w:val="0e0e0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color w:val="0e0e0e"/>
          <w:sz w:val="20"/>
          <w:szCs w:val="20"/>
        </w:rPr>
      </w:pPr>
      <w:r w:rsidDel="00000000" w:rsidR="00000000" w:rsidRPr="00000000">
        <w:rPr>
          <w:b w:val="1"/>
          <w:color w:val="0e0e0e"/>
          <w:sz w:val="20"/>
          <w:szCs w:val="20"/>
          <w:rtl w:val="0"/>
        </w:rPr>
        <w:t xml:space="preserve">Tableau de conformité — GDPR et CCPA </w:t>
      </w:r>
    </w:p>
    <w:p w:rsidR="00000000" w:rsidDel="00000000" w:rsidP="00000000" w:rsidRDefault="00000000" w:rsidRPr="00000000" w14:paraId="0000000E">
      <w:pPr>
        <w:rPr>
          <w:b w:val="1"/>
          <w:color w:val="0e0e0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70.0" w:type="dxa"/>
        <w:jc w:val="left"/>
        <w:tblInd w:w="-12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4005"/>
        <w:gridCol w:w="3705"/>
        <w:tblGridChange w:id="0">
          <w:tblGrid>
            <w:gridCol w:w="3660"/>
            <w:gridCol w:w="4005"/>
            <w:gridCol w:w="3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00ff0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b w:val="1"/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b w:val="1"/>
                <w:color w:val="0e0e0e"/>
                <w:sz w:val="14"/>
                <w:szCs w:val="14"/>
                <w:rtl w:val="0"/>
              </w:rPr>
              <w:t xml:space="preserve">Compliance Area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00ff0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b w:val="1"/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b w:val="1"/>
                <w:color w:val="0e0e0e"/>
                <w:sz w:val="14"/>
                <w:szCs w:val="14"/>
                <w:rtl w:val="0"/>
              </w:rPr>
              <w:t xml:space="preserve">Compliance Requirement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00ff0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b w:val="1"/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b w:val="1"/>
                <w:color w:val="0e0e0e"/>
                <w:sz w:val="14"/>
                <w:szCs w:val="14"/>
                <w:rtl w:val="0"/>
              </w:rPr>
              <w:t xml:space="preserve">Compliance Status (Yes/No)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b w:val="1"/>
                <w:color w:val="0e0e0e"/>
                <w:sz w:val="14"/>
                <w:szCs w:val="14"/>
                <w:rtl w:val="0"/>
              </w:rPr>
              <w:t xml:space="preserve">GDPR - Data Processing Principles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color w:val="0e0e0e"/>
                <w:sz w:val="14"/>
                <w:szCs w:val="14"/>
                <w:rtl w:val="0"/>
              </w:rPr>
              <w:t xml:space="preserve">Ensure data is processed lawfully, fairly, and transparently.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e"/>
                <w:sz w:val="14"/>
                <w:szCs w:val="14"/>
                <w:rtl w:val="0"/>
              </w:rPr>
              <w:t xml:space="preserve">✅ 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b w:val="1"/>
                <w:color w:val="0e0e0e"/>
                <w:sz w:val="14"/>
                <w:szCs w:val="14"/>
                <w:rtl w:val="0"/>
              </w:rPr>
              <w:t xml:space="preserve">GDPR - User Rights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color w:val="0e0e0e"/>
                <w:sz w:val="14"/>
                <w:szCs w:val="14"/>
                <w:rtl w:val="0"/>
              </w:rPr>
              <w:t xml:space="preserve">Users must be able to access, modify, or delete their data upon request.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e"/>
                <w:sz w:val="14"/>
                <w:szCs w:val="14"/>
                <w:rtl w:val="0"/>
              </w:rPr>
              <w:t xml:space="preserve">✅ 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b w:val="1"/>
                <w:color w:val="0e0e0e"/>
                <w:sz w:val="14"/>
                <w:szCs w:val="14"/>
                <w:rtl w:val="0"/>
              </w:rPr>
              <w:t xml:space="preserve">GDPR - Consent Management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color w:val="0e0e0e"/>
                <w:sz w:val="14"/>
                <w:szCs w:val="14"/>
                <w:rtl w:val="0"/>
              </w:rPr>
              <w:t xml:space="preserve">Obtain explicit, informed consent before processing personal data.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e"/>
                <w:sz w:val="14"/>
                <w:szCs w:val="14"/>
                <w:rtl w:val="0"/>
              </w:rPr>
              <w:t xml:space="preserve">✅ 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b w:val="1"/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b w:val="1"/>
                <w:color w:val="0e0e0e"/>
                <w:sz w:val="14"/>
                <w:szCs w:val="14"/>
                <w:rtl w:val="0"/>
              </w:rPr>
              <w:t xml:space="preserve">GDPR - Data Breach Notification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color w:val="0e0e0e"/>
                <w:sz w:val="14"/>
                <w:szCs w:val="14"/>
                <w:rtl w:val="0"/>
              </w:rPr>
              <w:t xml:space="preserve">Notify supervisory authority of data breaches within 72 hours.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e"/>
                <w:sz w:val="14"/>
                <w:szCs w:val="14"/>
                <w:rtl w:val="0"/>
              </w:rPr>
              <w:t xml:space="preserve">✅ 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b w:val="1"/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b w:val="1"/>
                <w:color w:val="0e0e0e"/>
                <w:sz w:val="14"/>
                <w:szCs w:val="14"/>
                <w:rtl w:val="0"/>
              </w:rPr>
              <w:t xml:space="preserve">GDPR - Data Protection Officer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color w:val="0e0e0e"/>
                <w:sz w:val="14"/>
                <w:szCs w:val="14"/>
                <w:rtl w:val="0"/>
              </w:rPr>
              <w:t xml:space="preserve">Appoint a Data Protection Officer for monitoring compliance.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e"/>
                <w:sz w:val="14"/>
                <w:szCs w:val="14"/>
                <w:rtl w:val="0"/>
              </w:rPr>
              <w:t xml:space="preserve">✅ 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b w:val="1"/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b w:val="1"/>
                <w:color w:val="0e0e0e"/>
                <w:sz w:val="14"/>
                <w:szCs w:val="14"/>
                <w:rtl w:val="0"/>
              </w:rPr>
              <w:t xml:space="preserve">CCPA - Data Sale Opt-out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color w:val="0e0e0e"/>
                <w:sz w:val="14"/>
                <w:szCs w:val="14"/>
                <w:rtl w:val="0"/>
              </w:rPr>
              <w:t xml:space="preserve">Provide a clear opt-out mechanism for the sale of personal data.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color w:val="0e0e0e"/>
                <w:sz w:val="14"/>
                <w:szCs w:val="14"/>
                <w:rtl w:val="0"/>
              </w:rPr>
              <w:t xml:space="preserve">🔄 No (partiellement)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b w:val="1"/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b w:val="1"/>
                <w:color w:val="0e0e0e"/>
                <w:sz w:val="14"/>
                <w:szCs w:val="14"/>
                <w:rtl w:val="0"/>
              </w:rPr>
              <w:t xml:space="preserve">CCPA - User Access and Deletion Requests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color w:val="0e0e0e"/>
                <w:sz w:val="14"/>
                <w:szCs w:val="14"/>
                <w:rtl w:val="0"/>
              </w:rPr>
              <w:t xml:space="preserve">Allow users to request access to or deletion of their data.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e"/>
                <w:sz w:val="14"/>
                <w:szCs w:val="14"/>
                <w:rtl w:val="0"/>
              </w:rPr>
              <w:t xml:space="preserve">✅ 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b w:val="1"/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b w:val="1"/>
                <w:color w:val="0e0e0e"/>
                <w:sz w:val="14"/>
                <w:szCs w:val="14"/>
                <w:rtl w:val="0"/>
              </w:rPr>
              <w:t xml:space="preserve">CCPA - Non-discrimination for Exercising Rights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color w:val="0e0e0e"/>
                <w:sz w:val="14"/>
                <w:szCs w:val="14"/>
                <w:rtl w:val="0"/>
              </w:rPr>
              <w:t xml:space="preserve">Ensure no discrimination against users for exercising their CCPA rights.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e"/>
                <w:sz w:val="14"/>
                <w:szCs w:val="14"/>
                <w:rtl w:val="0"/>
              </w:rPr>
              <w:t xml:space="preserve">✅ 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b w:val="1"/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b w:val="1"/>
                <w:color w:val="0e0e0e"/>
                <w:sz w:val="14"/>
                <w:szCs w:val="14"/>
                <w:rtl w:val="0"/>
              </w:rPr>
              <w:t xml:space="preserve">PCI-DSS - Secure Network and Systems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color w:val="0e0e0e"/>
                <w:sz w:val="14"/>
                <w:szCs w:val="14"/>
                <w:rtl w:val="0"/>
              </w:rPr>
              <w:t xml:space="preserve">Ensure a secure network infrastructure and firewall protection.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e"/>
                <w:sz w:val="14"/>
                <w:szCs w:val="14"/>
                <w:rtl w:val="0"/>
              </w:rPr>
              <w:t xml:space="preserve">✅ 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b w:val="1"/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b w:val="1"/>
                <w:color w:val="0e0e0e"/>
                <w:sz w:val="14"/>
                <w:szCs w:val="14"/>
                <w:rtl w:val="0"/>
              </w:rPr>
              <w:t xml:space="preserve">PCI-DSS - Protect Cardholder Data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color w:val="0e0e0e"/>
                <w:sz w:val="14"/>
                <w:szCs w:val="14"/>
                <w:rtl w:val="0"/>
              </w:rPr>
              <w:t xml:space="preserve">Protect stored cardholder data using encryption and secure storage.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e"/>
                <w:sz w:val="14"/>
                <w:szCs w:val="14"/>
                <w:rtl w:val="0"/>
              </w:rPr>
              <w:t xml:space="preserve">✅ 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b w:val="1"/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b w:val="1"/>
                <w:color w:val="0e0e0e"/>
                <w:sz w:val="14"/>
                <w:szCs w:val="14"/>
                <w:rtl w:val="0"/>
              </w:rPr>
              <w:t xml:space="preserve">PCI-DSS - Maintain Vulnerability Management Program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color w:val="0e0e0e"/>
                <w:sz w:val="14"/>
                <w:szCs w:val="14"/>
                <w:rtl w:val="0"/>
              </w:rPr>
              <w:t xml:space="preserve">Maintain systems for protection against malware and vulnerabilities.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color w:val="0e0e0e"/>
                <w:sz w:val="14"/>
                <w:szCs w:val="14"/>
                <w:rtl w:val="0"/>
              </w:rPr>
              <w:t xml:space="preserve">🔄 No (en cours)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b w:val="1"/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b w:val="1"/>
                <w:color w:val="0e0e0e"/>
                <w:sz w:val="14"/>
                <w:szCs w:val="14"/>
                <w:rtl w:val="0"/>
              </w:rPr>
              <w:t xml:space="preserve">PCI-DSS - Implement Strong Access Control Measures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color w:val="0e0e0e"/>
                <w:sz w:val="14"/>
                <w:szCs w:val="14"/>
                <w:rtl w:val="0"/>
              </w:rPr>
              <w:t xml:space="preserve">Limit access to cardholder data to authorized personnel only.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e"/>
                <w:sz w:val="14"/>
                <w:szCs w:val="14"/>
                <w:rtl w:val="0"/>
              </w:rPr>
              <w:t xml:space="preserve">✅ 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b w:val="1"/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b w:val="1"/>
                <w:color w:val="0e0e0e"/>
                <w:sz w:val="14"/>
                <w:szCs w:val="14"/>
                <w:rtl w:val="0"/>
              </w:rPr>
              <w:t xml:space="preserve">PCI-DSS - Regularly Monitor and Test Networks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color w:val="0e0e0e"/>
                <w:sz w:val="14"/>
                <w:szCs w:val="14"/>
                <w:rtl w:val="0"/>
              </w:rPr>
              <w:t xml:space="preserve">Implement systems to regularly test security measures and procedures.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color w:val="0e0e0e"/>
                <w:sz w:val="14"/>
                <w:szCs w:val="14"/>
                <w:rtl w:val="0"/>
              </w:rPr>
              <w:t xml:space="preserve">🔄 No (en cours)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b w:val="1"/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b w:val="1"/>
                <w:color w:val="0e0e0e"/>
                <w:sz w:val="14"/>
                <w:szCs w:val="14"/>
                <w:rtl w:val="0"/>
              </w:rPr>
              <w:t xml:space="preserve">PCI-DSS - Information Security Policy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color w:val="0e0e0e"/>
                <w:sz w:val="14"/>
                <w:szCs w:val="14"/>
                <w:rtl w:val="0"/>
              </w:rPr>
              <w:t xml:space="preserve">Maintain an updated information security policy for all personnel.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color w:val="0e0e0e"/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e"/>
                <w:sz w:val="14"/>
                <w:szCs w:val="14"/>
                <w:rtl w:val="0"/>
              </w:rPr>
              <w:t xml:space="preserve">✅ Yes</w:t>
            </w:r>
          </w:p>
        </w:tc>
      </w:tr>
    </w:tbl>
    <w:p w:rsidR="00000000" w:rsidDel="00000000" w:rsidP="00000000" w:rsidRDefault="00000000" w:rsidRPr="00000000" w14:paraId="0000003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after="40" w:before="240" w:lineRule="auto"/>
        <w:rPr/>
      </w:pPr>
      <w:bookmarkStart w:colFirst="0" w:colLast="0" w:name="_d4qpcnlerum9" w:id="4"/>
      <w:bookmarkEnd w:id="4"/>
      <w:r w:rsidDel="00000000" w:rsidR="00000000" w:rsidRPr="00000000">
        <w:rPr>
          <w:rtl w:val="0"/>
        </w:rPr>
        <w:t xml:space="preserve">3. Principes directeurs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Basés sur le </w:t>
      </w:r>
      <w:r w:rsidDel="00000000" w:rsidR="00000000" w:rsidRPr="00000000">
        <w:rPr>
          <w:i w:val="1"/>
          <w:rtl w:val="0"/>
        </w:rPr>
        <w:t xml:space="preserve">Governance Principles Guide</w:t>
      </w:r>
      <w:r w:rsidDel="00000000" w:rsidR="00000000" w:rsidRPr="00000000">
        <w:rPr>
          <w:rtl w:val="0"/>
        </w:rPr>
        <w:t xml:space="preserve">, les 10 principes de la politique sont les suivants 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Responsabilité (Accountability)</w:t>
      </w:r>
      <w:r w:rsidDel="00000000" w:rsidR="00000000" w:rsidRPr="00000000">
        <w:rPr>
          <w:rtl w:val="0"/>
        </w:rPr>
        <w:t xml:space="preserve"> – Chaque acteur (CDO, DPO, Data Steward) a un rôle clairement défini.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Transparence</w:t>
      </w:r>
      <w:r w:rsidDel="00000000" w:rsidR="00000000" w:rsidRPr="00000000">
        <w:rPr>
          <w:rtl w:val="0"/>
        </w:rPr>
        <w:t xml:space="preserve"> – Les traitements de données sont documentés et communiqués aux utilisateurs.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Sécurité</w:t>
      </w:r>
      <w:r w:rsidDel="00000000" w:rsidR="00000000" w:rsidRPr="00000000">
        <w:rPr>
          <w:rtl w:val="0"/>
        </w:rPr>
        <w:t xml:space="preserve"> – Les données sensibles sont chiffrées et surveillées par le SOC (</w:t>
      </w:r>
      <w:r w:rsidDel="00000000" w:rsidR="00000000" w:rsidRPr="00000000">
        <w:rPr>
          <w:rtl w:val="0"/>
        </w:rPr>
        <w:t xml:space="preserve">Security Operations Center</w:t>
      </w:r>
      <w:r w:rsidDel="00000000" w:rsidR="00000000" w:rsidRPr="00000000">
        <w:rPr>
          <w:rtl w:val="0"/>
        </w:rPr>
        <w:t xml:space="preserve">) interne.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Qualité</w:t>
      </w:r>
      <w:r w:rsidDel="00000000" w:rsidR="00000000" w:rsidRPr="00000000">
        <w:rPr>
          <w:rtl w:val="0"/>
        </w:rPr>
        <w:t xml:space="preserve"> – Des audits réguliers garantissent l’exactitude et la cohérence.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Conformité</w:t>
      </w:r>
      <w:r w:rsidDel="00000000" w:rsidR="00000000" w:rsidRPr="00000000">
        <w:rPr>
          <w:rtl w:val="0"/>
        </w:rPr>
        <w:t xml:space="preserve"> – Respect du RGPD, du CCPA et des standards internationaux.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Minimisation</w:t>
      </w:r>
      <w:r w:rsidDel="00000000" w:rsidR="00000000" w:rsidRPr="00000000">
        <w:rPr>
          <w:rtl w:val="0"/>
        </w:rPr>
        <w:t xml:space="preserve"> – Collecte des seules données nécessaires.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Droits des utilisateurs</w:t>
      </w:r>
      <w:r w:rsidDel="00000000" w:rsidR="00000000" w:rsidRPr="00000000">
        <w:rPr>
          <w:rtl w:val="0"/>
        </w:rPr>
        <w:t xml:space="preserve"> – Accès, rectification et suppression facilités.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Amélioration continue</w:t>
      </w:r>
      <w:r w:rsidDel="00000000" w:rsidR="00000000" w:rsidRPr="00000000">
        <w:rPr>
          <w:rtl w:val="0"/>
        </w:rPr>
        <w:t xml:space="preserve"> – Revue annuelle des politiques.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Usage éthique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L’utilisation de l’IA et des données respecte la vie privée et évite toute discrimination algorithmique.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(+) Culture data</w:t>
      </w:r>
      <w:r w:rsidDel="00000000" w:rsidR="00000000" w:rsidRPr="00000000">
        <w:rPr>
          <w:rtl w:val="0"/>
        </w:rPr>
        <w:t xml:space="preserve"> – Formation continue et responsabilisation des équipes.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after="40" w:before="240" w:lineRule="auto"/>
        <w:rPr/>
      </w:pPr>
      <w:bookmarkStart w:colFirst="0" w:colLast="0" w:name="_r87q56sievlr" w:id="5"/>
      <w:bookmarkEnd w:id="5"/>
      <w:r w:rsidDel="00000000" w:rsidR="00000000" w:rsidRPr="00000000">
        <w:rPr>
          <w:rtl w:val="0"/>
        </w:rPr>
        <w:t xml:space="preserve">4. Structure de gouvernance</w:t>
      </w:r>
    </w:p>
    <w:p w:rsidR="00000000" w:rsidDel="00000000" w:rsidP="00000000" w:rsidRDefault="00000000" w:rsidRPr="00000000" w14:paraId="0000004B">
      <w:pPr>
        <w:ind w:left="22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La gouvernance s’appuie sur le modèle “</w:t>
      </w:r>
      <w:r w:rsidDel="00000000" w:rsidR="00000000" w:rsidRPr="00000000">
        <w:rPr>
          <w:b w:val="1"/>
          <w:color w:val="0e0e0e"/>
          <w:rtl w:val="0"/>
        </w:rPr>
        <w:t xml:space="preserve">Center of Excellence (CoE)”</w:t>
      </w:r>
      <w:r w:rsidDel="00000000" w:rsidR="00000000" w:rsidRPr="00000000">
        <w:rPr>
          <w:color w:val="0e0e0e"/>
          <w:rtl w:val="0"/>
        </w:rPr>
        <w:t xml:space="preserve"> combinant centralisation stratégique et autonomie locale.</w:t>
      </w:r>
    </w:p>
    <w:p w:rsidR="00000000" w:rsidDel="00000000" w:rsidP="00000000" w:rsidRDefault="00000000" w:rsidRPr="00000000" w14:paraId="0000004C">
      <w:pPr>
        <w:ind w:left="220" w:firstLine="0"/>
        <w:rPr>
          <w:color w:val="0e0e0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3000"/>
        <w:gridCol w:w="3000"/>
        <w:tblGridChange w:id="0">
          <w:tblGrid>
            <w:gridCol w:w="39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Rôle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Responsabilités principales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Tâches clés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Chief Data Officer (CDO)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Définit la stratégie data et </w:t>
            </w:r>
            <w:r w:rsidDel="00000000" w:rsidR="00000000" w:rsidRPr="00000000">
              <w:rPr>
                <w:rtl w:val="0"/>
              </w:rPr>
              <w:t xml:space="preserve">Supervise la stratégie globale de gouvernance et d’exploitation des données.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Alignement stratégique, supervision des politiques.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Protection Officer (DPO)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Garantit la conformité RGPD/CCPA.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Audits, DPIA, notifications de violation.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Steward (DS)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Maintient la qualité et la conformité des données.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Contrôle qualité, gestion des accès.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Governance Committee (DGC)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Instance transversale.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 des politiques, suivi des audits.</w:t>
            </w:r>
          </w:p>
        </w:tc>
      </w:tr>
    </w:tbl>
    <w:p w:rsidR="00000000" w:rsidDel="00000000" w:rsidP="00000000" w:rsidRDefault="00000000" w:rsidRPr="00000000" w14:paraId="0000005E">
      <w:pPr>
        <w:ind w:left="220" w:firstLine="0"/>
        <w:rPr>
          <w:b w:val="1"/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Center of Excellence (CoE) Spotify : </w:t>
      </w:r>
    </w:p>
    <w:p w:rsidR="00000000" w:rsidDel="00000000" w:rsidP="00000000" w:rsidRDefault="00000000" w:rsidRPr="00000000" w14:paraId="00000060">
      <w:pPr>
        <w:ind w:left="0" w:firstLine="0"/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</w:rPr>
        <w:drawing>
          <wp:inline distB="114300" distT="114300" distL="114300" distR="114300">
            <wp:extent cx="5629275" cy="56484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648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220" w:firstLine="0"/>
        <w:rPr>
          <w:i w:val="1"/>
          <w:color w:val="0e0e0e"/>
          <w:sz w:val="21"/>
          <w:szCs w:val="21"/>
        </w:rPr>
      </w:pPr>
      <w:r w:rsidDel="00000000" w:rsidR="00000000" w:rsidRPr="00000000">
        <w:rPr>
          <w:i w:val="1"/>
          <w:color w:val="0e0e0e"/>
          <w:sz w:val="21"/>
          <w:szCs w:val="21"/>
          <w:rtl w:val="0"/>
        </w:rPr>
        <w:t xml:space="preserve">Grâce au modèle </w:t>
      </w:r>
      <w:r w:rsidDel="00000000" w:rsidR="00000000" w:rsidRPr="00000000">
        <w:rPr>
          <w:b w:val="1"/>
          <w:i w:val="1"/>
          <w:color w:val="0e0e0e"/>
          <w:sz w:val="21"/>
          <w:szCs w:val="21"/>
          <w:rtl w:val="0"/>
        </w:rPr>
        <w:t xml:space="preserve">CoE</w:t>
      </w:r>
      <w:r w:rsidDel="00000000" w:rsidR="00000000" w:rsidRPr="00000000">
        <w:rPr>
          <w:i w:val="1"/>
          <w:color w:val="0e0e0e"/>
          <w:sz w:val="21"/>
          <w:szCs w:val="21"/>
          <w:rtl w:val="0"/>
        </w:rPr>
        <w:t xml:space="preserve">, les départements comme le marketing appliquent les politiques et standards de gouvernance définis par l’équipe centrale.</w:t>
      </w:r>
    </w:p>
    <w:p w:rsidR="00000000" w:rsidDel="00000000" w:rsidP="00000000" w:rsidRDefault="00000000" w:rsidRPr="00000000" w14:paraId="00000063">
      <w:pPr>
        <w:ind w:left="220" w:firstLine="0"/>
        <w:rPr>
          <w:i w:val="1"/>
          <w:color w:val="0e0e0e"/>
          <w:sz w:val="21"/>
          <w:szCs w:val="21"/>
        </w:rPr>
      </w:pPr>
      <w:r w:rsidDel="00000000" w:rsidR="00000000" w:rsidRPr="00000000">
        <w:rPr>
          <w:i w:val="1"/>
          <w:color w:val="0e0e0e"/>
          <w:sz w:val="21"/>
          <w:szCs w:val="21"/>
          <w:rtl w:val="0"/>
        </w:rPr>
        <w:t xml:space="preserve">Le CoE fournit un cadre méthodologique, des outils communs et un accompagnement, garantissant que chaque entité reste autonome tout en respectant des règles unifiées.</w:t>
      </w:r>
    </w:p>
    <w:p w:rsidR="00000000" w:rsidDel="00000000" w:rsidP="00000000" w:rsidRDefault="00000000" w:rsidRPr="00000000" w14:paraId="00000064">
      <w:pPr>
        <w:ind w:left="220" w:firstLine="0"/>
        <w:rPr>
          <w:i w:val="1"/>
          <w:color w:val="0e0e0e"/>
          <w:sz w:val="21"/>
          <w:szCs w:val="21"/>
        </w:rPr>
      </w:pPr>
      <w:r w:rsidDel="00000000" w:rsidR="00000000" w:rsidRPr="00000000">
        <w:rPr>
          <w:i w:val="1"/>
          <w:color w:val="0e0e0e"/>
          <w:sz w:val="21"/>
          <w:szCs w:val="21"/>
          <w:rtl w:val="0"/>
        </w:rPr>
        <w:t xml:space="preserve">Cette approche prévient la création de </w:t>
      </w:r>
      <w:r w:rsidDel="00000000" w:rsidR="00000000" w:rsidRPr="00000000">
        <w:rPr>
          <w:b w:val="1"/>
          <w:i w:val="1"/>
          <w:color w:val="0e0e0e"/>
          <w:sz w:val="21"/>
          <w:szCs w:val="21"/>
          <w:rtl w:val="0"/>
        </w:rPr>
        <w:t xml:space="preserve">silos de données</w:t>
      </w:r>
      <w:r w:rsidDel="00000000" w:rsidR="00000000" w:rsidRPr="00000000">
        <w:rPr>
          <w:i w:val="1"/>
          <w:color w:val="0e0e0e"/>
          <w:sz w:val="21"/>
          <w:szCs w:val="21"/>
          <w:rtl w:val="0"/>
        </w:rPr>
        <w:t xml:space="preserve"> et favorise une </w:t>
      </w:r>
      <w:r w:rsidDel="00000000" w:rsidR="00000000" w:rsidRPr="00000000">
        <w:rPr>
          <w:b w:val="1"/>
          <w:i w:val="1"/>
          <w:color w:val="0e0e0e"/>
          <w:sz w:val="21"/>
          <w:szCs w:val="21"/>
          <w:rtl w:val="0"/>
        </w:rPr>
        <w:t xml:space="preserve">interopérabilité complète</w:t>
      </w:r>
      <w:r w:rsidDel="00000000" w:rsidR="00000000" w:rsidRPr="00000000">
        <w:rPr>
          <w:i w:val="1"/>
          <w:color w:val="0e0e0e"/>
          <w:sz w:val="21"/>
          <w:szCs w:val="21"/>
          <w:rtl w:val="0"/>
        </w:rPr>
        <w:t xml:space="preserve"> entre les domaines métiers.</w:t>
      </w:r>
    </w:p>
    <w:p w:rsidR="00000000" w:rsidDel="00000000" w:rsidP="00000000" w:rsidRDefault="00000000" w:rsidRPr="00000000" w14:paraId="00000065">
      <w:pPr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Le Chief Data Officer (CDO) et le Data Protection Officer (DPO) collaborent étroitement avec le Data Governance Committee sans en faire partie, garantissant respectivement la stratégie data et la conformité légale.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after="40" w:before="240" w:lineRule="auto"/>
        <w:rPr/>
      </w:pPr>
      <w:bookmarkStart w:colFirst="0" w:colLast="0" w:name="_weg1i6mwxa9o" w:id="6"/>
      <w:bookmarkEnd w:id="6"/>
      <w:r w:rsidDel="00000000" w:rsidR="00000000" w:rsidRPr="00000000">
        <w:rPr>
          <w:rtl w:val="0"/>
        </w:rPr>
        <w:t xml:space="preserve">5. Outils et déploiement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40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3000"/>
        <w:gridCol w:w="3000"/>
        <w:tblGridChange w:id="0">
          <w:tblGrid>
            <w:gridCol w:w="414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Catégorie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Outils recommandés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Objectif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Catalogue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Collibra, Alation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Traçabilité et documentation.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Qualité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Ataccama, Qilk Talend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Nettoyage et déduplication.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Conformité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OneTrust, TrustArc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 des consentements.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Sécurité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Splunk, Vormetric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Supervision et chiffrement.</w:t>
            </w:r>
          </w:p>
        </w:tc>
      </w:tr>
    </w:tbl>
    <w:p w:rsidR="00000000" w:rsidDel="00000000" w:rsidP="00000000" w:rsidRDefault="00000000" w:rsidRPr="00000000" w14:paraId="0000007B">
      <w:pPr>
        <w:keepLines w:val="1"/>
        <w:spacing w:after="0" w:before="20" w:line="240" w:lineRule="auto"/>
        <w:ind w:left="0" w:firstLine="0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Lines w:val="1"/>
        <w:spacing w:after="0" w:before="20" w:line="240" w:lineRule="auto"/>
        <w:ind w:left="0" w:firstLine="0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Lines w:val="1"/>
        <w:spacing w:after="0" w:before="20" w:lin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Collibra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→ Plateforme complète de </w:t>
      </w:r>
      <w:r w:rsidDel="00000000" w:rsidR="00000000" w:rsidRPr="00000000">
        <w:rPr>
          <w:i w:val="1"/>
          <w:sz w:val="16"/>
          <w:szCs w:val="16"/>
          <w:rtl w:val="0"/>
        </w:rPr>
        <w:t xml:space="preserve">Data Governance</w:t>
      </w:r>
      <w:r w:rsidDel="00000000" w:rsidR="00000000" w:rsidRPr="00000000">
        <w:rPr>
          <w:sz w:val="16"/>
          <w:szCs w:val="16"/>
          <w:rtl w:val="0"/>
        </w:rPr>
        <w:t xml:space="preserve"> et de </w:t>
      </w:r>
      <w:r w:rsidDel="00000000" w:rsidR="00000000" w:rsidRPr="00000000">
        <w:rPr>
          <w:i w:val="1"/>
          <w:sz w:val="16"/>
          <w:szCs w:val="16"/>
          <w:rtl w:val="0"/>
        </w:rPr>
        <w:t xml:space="preserve">Data Catalog</w:t>
      </w:r>
      <w:r w:rsidDel="00000000" w:rsidR="00000000" w:rsidRPr="00000000">
        <w:rPr>
          <w:sz w:val="16"/>
          <w:szCs w:val="16"/>
          <w:rtl w:val="0"/>
        </w:rPr>
        <w:t xml:space="preserve"> permettant de centraliser les métadonnées, les rôles et la conformité (RGPD, CCPA).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Alation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→ Outil de </w:t>
      </w:r>
      <w:r w:rsidDel="00000000" w:rsidR="00000000" w:rsidRPr="00000000">
        <w:rPr>
          <w:i w:val="1"/>
          <w:sz w:val="16"/>
          <w:szCs w:val="16"/>
          <w:rtl w:val="0"/>
        </w:rPr>
        <w:t xml:space="preserve">Data Catalog</w:t>
      </w:r>
      <w:r w:rsidDel="00000000" w:rsidR="00000000" w:rsidRPr="00000000">
        <w:rPr>
          <w:sz w:val="16"/>
          <w:szCs w:val="16"/>
          <w:rtl w:val="0"/>
        </w:rPr>
        <w:t xml:space="preserve"> collaboratif axé sur la découverte, la documentation et l’usage partagé des données à travers l’entreprise.</w:t>
      </w:r>
    </w:p>
    <w:p w:rsidR="00000000" w:rsidDel="00000000" w:rsidP="00000000" w:rsidRDefault="00000000" w:rsidRPr="00000000" w14:paraId="0000007E">
      <w:pPr>
        <w:keepLines w:val="1"/>
        <w:spacing w:after="0" w:before="20" w:lin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Ataccama ONE 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→ Plateforme unifiée de </w:t>
      </w:r>
      <w:r w:rsidDel="00000000" w:rsidR="00000000" w:rsidRPr="00000000">
        <w:rPr>
          <w:i w:val="1"/>
          <w:sz w:val="16"/>
          <w:szCs w:val="16"/>
          <w:rtl w:val="0"/>
        </w:rPr>
        <w:t xml:space="preserve">Data Quality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i w:val="1"/>
          <w:sz w:val="16"/>
          <w:szCs w:val="16"/>
          <w:rtl w:val="0"/>
        </w:rPr>
        <w:t xml:space="preserve">Master Data Management</w:t>
      </w:r>
      <w:r w:rsidDel="00000000" w:rsidR="00000000" w:rsidRPr="00000000">
        <w:rPr>
          <w:sz w:val="16"/>
          <w:szCs w:val="16"/>
          <w:rtl w:val="0"/>
        </w:rPr>
        <w:t xml:space="preserve"> et </w:t>
      </w:r>
      <w:r w:rsidDel="00000000" w:rsidR="00000000" w:rsidRPr="00000000">
        <w:rPr>
          <w:i w:val="1"/>
          <w:sz w:val="16"/>
          <w:szCs w:val="16"/>
          <w:rtl w:val="0"/>
        </w:rPr>
        <w:t xml:space="preserve">Data Catalog</w:t>
      </w:r>
      <w:r w:rsidDel="00000000" w:rsidR="00000000" w:rsidRPr="00000000">
        <w:rPr>
          <w:sz w:val="16"/>
          <w:szCs w:val="16"/>
          <w:rtl w:val="0"/>
        </w:rPr>
        <w:t xml:space="preserve"> avec IA intégrée pour la détection automatique d’anomalies et la standardisation des données.</w:t>
      </w:r>
    </w:p>
    <w:p w:rsidR="00000000" w:rsidDel="00000000" w:rsidP="00000000" w:rsidRDefault="00000000" w:rsidRPr="00000000" w14:paraId="0000007F">
      <w:pPr>
        <w:keepLines w:val="1"/>
        <w:spacing w:after="0" w:before="20" w:line="240" w:lineRule="auto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Qlik Talend 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→ Suite combinant les forces de Qlik (BI &amp; analytics) et Talend (ingestion, transformation et qualité des données) pour créer une chaîne complète d’intégration et de gouvernance des données.</w:t>
      </w:r>
    </w:p>
    <w:p w:rsidR="00000000" w:rsidDel="00000000" w:rsidP="00000000" w:rsidRDefault="00000000" w:rsidRPr="00000000" w14:paraId="00000080">
      <w:pPr>
        <w:keepLines w:val="1"/>
        <w:spacing w:after="0" w:before="20" w:line="240" w:lineRule="auto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OneTrust 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→ Plateforme de gestion de la confidentialité et des consentements, centralisant les politiques RGPD, CCPA et les audits de conformité.</w:t>
      </w:r>
    </w:p>
    <w:p w:rsidR="00000000" w:rsidDel="00000000" w:rsidP="00000000" w:rsidRDefault="00000000" w:rsidRPr="00000000" w14:paraId="00000081">
      <w:pPr>
        <w:keepLines w:val="1"/>
        <w:spacing w:after="0" w:before="20" w:line="240" w:lineRule="auto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TrustArc 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→ Solution de gouvernance de la vie privée permettant la cartographie, le suivi et l’évaluation des risques liés aux données personnelles.</w:t>
      </w:r>
    </w:p>
    <w:p w:rsidR="00000000" w:rsidDel="00000000" w:rsidP="00000000" w:rsidRDefault="00000000" w:rsidRPr="00000000" w14:paraId="00000082">
      <w:pPr>
        <w:keepLines w:val="1"/>
        <w:spacing w:after="0" w:before="0" w:line="240" w:lineRule="auto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Splunk 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→ Plateforme de supervision et d’analyse des logs en temps réel, utilisée pour le SOC, la détection d’incidents et la conformité PCI-DSS.</w:t>
      </w:r>
    </w:p>
    <w:p w:rsidR="00000000" w:rsidDel="00000000" w:rsidP="00000000" w:rsidRDefault="00000000" w:rsidRPr="00000000" w14:paraId="00000083">
      <w:pPr>
        <w:keepLines w:val="1"/>
        <w:spacing w:after="0" w:before="0" w:line="240" w:lineRule="auto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Vormetric (Thales CipherTrust) 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→ Solution de chiffrement et de gestion des clés pour protéger les données sensibles à la source et contrôler les accès aux environnements critiques.</w:t>
      </w:r>
    </w:p>
    <w:p w:rsidR="00000000" w:rsidDel="00000000" w:rsidP="00000000" w:rsidRDefault="00000000" w:rsidRPr="00000000" w14:paraId="00000084">
      <w:pPr>
        <w:pStyle w:val="Heading1"/>
        <w:keepNext w:val="0"/>
        <w:spacing w:after="0" w:before="0" w:lineRule="auto"/>
        <w:rPr>
          <w:sz w:val="20"/>
          <w:szCs w:val="20"/>
        </w:rPr>
      </w:pPr>
      <w:bookmarkStart w:colFirst="0" w:colLast="0" w:name="_r90yzfj2utn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spacing w:after="0" w:before="0" w:lineRule="auto"/>
        <w:rPr>
          <w:sz w:val="22"/>
          <w:szCs w:val="22"/>
        </w:rPr>
      </w:pPr>
      <w:bookmarkStart w:colFirst="0" w:colLast="0" w:name="_ui313y3xpaxv" w:id="8"/>
      <w:bookmarkEnd w:id="8"/>
      <w:r w:rsidDel="00000000" w:rsidR="00000000" w:rsidRPr="00000000">
        <w:rPr>
          <w:sz w:val="22"/>
          <w:szCs w:val="22"/>
          <w:rtl w:val="0"/>
        </w:rPr>
        <w:t xml:space="preserve">Un </w:t>
      </w:r>
      <w:r w:rsidDel="00000000" w:rsidR="00000000" w:rsidRPr="00000000">
        <w:rPr>
          <w:b w:val="1"/>
          <w:sz w:val="22"/>
          <w:szCs w:val="22"/>
          <w:rtl w:val="0"/>
        </w:rPr>
        <w:t xml:space="preserve">projet pilote</w:t>
      </w:r>
      <w:r w:rsidDel="00000000" w:rsidR="00000000" w:rsidRPr="00000000">
        <w:rPr>
          <w:sz w:val="22"/>
          <w:szCs w:val="22"/>
          <w:rtl w:val="0"/>
        </w:rPr>
        <w:t xml:space="preserve"> sera lancé sur le </w:t>
      </w:r>
      <w:r w:rsidDel="00000000" w:rsidR="00000000" w:rsidRPr="00000000">
        <w:rPr>
          <w:b w:val="1"/>
          <w:sz w:val="22"/>
          <w:szCs w:val="22"/>
          <w:rtl w:val="0"/>
        </w:rPr>
        <w:t xml:space="preserve">département Marketing</w:t>
      </w:r>
      <w:r w:rsidDel="00000000" w:rsidR="00000000" w:rsidRPr="00000000">
        <w:rPr>
          <w:sz w:val="22"/>
          <w:szCs w:val="22"/>
          <w:rtl w:val="0"/>
        </w:rPr>
        <w:t xml:space="preserve"> pour tester :</w:t>
      </w:r>
    </w:p>
    <w:p w:rsidR="00000000" w:rsidDel="00000000" w:rsidP="00000000" w:rsidRDefault="00000000" w:rsidRPr="00000000" w14:paraId="00000086">
      <w:pPr>
        <w:pStyle w:val="Heading1"/>
        <w:keepNext w:val="0"/>
        <w:spacing w:after="0" w:before="0" w:lineRule="auto"/>
        <w:rPr>
          <w:sz w:val="22"/>
          <w:szCs w:val="22"/>
        </w:rPr>
      </w:pPr>
      <w:bookmarkStart w:colFirst="0" w:colLast="0" w:name="_ui313y3xpaxv" w:id="8"/>
      <w:bookmarkEnd w:id="8"/>
      <w:r w:rsidDel="00000000" w:rsidR="00000000" w:rsidRPr="00000000">
        <w:rPr>
          <w:sz w:val="22"/>
          <w:szCs w:val="22"/>
          <w:rtl w:val="0"/>
        </w:rPr>
        <w:tab/>
        <w:t xml:space="preserve">•</w:t>
        <w:tab/>
        <w:t xml:space="preserve">la mise en œuvre du catalogue Collibra,</w:t>
      </w:r>
    </w:p>
    <w:p w:rsidR="00000000" w:rsidDel="00000000" w:rsidP="00000000" w:rsidRDefault="00000000" w:rsidRPr="00000000" w14:paraId="00000087">
      <w:pPr>
        <w:pStyle w:val="Heading1"/>
        <w:keepNext w:val="0"/>
        <w:spacing w:after="0" w:before="0" w:lineRule="auto"/>
        <w:rPr>
          <w:sz w:val="22"/>
          <w:szCs w:val="22"/>
        </w:rPr>
      </w:pPr>
      <w:bookmarkStart w:colFirst="0" w:colLast="0" w:name="_ui313y3xpaxv" w:id="8"/>
      <w:bookmarkEnd w:id="8"/>
      <w:r w:rsidDel="00000000" w:rsidR="00000000" w:rsidRPr="00000000">
        <w:rPr>
          <w:sz w:val="22"/>
          <w:szCs w:val="22"/>
          <w:rtl w:val="0"/>
        </w:rPr>
        <w:tab/>
        <w:t xml:space="preserve">•</w:t>
        <w:tab/>
        <w:t xml:space="preserve">l’intégration d’audits RGPD/CCPA automatisés,</w:t>
      </w:r>
    </w:p>
    <w:p w:rsidR="00000000" w:rsidDel="00000000" w:rsidP="00000000" w:rsidRDefault="00000000" w:rsidRPr="00000000" w14:paraId="00000088">
      <w:pPr>
        <w:pStyle w:val="Heading1"/>
        <w:keepNext w:val="0"/>
        <w:spacing w:after="0" w:before="0" w:lineRule="auto"/>
        <w:rPr>
          <w:sz w:val="22"/>
          <w:szCs w:val="22"/>
        </w:rPr>
      </w:pPr>
      <w:bookmarkStart w:colFirst="0" w:colLast="0" w:name="_ui313y3xpaxv" w:id="8"/>
      <w:bookmarkEnd w:id="8"/>
      <w:r w:rsidDel="00000000" w:rsidR="00000000" w:rsidRPr="00000000">
        <w:rPr>
          <w:sz w:val="22"/>
          <w:szCs w:val="22"/>
          <w:rtl w:val="0"/>
        </w:rPr>
        <w:tab/>
        <w:t xml:space="preserve">•</w:t>
        <w:tab/>
        <w:t xml:space="preserve">la mesure de KPIs clés :</w:t>
      </w:r>
    </w:p>
    <w:p w:rsidR="00000000" w:rsidDel="00000000" w:rsidP="00000000" w:rsidRDefault="00000000" w:rsidRPr="00000000" w14:paraId="00000089">
      <w:pPr>
        <w:pStyle w:val="Heading1"/>
        <w:keepNext w:val="0"/>
        <w:spacing w:after="0" w:before="0" w:lineRule="auto"/>
        <w:rPr>
          <w:sz w:val="22"/>
          <w:szCs w:val="22"/>
        </w:rPr>
      </w:pPr>
      <w:bookmarkStart w:colFirst="0" w:colLast="0" w:name="_ui313y3xpaxv" w:id="8"/>
      <w:bookmarkEnd w:id="8"/>
      <w:r w:rsidDel="00000000" w:rsidR="00000000" w:rsidRPr="00000000">
        <w:rPr>
          <w:sz w:val="22"/>
          <w:szCs w:val="22"/>
          <w:rtl w:val="0"/>
        </w:rPr>
        <w:tab/>
        <w:t xml:space="preserve">•</w:t>
        <w:tab/>
        <w:t xml:space="preserve">+10 % de qualité de données,</w:t>
      </w:r>
    </w:p>
    <w:p w:rsidR="00000000" w:rsidDel="00000000" w:rsidP="00000000" w:rsidRDefault="00000000" w:rsidRPr="00000000" w14:paraId="0000008A">
      <w:pPr>
        <w:pStyle w:val="Heading1"/>
        <w:keepNext w:val="0"/>
        <w:spacing w:after="0" w:before="0" w:lineRule="auto"/>
        <w:rPr>
          <w:sz w:val="22"/>
          <w:szCs w:val="22"/>
        </w:rPr>
      </w:pPr>
      <w:bookmarkStart w:colFirst="0" w:colLast="0" w:name="_ui313y3xpaxv" w:id="8"/>
      <w:bookmarkEnd w:id="8"/>
      <w:r w:rsidDel="00000000" w:rsidR="00000000" w:rsidRPr="00000000">
        <w:rPr>
          <w:sz w:val="22"/>
          <w:szCs w:val="22"/>
          <w:rtl w:val="0"/>
        </w:rPr>
        <w:tab/>
        <w:t xml:space="preserve">•</w:t>
        <w:tab/>
        <w:t xml:space="preserve">100 % conformité consentement,</w:t>
      </w:r>
    </w:p>
    <w:p w:rsidR="00000000" w:rsidDel="00000000" w:rsidP="00000000" w:rsidRDefault="00000000" w:rsidRPr="00000000" w14:paraId="0000008B">
      <w:pPr>
        <w:pStyle w:val="Heading1"/>
        <w:keepNext w:val="0"/>
        <w:spacing w:after="0" w:before="0" w:lineRule="auto"/>
        <w:rPr>
          <w:sz w:val="22"/>
          <w:szCs w:val="22"/>
        </w:rPr>
      </w:pPr>
      <w:bookmarkStart w:colFirst="0" w:colLast="0" w:name="_ui313y3xpaxv" w:id="8"/>
      <w:bookmarkEnd w:id="8"/>
      <w:r w:rsidDel="00000000" w:rsidR="00000000" w:rsidRPr="00000000">
        <w:rPr>
          <w:sz w:val="22"/>
          <w:szCs w:val="22"/>
          <w:rtl w:val="0"/>
        </w:rPr>
        <w:tab/>
        <w:t xml:space="preserve">•</w:t>
        <w:tab/>
        <w:t xml:space="preserve">Réduction de 20 % du temps moyen nécessaire pour accéder à une donnée utile.</w:t>
      </w:r>
    </w:p>
    <w:p w:rsidR="00000000" w:rsidDel="00000000" w:rsidP="00000000" w:rsidRDefault="00000000" w:rsidRPr="00000000" w14:paraId="0000008C">
      <w:pPr>
        <w:pStyle w:val="Heading1"/>
        <w:keepNext w:val="0"/>
        <w:spacing w:after="0" w:before="0" w:lineRule="auto"/>
        <w:rPr>
          <w:sz w:val="22"/>
          <w:szCs w:val="22"/>
        </w:rPr>
      </w:pPr>
      <w:bookmarkStart w:colFirst="0" w:colLast="0" w:name="_q0iujv3ufkdu" w:id="9"/>
      <w:bookmarkEnd w:id="9"/>
      <w:r w:rsidDel="00000000" w:rsidR="00000000" w:rsidRPr="00000000">
        <w:rPr>
          <w:sz w:val="22"/>
          <w:szCs w:val="22"/>
          <w:rtl w:val="0"/>
        </w:rPr>
        <w:t xml:space="preserve">Le déploiement global sera progressif sur quelques mois.</w:t>
      </w:r>
    </w:p>
    <w:p w:rsidR="00000000" w:rsidDel="00000000" w:rsidP="00000000" w:rsidRDefault="00000000" w:rsidRPr="00000000" w14:paraId="0000008D">
      <w:pPr>
        <w:pStyle w:val="Heading1"/>
        <w:keepNext w:val="0"/>
        <w:spacing w:after="40" w:before="240" w:line="240" w:lineRule="auto"/>
        <w:rPr/>
      </w:pPr>
      <w:bookmarkStart w:colFirst="0" w:colLast="0" w:name="_ui313y3xpax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spacing w:after="40" w:before="240" w:line="240" w:lineRule="auto"/>
        <w:rPr/>
      </w:pPr>
      <w:bookmarkStart w:colFirst="0" w:colLast="0" w:name="_bso94ar1wfjl" w:id="10"/>
      <w:bookmarkEnd w:id="10"/>
      <w:r w:rsidDel="00000000" w:rsidR="00000000" w:rsidRPr="00000000">
        <w:rPr>
          <w:rtl w:val="0"/>
        </w:rPr>
        <w:t xml:space="preserve">6. Indicateurs clés (KPIs)</w:t>
      </w:r>
    </w:p>
    <w:p w:rsidR="00000000" w:rsidDel="00000000" w:rsidP="00000000" w:rsidRDefault="00000000" w:rsidRPr="00000000" w14:paraId="0000008F">
      <w:pPr>
        <w:keepLines w:val="1"/>
        <w:numPr>
          <w:ilvl w:val="0"/>
          <w:numId w:val="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📈 +10 % de qualité de données.</w:t>
        <w:br w:type="textWrapping"/>
      </w:r>
    </w:p>
    <w:p w:rsidR="00000000" w:rsidDel="00000000" w:rsidP="00000000" w:rsidRDefault="00000000" w:rsidRPr="00000000" w14:paraId="00000090">
      <w:pPr>
        <w:keepLines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🛡️ 100 % de conformité consentement RGPD/CCPA.</w:t>
        <w:br w:type="textWrapping"/>
      </w:r>
    </w:p>
    <w:p w:rsidR="00000000" w:rsidDel="00000000" w:rsidP="00000000" w:rsidRDefault="00000000" w:rsidRPr="00000000" w14:paraId="00000091">
      <w:pPr>
        <w:keepLines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-20 % de temps d’accès moyen à la donnée.</w:t>
        <w:br w:type="textWrapping"/>
      </w:r>
    </w:p>
    <w:p w:rsidR="00000000" w:rsidDel="00000000" w:rsidP="00000000" w:rsidRDefault="00000000" w:rsidRPr="00000000" w14:paraId="00000092">
      <w:pPr>
        <w:keepLines w:val="1"/>
        <w:numPr>
          <w:ilvl w:val="0"/>
          <w:numId w:val="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👥 +80 % d’équipes formées à la gouvernance data.</w:t>
        <w:br w:type="textWrapping"/>
      </w:r>
    </w:p>
    <w:p w:rsidR="00000000" w:rsidDel="00000000" w:rsidP="00000000" w:rsidRDefault="00000000" w:rsidRPr="00000000" w14:paraId="00000093">
      <w:pPr>
        <w:keepLines w:val="1"/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Lines w:val="1"/>
        <w:spacing w:after="0" w:before="2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spacing w:after="40" w:before="240" w:line="240" w:lineRule="auto"/>
        <w:rPr/>
      </w:pPr>
      <w:bookmarkStart w:colFirst="0" w:colLast="0" w:name="_3jsmpl4m648a" w:id="11"/>
      <w:bookmarkEnd w:id="11"/>
      <w:r w:rsidDel="00000000" w:rsidR="00000000" w:rsidRPr="00000000">
        <w:rPr>
          <w:rtl w:val="0"/>
        </w:rPr>
        <w:t xml:space="preserve">7. Suivi et amélioration continue</w:t>
      </w:r>
    </w:p>
    <w:p w:rsidR="00000000" w:rsidDel="00000000" w:rsidP="00000000" w:rsidRDefault="00000000" w:rsidRPr="00000000" w14:paraId="00000096">
      <w:pPr>
        <w:keepLines w:val="1"/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Lines w:val="1"/>
        <w:ind w:left="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Le Data Governance Committee assure la revue trimestrielle des KPIs et adapte les politiques selon les évolutions légales, technologiques ou organisationnelles.</w:t>
      </w:r>
    </w:p>
    <w:p w:rsidR="00000000" w:rsidDel="00000000" w:rsidP="00000000" w:rsidRDefault="00000000" w:rsidRPr="00000000" w14:paraId="00000098">
      <w:pPr>
        <w:keepLines w:val="1"/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Références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governance-principles-guide.pdf</w:t>
      </w:r>
    </w:p>
    <w:p w:rsidR="00000000" w:rsidDel="00000000" w:rsidP="00000000" w:rsidRDefault="00000000" w:rsidRPr="00000000" w14:paraId="0000009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Spotify_step2.pdf </w:t>
      </w:r>
    </w:p>
    <w:p w:rsidR="00000000" w:rsidDel="00000000" w:rsidP="00000000" w:rsidRDefault="00000000" w:rsidRPr="00000000" w14:paraId="0000009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spotify_CoE_drawio.png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