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360" w:lineRule="auto"/>
        <w:rPr>
          <w:sz w:val="34"/>
          <w:szCs w:val="34"/>
        </w:rPr>
      </w:pPr>
      <w:bookmarkStart w:colFirst="0" w:colLast="0" w:name="_j9kc7in0k57p" w:id="0"/>
      <w:bookmarkEnd w:id="0"/>
      <w:r w:rsidDel="00000000" w:rsidR="00000000" w:rsidRPr="00000000">
        <w:rPr>
          <w:sz w:val="34"/>
          <w:szCs w:val="34"/>
          <w:rtl w:val="0"/>
        </w:rPr>
        <w:t xml:space="preserve">Spotify – Implementing the Data Governance Framework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40" w:before="240" w:lineRule="auto"/>
        <w:rPr/>
      </w:pPr>
      <w:bookmarkStart w:colFirst="0" w:colLast="0" w:name="_3wl7azkj2ogq" w:id="1"/>
      <w:bookmarkEnd w:id="1"/>
      <w:r w:rsidDel="00000000" w:rsidR="00000000" w:rsidRPr="00000000">
        <w:rPr>
          <w:rtl w:val="0"/>
        </w:rPr>
        <w:t xml:space="preserve">1. Objectif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 plan décrit les étapes de mise en œuvre du </w:t>
      </w:r>
      <w:r w:rsidDel="00000000" w:rsidR="00000000" w:rsidRPr="00000000">
        <w:rPr>
          <w:b w:val="1"/>
          <w:rtl w:val="0"/>
        </w:rPr>
        <w:t xml:space="preserve">Data Governance Framework</w:t>
      </w:r>
      <w:r w:rsidDel="00000000" w:rsidR="00000000" w:rsidRPr="00000000">
        <w:rPr>
          <w:rtl w:val="0"/>
        </w:rPr>
        <w:t xml:space="preserve"> de Spotify, selon un modèle </w:t>
      </w:r>
      <w:r w:rsidDel="00000000" w:rsidR="00000000" w:rsidRPr="00000000">
        <w:rPr>
          <w:b w:val="1"/>
          <w:rtl w:val="0"/>
        </w:rPr>
        <w:t xml:space="preserve">Center of Excellence (CoE)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L’objectif est d’harmoniser la gouvernance des données à l’échelle mondiale, d’améliorer la qualité, la conformité (RGPD, CCPA) et la sécurité tout en renforçant la collaboration entre équipes techniques et métiers.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wi139xg56rvq" w:id="2"/>
      <w:bookmarkEnd w:id="2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Modèle Organisationnel Choisi : Center of Excellence (CoE)</w:t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Justification du choix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•Combine les avantages du </w:t>
      </w:r>
      <w:r w:rsidDel="00000000" w:rsidR="00000000" w:rsidRPr="00000000">
        <w:rPr>
          <w:b w:val="1"/>
          <w:rtl w:val="0"/>
        </w:rPr>
        <w:t xml:space="preserve">modèle centralisé</w:t>
      </w:r>
      <w:r w:rsidDel="00000000" w:rsidR="00000000" w:rsidRPr="00000000">
        <w:rPr>
          <w:rtl w:val="0"/>
        </w:rPr>
        <w:t xml:space="preserve"> (vision, outils, standards) et du </w:t>
      </w:r>
      <w:r w:rsidDel="00000000" w:rsidR="00000000" w:rsidRPr="00000000">
        <w:rPr>
          <w:b w:val="1"/>
          <w:rtl w:val="0"/>
        </w:rPr>
        <w:t xml:space="preserve">modèle décentralisé</w:t>
      </w:r>
      <w:r w:rsidDel="00000000" w:rsidR="00000000" w:rsidRPr="00000000">
        <w:rPr>
          <w:rtl w:val="0"/>
        </w:rPr>
        <w:t xml:space="preserve"> (agilité métier).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•Permet de coordonner </w:t>
      </w:r>
      <w:r w:rsidDel="00000000" w:rsidR="00000000" w:rsidRPr="00000000">
        <w:rPr>
          <w:b w:val="1"/>
          <w:rtl w:val="0"/>
        </w:rPr>
        <w:t xml:space="preserve">les équipes Data (DS, Marketing, Product …)</w:t>
      </w:r>
      <w:r w:rsidDel="00000000" w:rsidR="00000000" w:rsidRPr="00000000">
        <w:rPr>
          <w:rtl w:val="0"/>
        </w:rPr>
        <w:t xml:space="preserve"> via une structure fédérée supervisée par le </w:t>
      </w:r>
      <w:r w:rsidDel="00000000" w:rsidR="00000000" w:rsidRPr="00000000">
        <w:rPr>
          <w:b w:val="1"/>
          <w:rtl w:val="0"/>
        </w:rPr>
        <w:t xml:space="preserve">CDO, DPO et le Data Governance Committee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•Garantit une </w:t>
      </w:r>
      <w:r w:rsidDel="00000000" w:rsidR="00000000" w:rsidRPr="00000000">
        <w:rPr>
          <w:b w:val="1"/>
          <w:rtl w:val="0"/>
        </w:rPr>
        <w:t xml:space="preserve">source unique de vérité</w:t>
      </w:r>
      <w:r w:rsidDel="00000000" w:rsidR="00000000" w:rsidRPr="00000000">
        <w:rPr>
          <w:rtl w:val="0"/>
        </w:rPr>
        <w:t xml:space="preserve"> grâce à la standardisation et au catalogue de données commun (Collibra).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•Favorise la </w:t>
      </w:r>
      <w:r w:rsidDel="00000000" w:rsidR="00000000" w:rsidRPr="00000000">
        <w:rPr>
          <w:b w:val="1"/>
          <w:rtl w:val="0"/>
        </w:rPr>
        <w:t xml:space="preserve">culture data et la formation</w:t>
      </w:r>
      <w:r w:rsidDel="00000000" w:rsidR="00000000" w:rsidRPr="00000000">
        <w:rPr>
          <w:rtl w:val="0"/>
        </w:rPr>
        <w:t xml:space="preserve"> grâce à une gouvernance cohérente mais flexible par domaine.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3576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bisq8ag43ga2" w:id="3"/>
      <w:bookmarkEnd w:id="3"/>
      <w:r w:rsidDel="00000000" w:rsidR="00000000" w:rsidRPr="00000000">
        <w:rPr>
          <w:rtl w:val="0"/>
        </w:rPr>
        <w:t xml:space="preserve">3. Outils Technologiques Recommandés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3000"/>
        <w:gridCol w:w="3000"/>
        <w:tblGridChange w:id="0">
          <w:tblGrid>
            <w:gridCol w:w="414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Outils recommandés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Catalogue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Collibra, Alation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Traçabilité et documentation.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Ataccama, Qilk Talend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Nettoyage et déduplication.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Conformité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OneTrust, TrustArc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 des consentements.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Sécurité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Splunk, Vormetric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Supervision et chiffrement.</w:t>
            </w:r>
          </w:p>
        </w:tc>
      </w:tr>
    </w:tbl>
    <w:p w:rsidR="00000000" w:rsidDel="00000000" w:rsidP="00000000" w:rsidRDefault="00000000" w:rsidRPr="00000000" w14:paraId="00000021">
      <w:pPr>
        <w:keepLines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Évolutions prévues :</w:t>
      </w:r>
    </w:p>
    <w:p w:rsidR="00000000" w:rsidDel="00000000" w:rsidP="00000000" w:rsidRDefault="00000000" w:rsidRPr="00000000" w14:paraId="00000023">
      <w:pPr>
        <w:keepLines w:val="1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Intégration complète au </w:t>
      </w:r>
      <w:r w:rsidDel="00000000" w:rsidR="00000000" w:rsidRPr="00000000">
        <w:rPr>
          <w:b w:val="1"/>
          <w:rtl w:val="0"/>
        </w:rPr>
        <w:t xml:space="preserve">Security Operations Center (SOC)</w:t>
      </w:r>
      <w:r w:rsidDel="00000000" w:rsidR="00000000" w:rsidRPr="00000000">
        <w:rPr>
          <w:rtl w:val="0"/>
        </w:rPr>
        <w:t xml:space="preserve"> d’ici 2025.</w:t>
      </w:r>
    </w:p>
    <w:p w:rsidR="00000000" w:rsidDel="00000000" w:rsidP="00000000" w:rsidRDefault="00000000" w:rsidRPr="00000000" w14:paraId="00000024">
      <w:pPr>
        <w:keepLines w:val="1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Centralisation des logs de qualité et de conformité dans Splunk + DataGuard.</w:t>
      </w:r>
    </w:p>
    <w:p w:rsidR="00000000" w:rsidDel="00000000" w:rsidP="00000000" w:rsidRDefault="00000000" w:rsidRPr="00000000" w14:paraId="00000025">
      <w:pPr>
        <w:keepLines w:val="1"/>
        <w:spacing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</w:rPr>
      </w:pPr>
      <w:bookmarkStart w:colFirst="0" w:colLast="0" w:name="_pb54243jeyw8" w:id="4"/>
      <w:bookmarkEnd w:id="4"/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Plan Pilote — Département Marketing</w:t>
      </w:r>
    </w:p>
    <w:p w:rsidR="00000000" w:rsidDel="00000000" w:rsidP="00000000" w:rsidRDefault="00000000" w:rsidRPr="00000000" w14:paraId="00000028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Objectif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Tester l’efficacité du cadre de gouvernance sur les </w:t>
      </w:r>
      <w:r w:rsidDel="00000000" w:rsidR="00000000" w:rsidRPr="00000000">
        <w:rPr>
          <w:b w:val="1"/>
          <w:sz w:val="20"/>
          <w:szCs w:val="20"/>
          <w:rtl w:val="0"/>
        </w:rPr>
        <w:t xml:space="preserve">données marketing</w:t>
      </w:r>
      <w:r w:rsidDel="00000000" w:rsidR="00000000" w:rsidRPr="00000000">
        <w:rPr>
          <w:sz w:val="20"/>
          <w:szCs w:val="20"/>
          <w:rtl w:val="0"/>
        </w:rPr>
        <w:t xml:space="preserve"> : qualité, consentement, accessibilité, et interopérabilité entre systèmes.</w:t>
      </w:r>
    </w:p>
    <w:p w:rsidR="00000000" w:rsidDel="00000000" w:rsidP="00000000" w:rsidRDefault="00000000" w:rsidRPr="00000000" w14:paraId="0000002B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Périmètre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Datasets : segmentation client, campagnes publicitaires, canaux d’engagement.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Durée : 6 mois (Janvier → Juin 2026).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Outils utilisés : Collibra + Qlik Talend + OneTrust.</w:t>
      </w:r>
    </w:p>
    <w:p w:rsidR="00000000" w:rsidDel="00000000" w:rsidP="00000000" w:rsidRDefault="00000000" w:rsidRPr="00000000" w14:paraId="0000002F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Équipe Pilote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Rôle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Pilot Manager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Governance Manager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Supervise le projet et assure le lien avec le CoE.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 Steward ( Marketing 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qualité &amp; catalogage local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Applique les standards CoE et corrige les données.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DPO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conformité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Audite les processus RGPD/CCPA et valide les consentements.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IT Engineer / Data Analyst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technique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 en place les outils et garantit la sécurité.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Head of Marketing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Sponsor métier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Garantit l’alignement avec les objectifs business.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</w:rPr>
      </w:pPr>
      <w:bookmarkStart w:colFirst="0" w:colLast="0" w:name="_5y33gx8ob474" w:id="5"/>
      <w:bookmarkEnd w:id="5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Jalons et Livrables 2026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-10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2370"/>
        <w:gridCol w:w="2610"/>
        <w:gridCol w:w="2235"/>
        <w:tblGridChange w:id="0">
          <w:tblGrid>
            <w:gridCol w:w="2820"/>
            <w:gridCol w:w="2370"/>
            <w:gridCol w:w="2610"/>
            <w:gridCol w:w="2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Étape clé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Livrable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Janvier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Lancement du projet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Lancement du projet et définition des objectifs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Février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Évaluation qualité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Rapport de qualité des données – version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Steward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 conformité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Évaluation de la conformité (RGPD/CCPA)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Avril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Intégration outils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Mise en place technique et intégration des outils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Engineer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Revue mi-projet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Revue de mi-parcours du projet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CoE + Pilot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74e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Juin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Clôture &amp; bilan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Retour d’expérience et plan d’extension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 Manager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rPr>
          <w:b w:val="1"/>
          <w:sz w:val="40"/>
          <w:szCs w:val="40"/>
        </w:rPr>
      </w:pPr>
      <w:bookmarkStart w:colFirst="0" w:colLast="0" w:name="_gyezxq28poiq" w:id="6"/>
      <w:bookmarkEnd w:id="6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sz w:val="40"/>
          <w:szCs w:val="40"/>
          <w:rtl w:val="0"/>
        </w:rPr>
        <w:t xml:space="preserve">Indicateurs de Performance (KPIs)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45.0" w:type="dxa"/>
        <w:jc w:val="left"/>
        <w:tblInd w:w="-1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345"/>
        <w:gridCol w:w="3480"/>
        <w:tblGridChange w:id="0">
          <w:tblGrid>
            <w:gridCol w:w="3420"/>
            <w:gridCol w:w="3345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Axe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Indicateur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Qualité des données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Réduction des valeurs manquantes / doublons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−10 %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Conformité RGPD/CCPA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Consentements valables / audits sans non-conformité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Accessibilité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Temps moyen d’accès à une donnée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−20 %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Sécurité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Incidents ou fuites signalés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Adoption et Culture Data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Taux de formation des équipes métier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80 %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b w:val="1"/>
        </w:rPr>
      </w:pPr>
      <w:bookmarkStart w:colFirst="0" w:colLast="0" w:name="_u65me6pa9z60" w:id="7"/>
      <w:bookmarkEnd w:id="7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Gestion des Risques et Accompagnement du Changement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85.0" w:type="dxa"/>
        <w:jc w:val="left"/>
        <w:tblInd w:w="-1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205"/>
        <w:gridCol w:w="1875"/>
        <w:gridCol w:w="2910"/>
        <w:tblGridChange w:id="0">
          <w:tblGrid>
            <w:gridCol w:w="3195"/>
            <w:gridCol w:w="2205"/>
            <w:gridCol w:w="1875"/>
            <w:gridCol w:w="2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Risque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Probabilité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Impact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00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Stratégie de Mitigation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Résistance au changement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Élevée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Moyen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Ateliers et communication interne + formation continue.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Non-conformité RGPD/CCPA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Moyenne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Élevé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Audits mensuels par le DPO + alertes automatisées.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Faible qualité persistante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Élevé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Déploiement de Qlik-Talend/Ataccama et KPI hebdo.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Intégration technique complexe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Moyenne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Élevé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IT central + tests pré-déploiement.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b w:val="1"/>
        </w:rPr>
      </w:pPr>
      <w:bookmarkStart w:colFirst="0" w:colLast="0" w:name="_8b3y3k8trik3" w:id="8"/>
      <w:bookmarkEnd w:id="8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Évaluation &amp; Généralisation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sz w:val="20"/>
          <w:szCs w:val="20"/>
          <w:rtl w:val="0"/>
        </w:rPr>
        <w:t xml:space="preserve">Revue post-pilote</w:t>
      </w:r>
      <w:r w:rsidDel="00000000" w:rsidR="00000000" w:rsidRPr="00000000">
        <w:rPr>
          <w:sz w:val="20"/>
          <w:szCs w:val="20"/>
          <w:rtl w:val="0"/>
        </w:rPr>
        <w:t xml:space="preserve"> : évaluer les résultats vs KPIs et documenter les enseignements.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rtl w:val="0"/>
        </w:rPr>
        <w:t xml:space="preserve">Plan d’extension</w:t>
      </w:r>
      <w:r w:rsidDel="00000000" w:rsidR="00000000" w:rsidRPr="00000000">
        <w:rPr>
          <w:b w:val="1"/>
          <w:sz w:val="20"/>
          <w:szCs w:val="20"/>
          <w:rtl w:val="0"/>
        </w:rPr>
        <w:t xml:space="preserve"> 2026-2027</w:t>
      </w:r>
      <w:r w:rsidDel="00000000" w:rsidR="00000000" w:rsidRPr="00000000">
        <w:rPr>
          <w:sz w:val="20"/>
          <w:szCs w:val="20"/>
          <w:rtl w:val="0"/>
        </w:rPr>
        <w:t xml:space="preserve"> : déploiement progressif dans les domaines Finance, Produit et Opérations.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sz w:val="20"/>
          <w:szCs w:val="20"/>
          <w:rtl w:val="0"/>
        </w:rPr>
        <w:t xml:space="preserve">Comité de Suivi CoE</w:t>
      </w:r>
      <w:r w:rsidDel="00000000" w:rsidR="00000000" w:rsidRPr="00000000">
        <w:rPr>
          <w:sz w:val="20"/>
          <w:szCs w:val="20"/>
          <w:rtl w:val="0"/>
        </w:rPr>
        <w:t xml:space="preserve"> : validation des nouveaux domaines et ajustement des outils techniques selon retours du pilote.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Conclusion</w:t>
      </w:r>
    </w:p>
    <w:p w:rsidR="00000000" w:rsidDel="00000000" w:rsidP="00000000" w:rsidRDefault="00000000" w:rsidRPr="00000000" w14:paraId="000000A4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 plan d’implémentation établit les fondations opérationnelles du </w:t>
      </w:r>
      <w:r w:rsidDel="00000000" w:rsidR="00000000" w:rsidRPr="00000000">
        <w:rPr>
          <w:b w:val="1"/>
          <w:sz w:val="20"/>
          <w:szCs w:val="20"/>
          <w:rtl w:val="0"/>
        </w:rPr>
        <w:t xml:space="preserve">Data Governance Framework Spotify</w:t>
      </w:r>
      <w:r w:rsidDel="00000000" w:rsidR="00000000" w:rsidRPr="00000000">
        <w:rPr>
          <w:sz w:val="20"/>
          <w:szCs w:val="20"/>
          <w:rtl w:val="0"/>
        </w:rPr>
        <w:t xml:space="preserve">, centré sur le </w:t>
      </w:r>
      <w:r w:rsidDel="00000000" w:rsidR="00000000" w:rsidRPr="00000000">
        <w:rPr>
          <w:b w:val="1"/>
          <w:sz w:val="20"/>
          <w:szCs w:val="20"/>
          <w:rtl w:val="0"/>
        </w:rPr>
        <w:t xml:space="preserve">Center of Excellence (CoE)</w:t>
      </w:r>
      <w:r w:rsidDel="00000000" w:rsidR="00000000" w:rsidRPr="00000000">
        <w:rPr>
          <w:sz w:val="20"/>
          <w:szCs w:val="20"/>
          <w:rtl w:val="0"/>
        </w:rPr>
        <w:t xml:space="preserve"> et soutenu par des outils robustes (Collibra, Qlik-Talend, OneTrust, Splunk).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 pilote Marketing servira de laboratoire pour valider le cadre avant son extension globale, avec comme objectifs principaux :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+10 % de qualité de données,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100 % de conformité RGPD/CCPA,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et −20 % de temps d’accès aux données.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Références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i w:val="1"/>
          <w:rtl w:val="0"/>
        </w:rPr>
        <w:t xml:space="preserve">Spotify_step3.pdf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