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0" w:line="360" w:lineRule="auto"/>
        <w:rPr>
          <w:sz w:val="50"/>
          <w:szCs w:val="50"/>
        </w:rPr>
      </w:pPr>
      <w:bookmarkStart w:colFirst="0" w:colLast="0" w:name="_abu26y7fvcfl" w:id="0"/>
      <w:bookmarkEnd w:id="0"/>
      <w:r w:rsidDel="00000000" w:rsidR="00000000" w:rsidRPr="00000000">
        <w:rPr>
          <w:sz w:val="48"/>
          <w:szCs w:val="48"/>
          <w:rtl w:val="0"/>
        </w:rPr>
        <w:t xml:space="preserve">Understanding Spotify’s Data Landscape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numPr>
          <w:ilvl w:val="0"/>
          <w:numId w:val="5"/>
        </w:numPr>
        <w:spacing w:after="80" w:lineRule="auto"/>
        <w:ind w:left="720" w:hanging="360"/>
        <w:rPr>
          <w:sz w:val="34"/>
          <w:szCs w:val="34"/>
        </w:rPr>
      </w:pPr>
      <w:bookmarkStart w:colFirst="0" w:colLast="0" w:name="_jqfbncje1yfu" w:id="1"/>
      <w:bookmarkEnd w:id="1"/>
      <w:r w:rsidDel="00000000" w:rsidR="00000000" w:rsidRPr="00000000">
        <w:rPr>
          <w:sz w:val="34"/>
          <w:szCs w:val="34"/>
          <w:rtl w:val="0"/>
        </w:rPr>
        <w:t xml:space="preserve">Spotify Data Maturity Overview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firstLine="720"/>
        <w:rPr>
          <w:color w:val="000000"/>
          <w:sz w:val="26"/>
          <w:szCs w:val="26"/>
        </w:rPr>
      </w:pPr>
      <w:bookmarkStart w:colFirst="0" w:colLast="0" w:name="_tt28q769fk4c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1.1. Contexte &amp; Objectif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220" w:firstLine="0"/>
        <w:rPr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Cette évaluation vise à positionner Spotify sur l’échelle de maturité data (1 à 5) et à identifier les principaux défis liés à la gouvernance, la qualité, et la conformité des données à l’échelle mondiale.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ind w:firstLine="720"/>
        <w:rPr>
          <w:color w:val="000000"/>
          <w:sz w:val="26"/>
          <w:szCs w:val="26"/>
        </w:rPr>
      </w:pPr>
      <w:bookmarkStart w:colFirst="0" w:colLast="0" w:name="_570tziv4bfhv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1.2. Synthèse visuelle de la maturité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937.00787401574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8.5039370078744"/>
        <w:gridCol w:w="3968.5039370078744"/>
        <w:tblGridChange w:id="0">
          <w:tblGrid>
            <w:gridCol w:w="3968.5039370078744"/>
            <w:gridCol w:w="3968.503937007874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24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24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(1–5)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Governance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Quality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Architecture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(RGPD, CCPA, PCI-DSS)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Data Usage &amp; 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Security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Literacy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Integration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Analytics &amp; BI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🟩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Forces 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Infrastructure cloud moderne et scalable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Culture data forte et ancrée dans les équipes tech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Haut niveau de sécurité (SOC interne, chiffrement, RBAC/ABAC)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🟥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Faiblesses 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Gouvernance fragmentée (silos par squad)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Qualité et standardisation des données inégales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Gestion complexe des consentements et du droit à l’oubli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Shadow data dans les équipes produits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760n8o3lw0wc" w:id="4"/>
      <w:bookmarkEnd w:id="4"/>
      <w:r w:rsidDel="00000000" w:rsidR="00000000" w:rsidRPr="00000000">
        <w:rPr>
          <w:sz w:val="34"/>
          <w:szCs w:val="34"/>
          <w:rtl w:val="0"/>
        </w:rPr>
        <w:t xml:space="preserve">2. Key Challenges &amp; Recommendations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ind w:firstLine="720"/>
        <w:rPr>
          <w:color w:val="000000"/>
          <w:sz w:val="26"/>
          <w:szCs w:val="26"/>
        </w:rPr>
      </w:pPr>
      <w:bookmarkStart w:colFirst="0" w:colLast="0" w:name="_e9kap9colkkc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2.1. Key Challenges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ind w:left="0"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tafk14p1u8iz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Gouvernance des données fragmentée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Gouvernance décentralisée entre équipes produits, marketing et tech.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d’un cadre commun (CoE, policies, owners).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Impact : silos de données, manque d’alignement global.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ind w:left="0"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j5yh3m7xrzin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Qualité des données non uniforme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Données issues de multiples outils et régions → formats hétérogènes.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Variabilité impactant la personnalisation et les modèles ML.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Impact : décisions basées sur des données partiellement fiables.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fci52qqlfuu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5ox5i6i9fv3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fu8yty7ny5c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  <w:tab/>
        <w:t xml:space="preserve">3. Risques liés à la conformité et aux accès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Gestion incomplète du droit à l’oubli (legacy systems).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Risque d’accumulations de droits et de </w:t>
      </w:r>
      <w:r w:rsidDel="00000000" w:rsidR="00000000" w:rsidRPr="00000000">
        <w:rPr>
          <w:b w:val="1"/>
          <w:bCs w:val="1"/>
          <w:rtl w:val="0"/>
        </w:rPr>
        <w:t xml:space="preserve">shadow data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Impact : exposition réglementaire et perte de traçabilité.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dx3utoca63i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  <w:tab/>
        <w:t xml:space="preserve">4. Écart en matière de culture et de standardisation des données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Bon niveau technique, mais faible culture data business.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Besoin d’un langage commun entre équipes.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Impact : faible appropriation métier de la gouvernance.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ind w:firstLine="720"/>
        <w:rPr>
          <w:i w:val="1"/>
          <w:iCs w:val="1"/>
        </w:rPr>
      </w:pPr>
      <w:bookmarkStart w:colFirst="0" w:colLast="0" w:name="_c3wqmt9ddvmb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2.2. Recommandations pour les prochaines étapes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Créer un Data Governance Committee + CoE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Centraliser la gouvernance, harmoniser les pratiques, désigner des Data Owners.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Déployer un Data Catalog unifié (Collibra / Alation)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Standardiser les métadonnées et assurer la traçabilité globale.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Mettre en place un Data Quality Framework (Ataccama / Informatica)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Surveiller la qualité et les anomalies en continu.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Automatiser les contrôles d’accès et la conformité RGPD/CCPA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Implémenter des audits périodiques et politiques d’accès RBAC/ABAC.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Lancer la Spotify Data Academy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Renforcer la culture data pour les équipes non techniques.</w:t>
        <w:br w:type="textWrapping"/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before="280" w:lineRule="auto"/>
        <w:ind w:left="0" w:firstLine="0"/>
        <w:rPr/>
      </w:pPr>
      <w:bookmarkStart w:colFirst="0" w:colLast="0" w:name="_efq0x98lrtwc" w:id="13"/>
      <w:bookmarkEnd w:id="13"/>
      <w:r w:rsidDel="00000000" w:rsidR="00000000" w:rsidRPr="00000000">
        <w:rPr>
          <w:rtl w:val="0"/>
        </w:rPr>
        <w:t xml:space="preserve">3. Conclusion</w:t>
      </w:r>
    </w:p>
    <w:p w:rsidR="00000000" w:rsidDel="00000000" w:rsidP="00000000" w:rsidRDefault="00000000" w:rsidRPr="00000000" w14:paraId="00000048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Spotify dispose d’une base technologique solide et d’une forte culture data.</w:t>
      </w:r>
    </w:p>
    <w:p w:rsidR="00000000" w:rsidDel="00000000" w:rsidP="00000000" w:rsidRDefault="00000000" w:rsidRPr="00000000" w14:paraId="00000049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Le passage à une gouvernance centralisée et standardisée (via CoE + Data Catalog) permettra d’élever la maturité globale, de réduire les risques de shadow data et d’améliorer la confiance dans les données à tous les niveaux.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Références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Source : Spotify_step1.pdf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